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EDCD" w14:textId="5134C059" w:rsidR="00E005B6" w:rsidRPr="00D66B6E" w:rsidRDefault="00E005B6" w:rsidP="00D66B6E">
      <w:pPr>
        <w:pStyle w:val="Caption"/>
        <w:rPr>
          <w:rFonts w:cstheme="minorHAnsi"/>
          <w:sz w:val="22"/>
          <w:szCs w:val="22"/>
        </w:rPr>
      </w:pPr>
      <w:r w:rsidRPr="00E005B6">
        <w:rPr>
          <w:rFonts w:cstheme="minorHAnsi"/>
          <w:sz w:val="22"/>
          <w:szCs w:val="22"/>
        </w:rPr>
        <w:t>Th</w:t>
      </w:r>
      <w:r>
        <w:rPr>
          <w:rFonts w:cstheme="minorHAnsi"/>
          <w:sz w:val="22"/>
          <w:szCs w:val="22"/>
        </w:rPr>
        <w:t xml:space="preserve">is checklist </w:t>
      </w:r>
      <w:r w:rsidR="0023305D">
        <w:rPr>
          <w:rFonts w:cstheme="minorHAnsi"/>
          <w:sz w:val="22"/>
          <w:szCs w:val="22"/>
        </w:rPr>
        <w:t xml:space="preserve">includes examples of </w:t>
      </w:r>
      <w:r w:rsidR="00C51115">
        <w:rPr>
          <w:rFonts w:cstheme="minorHAnsi"/>
          <w:sz w:val="22"/>
          <w:szCs w:val="22"/>
        </w:rPr>
        <w:t xml:space="preserve">cholera surveillance testing </w:t>
      </w:r>
      <w:r w:rsidR="001A7CEE">
        <w:rPr>
          <w:rFonts w:cstheme="minorHAnsi"/>
          <w:sz w:val="22"/>
          <w:szCs w:val="22"/>
        </w:rPr>
        <w:t xml:space="preserve">activities </w:t>
      </w:r>
      <w:r w:rsidR="001D50C9">
        <w:rPr>
          <w:rFonts w:cstheme="minorHAnsi"/>
          <w:sz w:val="22"/>
          <w:szCs w:val="22"/>
        </w:rPr>
        <w:t xml:space="preserve">and best practices </w:t>
      </w:r>
      <w:r w:rsidRPr="00E005B6">
        <w:rPr>
          <w:rFonts w:cstheme="minorHAnsi"/>
          <w:sz w:val="22"/>
          <w:szCs w:val="22"/>
        </w:rPr>
        <w:t xml:space="preserve">countries should consider when requesting </w:t>
      </w:r>
      <w:r w:rsidR="00A557A4">
        <w:rPr>
          <w:rFonts w:cstheme="minorHAnsi"/>
          <w:sz w:val="22"/>
          <w:szCs w:val="22"/>
        </w:rPr>
        <w:t>cholera diagnostic support to Gavi</w:t>
      </w:r>
      <w:r w:rsidR="001D50C9">
        <w:rPr>
          <w:rFonts w:cstheme="minorHAnsi"/>
          <w:sz w:val="22"/>
          <w:szCs w:val="22"/>
        </w:rPr>
        <w:t>.</w:t>
      </w:r>
      <w:r w:rsidR="001A7CEE">
        <w:rPr>
          <w:rFonts w:cstheme="minorHAnsi"/>
          <w:sz w:val="22"/>
          <w:szCs w:val="22"/>
        </w:rPr>
        <w:t xml:space="preserve"> This checklist should guide countries implementing cholera testing surveillance </w:t>
      </w:r>
      <w:proofErr w:type="spellStart"/>
      <w:r w:rsidR="007C1197">
        <w:rPr>
          <w:rFonts w:cstheme="minorHAnsi"/>
          <w:sz w:val="22"/>
          <w:szCs w:val="22"/>
        </w:rPr>
        <w:t>programmes</w:t>
      </w:r>
      <w:proofErr w:type="spellEnd"/>
      <w:r w:rsidR="001A7CEE">
        <w:rPr>
          <w:rFonts w:cstheme="minorHAnsi"/>
          <w:sz w:val="22"/>
          <w:szCs w:val="22"/>
        </w:rPr>
        <w:t xml:space="preserve"> and </w:t>
      </w:r>
      <w:r w:rsidR="007E02E7">
        <w:rPr>
          <w:rFonts w:cstheme="minorHAnsi"/>
          <w:sz w:val="22"/>
          <w:szCs w:val="22"/>
        </w:rPr>
        <w:t xml:space="preserve">is based on the </w:t>
      </w:r>
      <w:r w:rsidR="007E02E7" w:rsidRPr="007E02E7">
        <w:rPr>
          <w:rFonts w:cstheme="minorHAnsi"/>
          <w:sz w:val="22"/>
          <w:szCs w:val="22"/>
        </w:rPr>
        <w:t xml:space="preserve">Global Taskforce on Cholera Control's (GTFCC) </w:t>
      </w:r>
      <w:r w:rsidR="00D66B6E" w:rsidRPr="00D66B6E">
        <w:rPr>
          <w:rFonts w:cstheme="minorHAnsi"/>
          <w:sz w:val="22"/>
          <w:szCs w:val="22"/>
        </w:rPr>
        <w:t>Assessment of</w:t>
      </w:r>
      <w:r w:rsidR="00D66B6E">
        <w:rPr>
          <w:rFonts w:cstheme="minorHAnsi"/>
          <w:sz w:val="22"/>
          <w:szCs w:val="22"/>
        </w:rPr>
        <w:t xml:space="preserve"> </w:t>
      </w:r>
      <w:r w:rsidR="00D66B6E" w:rsidRPr="00D66B6E">
        <w:rPr>
          <w:rFonts w:cstheme="minorHAnsi"/>
          <w:sz w:val="22"/>
          <w:szCs w:val="22"/>
        </w:rPr>
        <w:t>cholera</w:t>
      </w:r>
      <w:r w:rsidR="00D66B6E">
        <w:rPr>
          <w:rFonts w:cstheme="minorHAnsi"/>
          <w:sz w:val="22"/>
          <w:szCs w:val="22"/>
        </w:rPr>
        <w:t xml:space="preserve"> </w:t>
      </w:r>
      <w:r w:rsidR="00D66B6E" w:rsidRPr="00D66B6E">
        <w:rPr>
          <w:rFonts w:cstheme="minorHAnsi"/>
          <w:sz w:val="22"/>
          <w:szCs w:val="22"/>
        </w:rPr>
        <w:t>surveillance</w:t>
      </w:r>
      <w:r w:rsidR="00D66B6E">
        <w:rPr>
          <w:rFonts w:cstheme="minorHAnsi"/>
          <w:sz w:val="22"/>
          <w:szCs w:val="22"/>
        </w:rPr>
        <w:t xml:space="preserve"> </w:t>
      </w:r>
      <w:r w:rsidR="00D66B6E" w:rsidRPr="00D66B6E">
        <w:rPr>
          <w:rFonts w:cstheme="minorHAnsi"/>
          <w:sz w:val="22"/>
          <w:szCs w:val="22"/>
        </w:rPr>
        <w:t>Interim Guidance Document</w:t>
      </w:r>
      <w:r w:rsidR="00D66B6E">
        <w:rPr>
          <w:rFonts w:cstheme="minorHAnsi"/>
          <w:sz w:val="22"/>
          <w:szCs w:val="22"/>
        </w:rPr>
        <w:t xml:space="preserve"> </w:t>
      </w:r>
      <w:r w:rsidR="00D66B6E" w:rsidRPr="00D66B6E">
        <w:rPr>
          <w:rFonts w:cstheme="minorHAnsi"/>
          <w:sz w:val="22"/>
          <w:szCs w:val="22"/>
        </w:rPr>
        <w:t>2024</w:t>
      </w:r>
      <w:r w:rsidR="007E02E7" w:rsidRPr="00D66B6E">
        <w:rPr>
          <w:rFonts w:cstheme="minorHAnsi"/>
          <w:sz w:val="22"/>
          <w:szCs w:val="22"/>
        </w:rPr>
        <w:t>.</w:t>
      </w:r>
      <w:r w:rsidR="00B73E04">
        <w:rPr>
          <w:rStyle w:val="EndnoteReference"/>
          <w:rFonts w:cstheme="minorHAnsi"/>
          <w:sz w:val="22"/>
          <w:szCs w:val="22"/>
        </w:rPr>
        <w:endnoteReference w:id="1"/>
      </w:r>
    </w:p>
    <w:p w14:paraId="00341929" w14:textId="0308C469" w:rsidR="00E97BFD" w:rsidRPr="009D1CCD" w:rsidRDefault="00690014" w:rsidP="009D1CCD">
      <w:pPr>
        <w:pStyle w:val="Caption"/>
        <w:rPr>
          <w:rFonts w:eastAsia="Times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Table 1. </w:t>
      </w:r>
      <w:r w:rsidR="00A557A4">
        <w:rPr>
          <w:rFonts w:cstheme="minorHAnsi"/>
          <w:sz w:val="22"/>
          <w:szCs w:val="22"/>
        </w:rPr>
        <w:t>Implementation</w:t>
      </w:r>
      <w:r w:rsidR="00E005B6">
        <w:rPr>
          <w:rFonts w:cstheme="minorHAnsi"/>
          <w:sz w:val="22"/>
          <w:szCs w:val="22"/>
        </w:rPr>
        <w:t xml:space="preserve"> readiness checklist</w:t>
      </w:r>
      <w:r w:rsidR="00A557A4">
        <w:rPr>
          <w:rFonts w:cstheme="minorHAnsi"/>
          <w:sz w:val="22"/>
          <w:szCs w:val="22"/>
        </w:rPr>
        <w:t xml:space="preserve"> for Cholera diagnostic support based on current GTFCC guidelines and pilot implementation key learnings.</w:t>
      </w:r>
    </w:p>
    <w:tbl>
      <w:tblPr>
        <w:tblStyle w:val="GridTable1Light-Accent1"/>
        <w:tblW w:w="11070" w:type="dxa"/>
        <w:tblInd w:w="-725" w:type="dxa"/>
        <w:tblLook w:val="04A0" w:firstRow="1" w:lastRow="0" w:firstColumn="1" w:lastColumn="0" w:noHBand="0" w:noVBand="1"/>
      </w:tblPr>
      <w:tblGrid>
        <w:gridCol w:w="1557"/>
        <w:gridCol w:w="5193"/>
        <w:gridCol w:w="1102"/>
        <w:gridCol w:w="2153"/>
        <w:gridCol w:w="1065"/>
      </w:tblGrid>
      <w:tr w:rsidR="00CE067A" w14:paraId="2761C080" w14:textId="77777777" w:rsidTr="00C6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tcBorders>
              <w:bottom w:val="double" w:sz="4" w:space="0" w:color="4472C4" w:themeColor="accent1"/>
            </w:tcBorders>
            <w:vAlign w:val="center"/>
          </w:tcPr>
          <w:p w14:paraId="279DF7D5" w14:textId="263EF193" w:rsidR="00E97BFD" w:rsidRDefault="00E97BFD" w:rsidP="00E97BFD">
            <w:pPr>
              <w:jc w:val="center"/>
            </w:pPr>
            <w:r>
              <w:t>Function</w:t>
            </w:r>
          </w:p>
        </w:tc>
        <w:tc>
          <w:tcPr>
            <w:tcW w:w="5193" w:type="dxa"/>
            <w:tcBorders>
              <w:bottom w:val="double" w:sz="4" w:space="0" w:color="4472C4" w:themeColor="accent1"/>
            </w:tcBorders>
            <w:vAlign w:val="center"/>
          </w:tcPr>
          <w:p w14:paraId="72396F95" w14:textId="763D53A6" w:rsidR="00E97BFD" w:rsidRDefault="00E97BFD" w:rsidP="00E97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Examples and best practices</w:t>
            </w:r>
          </w:p>
        </w:tc>
        <w:tc>
          <w:tcPr>
            <w:tcW w:w="1102" w:type="dxa"/>
            <w:tcBorders>
              <w:bottom w:val="double" w:sz="4" w:space="0" w:color="4472C4" w:themeColor="accent1"/>
            </w:tcBorders>
            <w:vAlign w:val="center"/>
          </w:tcPr>
          <w:p w14:paraId="207A92BA" w14:textId="78FEF46A" w:rsidR="00E97BFD" w:rsidRDefault="00C739F1" w:rsidP="00E97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Current </w:t>
            </w:r>
            <w:r w:rsidR="00E97BFD">
              <w:t>Status</w:t>
            </w:r>
          </w:p>
        </w:tc>
        <w:tc>
          <w:tcPr>
            <w:tcW w:w="2153" w:type="dxa"/>
            <w:tcBorders>
              <w:bottom w:val="double" w:sz="4" w:space="0" w:color="4472C4" w:themeColor="accent1"/>
            </w:tcBorders>
            <w:vAlign w:val="center"/>
          </w:tcPr>
          <w:p w14:paraId="195BBD1E" w14:textId="3C719EDB" w:rsidR="00E97BFD" w:rsidRDefault="00C739F1" w:rsidP="00E97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</w:t>
            </w:r>
          </w:p>
        </w:tc>
        <w:tc>
          <w:tcPr>
            <w:tcW w:w="1065" w:type="dxa"/>
            <w:tcBorders>
              <w:bottom w:val="double" w:sz="4" w:space="0" w:color="4472C4" w:themeColor="accent1"/>
            </w:tcBorders>
            <w:vAlign w:val="center"/>
          </w:tcPr>
          <w:p w14:paraId="6F72EFAD" w14:textId="7E4273FA" w:rsidR="00E97BFD" w:rsidRDefault="00E97BFD" w:rsidP="00E97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in charge</w:t>
            </w:r>
          </w:p>
        </w:tc>
      </w:tr>
      <w:tr w:rsidR="00CE067A" w14:paraId="3E0D1D59" w14:textId="77777777" w:rsidTr="00C6487E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 w:val="restart"/>
            <w:tcBorders>
              <w:top w:val="double" w:sz="4" w:space="0" w:color="4472C4" w:themeColor="accent1"/>
            </w:tcBorders>
            <w:vAlign w:val="center"/>
          </w:tcPr>
          <w:p w14:paraId="6C22C3B1" w14:textId="2AEBB07F" w:rsidR="00E97BFD" w:rsidRDefault="00CE067A" w:rsidP="00E97BFD">
            <w:pPr>
              <w:jc w:val="center"/>
            </w:pPr>
            <w:r>
              <w:t>Strategy and g</w:t>
            </w:r>
            <w:r w:rsidR="00E97BFD">
              <w:t>uidelines</w:t>
            </w:r>
          </w:p>
        </w:tc>
        <w:tc>
          <w:tcPr>
            <w:tcW w:w="5193" w:type="dxa"/>
            <w:tcBorders>
              <w:top w:val="double" w:sz="4" w:space="0" w:color="4472C4" w:themeColor="accent1"/>
            </w:tcBorders>
            <w:vAlign w:val="center"/>
          </w:tcPr>
          <w:p w14:paraId="10BB4022" w14:textId="77777777" w:rsidR="00CE067A" w:rsidRDefault="00E97BFD" w:rsidP="007B343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2B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 cholera plan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(preventative and outbreak response)</w:t>
            </w:r>
            <w:r w:rsidR="00CE067A" w:rsidRPr="002460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5D35ABE" w14:textId="77777777" w:rsidR="0059396C" w:rsidRDefault="00CE067A" w:rsidP="007B343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0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Health facility-based surveillance, community-based surveillance, and event-based surveillance should be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460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routinely integrated to detect cholera </w:t>
            </w:r>
            <w:proofErr w:type="gramStart"/>
            <w:r w:rsidRPr="002460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cases</w:t>
            </w:r>
            <w:proofErr w:type="gramEnd"/>
            <w:r w:rsidR="005939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0CBA4B4D" w14:textId="026FCB35" w:rsidR="007B3439" w:rsidRPr="007B3439" w:rsidRDefault="0059396C" w:rsidP="007B343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Outbreak definition, </w:t>
            </w:r>
            <w:r w:rsidRPr="00C77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alert and how to confirm an outbreak.</w:t>
            </w:r>
          </w:p>
        </w:tc>
        <w:tc>
          <w:tcPr>
            <w:tcW w:w="1102" w:type="dxa"/>
            <w:tcBorders>
              <w:top w:val="double" w:sz="4" w:space="0" w:color="4472C4" w:themeColor="accent1"/>
            </w:tcBorders>
            <w:vAlign w:val="center"/>
          </w:tcPr>
          <w:p w14:paraId="61E76EF6" w14:textId="67F37CD1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3" w:type="dxa"/>
            <w:tcBorders>
              <w:top w:val="double" w:sz="4" w:space="0" w:color="4472C4" w:themeColor="accent1"/>
            </w:tcBorders>
            <w:vAlign w:val="center"/>
          </w:tcPr>
          <w:p w14:paraId="0698B0BB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5" w:type="dxa"/>
            <w:tcBorders>
              <w:top w:val="double" w:sz="4" w:space="0" w:color="4472C4" w:themeColor="accent1"/>
            </w:tcBorders>
            <w:vAlign w:val="center"/>
          </w:tcPr>
          <w:p w14:paraId="2AC0B5D9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67A" w14:paraId="01AF9B42" w14:textId="77777777" w:rsidTr="00C6487E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/>
            <w:vAlign w:val="center"/>
          </w:tcPr>
          <w:p w14:paraId="182BBF2B" w14:textId="77777777" w:rsidR="00E97BFD" w:rsidRDefault="00E97BFD" w:rsidP="00E97BFD">
            <w:pPr>
              <w:jc w:val="center"/>
            </w:pPr>
          </w:p>
        </w:tc>
        <w:tc>
          <w:tcPr>
            <w:tcW w:w="5193" w:type="dxa"/>
            <w:vAlign w:val="center"/>
          </w:tcPr>
          <w:p w14:paraId="4B26AE56" w14:textId="1B3577F2" w:rsidR="00EC4FFA" w:rsidRDefault="00EC4FFA" w:rsidP="00EC4FFA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Cholera case definition and case investigation strategies</w:t>
            </w:r>
            <w:r w:rsidR="00F735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(GTFCC guidelines)</w:t>
            </w:r>
          </w:p>
          <w:p w14:paraId="6151944F" w14:textId="79BE785A" w:rsidR="00C40EFA" w:rsidRDefault="00EC4FFA" w:rsidP="00EC4FFA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Case investigation form</w:t>
            </w:r>
          </w:p>
        </w:tc>
        <w:tc>
          <w:tcPr>
            <w:tcW w:w="1102" w:type="dxa"/>
            <w:vAlign w:val="center"/>
          </w:tcPr>
          <w:p w14:paraId="11B383AD" w14:textId="5375DDC8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3" w:type="dxa"/>
            <w:vAlign w:val="center"/>
          </w:tcPr>
          <w:p w14:paraId="2ECF49AF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5" w:type="dxa"/>
            <w:vAlign w:val="center"/>
          </w:tcPr>
          <w:p w14:paraId="614A7D23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67A" w14:paraId="4351B257" w14:textId="77777777" w:rsidTr="00C6487E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/>
            <w:vAlign w:val="center"/>
          </w:tcPr>
          <w:p w14:paraId="48E3E9E6" w14:textId="77777777" w:rsidR="00E97BFD" w:rsidRDefault="00E97BFD" w:rsidP="00E97BFD">
            <w:pPr>
              <w:jc w:val="center"/>
            </w:pPr>
          </w:p>
        </w:tc>
        <w:tc>
          <w:tcPr>
            <w:tcW w:w="5193" w:type="dxa"/>
            <w:vAlign w:val="center"/>
          </w:tcPr>
          <w:p w14:paraId="0C3F79D6" w14:textId="77777777" w:rsidR="00246049" w:rsidRDefault="00EC4FFA" w:rsidP="0059396C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Standardized testing </w:t>
            </w:r>
            <w:r w:rsidR="005939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strategy and algorithm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(GTFCC guidelines)</w:t>
            </w:r>
          </w:p>
          <w:p w14:paraId="6A90FBDD" w14:textId="0E510E32" w:rsidR="00977D16" w:rsidRPr="00EC4FFA" w:rsidRDefault="00977D16" w:rsidP="00977D16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571B3FED" w14:textId="6BCA2383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3" w:type="dxa"/>
            <w:vAlign w:val="center"/>
          </w:tcPr>
          <w:p w14:paraId="4B703D7D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5" w:type="dxa"/>
            <w:vAlign w:val="center"/>
          </w:tcPr>
          <w:p w14:paraId="2BF3CECF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67A" w14:paraId="592CD0A9" w14:textId="77777777" w:rsidTr="00C6487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/>
            <w:vAlign w:val="center"/>
          </w:tcPr>
          <w:p w14:paraId="303396F6" w14:textId="77777777" w:rsidR="00E97BFD" w:rsidRDefault="00E97BFD" w:rsidP="00E97BFD">
            <w:pPr>
              <w:jc w:val="center"/>
            </w:pPr>
          </w:p>
        </w:tc>
        <w:tc>
          <w:tcPr>
            <w:tcW w:w="5193" w:type="dxa"/>
            <w:vAlign w:val="center"/>
          </w:tcPr>
          <w:p w14:paraId="3E39B5C1" w14:textId="1AD868C8" w:rsidR="00EC4FFA" w:rsidRPr="00E97BFD" w:rsidRDefault="00452F7A" w:rsidP="00EC4FFA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 capacity and c</w:t>
            </w:r>
            <w:r w:rsidR="00EC4F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holera </w:t>
            </w:r>
            <w:r w:rsidR="00EC4FFA" w:rsidRPr="00E97B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Health-facility definition and list</w:t>
            </w:r>
          </w:p>
          <w:p w14:paraId="46FE7365" w14:textId="77777777" w:rsidR="00EC4FFA" w:rsidRPr="00EC4FFA" w:rsidRDefault="00EC4FFA" w:rsidP="00EC4FFA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4F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RDT receiving facilities (</w:t>
            </w:r>
            <w:proofErr w:type="spellStart"/>
            <w:r w:rsidRPr="00EC4F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eg.</w:t>
            </w:r>
            <w:proofErr w:type="spellEnd"/>
            <w:r w:rsidRPr="00EC4F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L1-L2 facilities)</w:t>
            </w:r>
          </w:p>
          <w:p w14:paraId="4E3F9DB8" w14:textId="77777777" w:rsidR="005B0D65" w:rsidRPr="005B0D65" w:rsidRDefault="005B0D65" w:rsidP="005B0D65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D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Reference laboratory (</w:t>
            </w:r>
            <w:r w:rsidR="00EC4FFA" w:rsidRPr="005B0D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PCR </w:t>
            </w:r>
            <w:r w:rsidRPr="005B0D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</w:t>
            </w:r>
            <w:r w:rsidR="00EC4FFA" w:rsidRPr="005B0D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ulture capable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  <w:p w14:paraId="46332FA9" w14:textId="31C784D5" w:rsidR="00E97BFD" w:rsidRPr="00EC4FFA" w:rsidRDefault="00EC4FFA" w:rsidP="005B0D65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4F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Surveillance units and rapid response teams</w:t>
            </w:r>
          </w:p>
        </w:tc>
        <w:tc>
          <w:tcPr>
            <w:tcW w:w="1102" w:type="dxa"/>
            <w:vAlign w:val="center"/>
          </w:tcPr>
          <w:p w14:paraId="34B84D7F" w14:textId="44C13AF9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3" w:type="dxa"/>
            <w:vAlign w:val="center"/>
          </w:tcPr>
          <w:p w14:paraId="1D81D895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5" w:type="dxa"/>
            <w:vAlign w:val="center"/>
          </w:tcPr>
          <w:p w14:paraId="195E7EA2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67A" w14:paraId="68C5B21E" w14:textId="77777777" w:rsidTr="00C6487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/>
            <w:tcBorders>
              <w:bottom w:val="double" w:sz="4" w:space="0" w:color="4472C4" w:themeColor="accent1"/>
            </w:tcBorders>
            <w:vAlign w:val="center"/>
          </w:tcPr>
          <w:p w14:paraId="274DCBFF" w14:textId="77777777" w:rsidR="00E97BFD" w:rsidRDefault="00E97BFD" w:rsidP="00E97BFD">
            <w:pPr>
              <w:jc w:val="center"/>
            </w:pPr>
          </w:p>
        </w:tc>
        <w:tc>
          <w:tcPr>
            <w:tcW w:w="5193" w:type="dxa"/>
            <w:tcBorders>
              <w:bottom w:val="double" w:sz="4" w:space="0" w:color="4472C4" w:themeColor="accent1"/>
            </w:tcBorders>
            <w:vAlign w:val="center"/>
          </w:tcPr>
          <w:p w14:paraId="1DBD67D2" w14:textId="1C9080B4" w:rsidR="00E97BFD" w:rsidRPr="00E97BFD" w:rsidRDefault="00E97BFD" w:rsidP="00E97BF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B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Cholera surveillance guideline and SOP</w:t>
            </w:r>
          </w:p>
          <w:p w14:paraId="51AA6E13" w14:textId="77777777" w:rsidR="00E97BFD" w:rsidRPr="00E97BFD" w:rsidRDefault="00E97BFD" w:rsidP="00E97BFD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B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i.e. reporting requirements and timelines</w:t>
            </w:r>
          </w:p>
          <w:p w14:paraId="6E5ED7C5" w14:textId="77777777" w:rsidR="00E97BFD" w:rsidRPr="00E97BFD" w:rsidRDefault="00E97BFD" w:rsidP="00E97BFD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B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data verification and field investigation recommendation</w:t>
            </w:r>
          </w:p>
          <w:p w14:paraId="6E97BEFD" w14:textId="47889501" w:rsidR="00E97BFD" w:rsidRDefault="00E97BFD" w:rsidP="00E97BFD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B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data analysis and aggregation instructions</w:t>
            </w:r>
          </w:p>
        </w:tc>
        <w:tc>
          <w:tcPr>
            <w:tcW w:w="1102" w:type="dxa"/>
            <w:tcBorders>
              <w:bottom w:val="double" w:sz="4" w:space="0" w:color="4472C4" w:themeColor="accent1"/>
            </w:tcBorders>
            <w:vAlign w:val="center"/>
          </w:tcPr>
          <w:p w14:paraId="4E86E971" w14:textId="440028F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3" w:type="dxa"/>
            <w:tcBorders>
              <w:bottom w:val="double" w:sz="4" w:space="0" w:color="4472C4" w:themeColor="accent1"/>
            </w:tcBorders>
            <w:vAlign w:val="center"/>
          </w:tcPr>
          <w:p w14:paraId="28B685B8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5" w:type="dxa"/>
            <w:tcBorders>
              <w:bottom w:val="double" w:sz="4" w:space="0" w:color="4472C4" w:themeColor="accent1"/>
            </w:tcBorders>
            <w:vAlign w:val="center"/>
          </w:tcPr>
          <w:p w14:paraId="7D34AC5F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67A" w14:paraId="1001D3BD" w14:textId="77777777" w:rsidTr="00C6487E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 w:val="restart"/>
            <w:tcBorders>
              <w:top w:val="double" w:sz="4" w:space="0" w:color="4472C4" w:themeColor="accent1"/>
            </w:tcBorders>
            <w:vAlign w:val="center"/>
          </w:tcPr>
          <w:p w14:paraId="034F219D" w14:textId="388CD63E" w:rsidR="00E97BFD" w:rsidRDefault="00021F9A" w:rsidP="00E97BFD">
            <w:pPr>
              <w:jc w:val="center"/>
            </w:pPr>
            <w:r>
              <w:t>Operational considerations</w:t>
            </w:r>
            <w:r w:rsidR="00A81B00">
              <w:t xml:space="preserve"> (distribution and logistics)</w:t>
            </w:r>
          </w:p>
        </w:tc>
        <w:tc>
          <w:tcPr>
            <w:tcW w:w="5193" w:type="dxa"/>
            <w:tcBorders>
              <w:top w:val="double" w:sz="4" w:space="0" w:color="4472C4" w:themeColor="accent1"/>
            </w:tcBorders>
            <w:vAlign w:val="center"/>
          </w:tcPr>
          <w:p w14:paraId="1152F7EB" w14:textId="34F3A5B5" w:rsidR="00E97BFD" w:rsidRDefault="00E97BFD" w:rsidP="00E97BF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Standard operating procedures for importing diagnostic </w:t>
            </w:r>
            <w:r w:rsidR="009D1C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tests.</w:t>
            </w:r>
          </w:p>
          <w:p w14:paraId="543B424B" w14:textId="77777777" w:rsidR="00F7358A" w:rsidRDefault="007E147E" w:rsidP="00F7358A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Defined UNICEF SD point of contact</w:t>
            </w:r>
          </w:p>
          <w:p w14:paraId="0DC9290E" w14:textId="257ED037" w:rsidR="007E147E" w:rsidRPr="00E97BFD" w:rsidRDefault="007E147E" w:rsidP="00F7358A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Importation process and waivers</w:t>
            </w:r>
          </w:p>
        </w:tc>
        <w:tc>
          <w:tcPr>
            <w:tcW w:w="1102" w:type="dxa"/>
            <w:tcBorders>
              <w:top w:val="double" w:sz="4" w:space="0" w:color="4472C4" w:themeColor="accent1"/>
            </w:tcBorders>
            <w:vAlign w:val="center"/>
          </w:tcPr>
          <w:p w14:paraId="7938A739" w14:textId="553062A5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3" w:type="dxa"/>
            <w:tcBorders>
              <w:top w:val="double" w:sz="4" w:space="0" w:color="4472C4" w:themeColor="accent1"/>
            </w:tcBorders>
            <w:vAlign w:val="center"/>
          </w:tcPr>
          <w:p w14:paraId="0D741BD6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5" w:type="dxa"/>
            <w:tcBorders>
              <w:top w:val="double" w:sz="4" w:space="0" w:color="4472C4" w:themeColor="accent1"/>
            </w:tcBorders>
            <w:vAlign w:val="center"/>
          </w:tcPr>
          <w:p w14:paraId="3A5CAA66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67A" w14:paraId="13658F3E" w14:textId="77777777" w:rsidTr="00C6487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/>
            <w:vAlign w:val="center"/>
          </w:tcPr>
          <w:p w14:paraId="3124B47B" w14:textId="77777777" w:rsidR="00E97BFD" w:rsidRDefault="00E97BFD" w:rsidP="00E97BFD">
            <w:pPr>
              <w:jc w:val="center"/>
            </w:pPr>
          </w:p>
        </w:tc>
        <w:tc>
          <w:tcPr>
            <w:tcW w:w="5193" w:type="dxa"/>
            <w:vAlign w:val="center"/>
          </w:tcPr>
          <w:p w14:paraId="099847B8" w14:textId="77777777" w:rsidR="00E97BFD" w:rsidRDefault="00E97BFD" w:rsidP="00E97BF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Procurement</w:t>
            </w:r>
            <w:r w:rsidRPr="00E005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planning</w:t>
            </w:r>
            <w:r w:rsidRPr="00E005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budgeting </w:t>
            </w:r>
            <w:r w:rsidRPr="00E005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(&gt;12 months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calendar</w:t>
            </w:r>
            <w:r w:rsidRPr="00E005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  <w:p w14:paraId="7C8D678D" w14:textId="780A3F67" w:rsidR="00E35138" w:rsidRPr="00E35138" w:rsidRDefault="00E35138" w:rsidP="00E97BFD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Clear budget allocation</w:t>
            </w:r>
          </w:p>
          <w:p w14:paraId="682C9CB6" w14:textId="12EAC77E" w:rsidR="00E97BFD" w:rsidRPr="00E97BFD" w:rsidRDefault="00606B9D" w:rsidP="00E97BFD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01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</w:t>
            </w:r>
            <w:r w:rsidR="009E7288" w:rsidRPr="007301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receiving units, and method for determining number of RDT</w:t>
            </w:r>
            <w:r w:rsidR="004A03FB" w:rsidRPr="007301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9E7288" w:rsidRPr="007301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per unit</w:t>
            </w:r>
          </w:p>
        </w:tc>
        <w:tc>
          <w:tcPr>
            <w:tcW w:w="1102" w:type="dxa"/>
            <w:vAlign w:val="center"/>
          </w:tcPr>
          <w:p w14:paraId="1284DDA4" w14:textId="3C4548C1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3" w:type="dxa"/>
            <w:vAlign w:val="center"/>
          </w:tcPr>
          <w:p w14:paraId="0E37A929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5" w:type="dxa"/>
            <w:vAlign w:val="center"/>
          </w:tcPr>
          <w:p w14:paraId="08612F70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67A" w14:paraId="57CF657D" w14:textId="77777777" w:rsidTr="00C6487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/>
            <w:vAlign w:val="center"/>
          </w:tcPr>
          <w:p w14:paraId="43344B84" w14:textId="77777777" w:rsidR="00E97BFD" w:rsidRDefault="00E97BFD" w:rsidP="00E97BFD">
            <w:pPr>
              <w:jc w:val="center"/>
            </w:pPr>
          </w:p>
        </w:tc>
        <w:tc>
          <w:tcPr>
            <w:tcW w:w="5193" w:type="dxa"/>
            <w:vAlign w:val="center"/>
          </w:tcPr>
          <w:p w14:paraId="4916C637" w14:textId="3B3897F3" w:rsidR="00E97BFD" w:rsidRDefault="00E97BFD" w:rsidP="00E97BF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05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Stock </w:t>
            </w:r>
            <w:r w:rsidR="00F806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monitoring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supply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phasing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7ABAB0BC" w14:textId="17619A75" w:rsidR="007301BD" w:rsidRDefault="007301BD" w:rsidP="007301BD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Style w:val="cf01"/>
              </w:rPr>
              <w:t xml:space="preserve">Monitoring stock at </w:t>
            </w:r>
            <w:r w:rsidR="00F80693">
              <w:rPr>
                <w:rStyle w:val="cf01"/>
              </w:rPr>
              <w:t>unit, distribution, nationa</w:t>
            </w:r>
            <w:r>
              <w:rPr>
                <w:rStyle w:val="cf01"/>
              </w:rPr>
              <w:t>l level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52FEA177" w14:textId="77777777" w:rsidR="00F80693" w:rsidRDefault="007301BD" w:rsidP="007E147E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Defined UNICEF SD point of contact </w:t>
            </w:r>
          </w:p>
          <w:p w14:paraId="4841CDCC" w14:textId="7229CFE2" w:rsidR="006627EE" w:rsidRPr="00C6487E" w:rsidRDefault="006627EE" w:rsidP="00C6487E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39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Written guidance to accompany the first shipments to help orient people regarding use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F39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case</w:t>
            </w:r>
            <w:r w:rsidR="00C648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F39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reporting/</w:t>
            </w:r>
            <w:r w:rsidR="00C648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F39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reordering. </w:t>
            </w:r>
          </w:p>
        </w:tc>
        <w:tc>
          <w:tcPr>
            <w:tcW w:w="1102" w:type="dxa"/>
            <w:vAlign w:val="center"/>
          </w:tcPr>
          <w:p w14:paraId="1F80EE3E" w14:textId="4904F4C5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3" w:type="dxa"/>
            <w:vAlign w:val="center"/>
          </w:tcPr>
          <w:p w14:paraId="30407FEA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5" w:type="dxa"/>
            <w:vAlign w:val="center"/>
          </w:tcPr>
          <w:p w14:paraId="3578011C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67A" w14:paraId="68F6E380" w14:textId="77777777" w:rsidTr="00C6487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/>
            <w:vAlign w:val="center"/>
          </w:tcPr>
          <w:p w14:paraId="3A34EFCD" w14:textId="77777777" w:rsidR="00E97BFD" w:rsidRDefault="00E97BFD" w:rsidP="00E97BFD">
            <w:pPr>
              <w:jc w:val="center"/>
            </w:pPr>
          </w:p>
        </w:tc>
        <w:tc>
          <w:tcPr>
            <w:tcW w:w="5193" w:type="dxa"/>
            <w:vAlign w:val="center"/>
          </w:tcPr>
          <w:p w14:paraId="487FACEC" w14:textId="77777777" w:rsidR="00E97BFD" w:rsidRDefault="00E97BFD" w:rsidP="00922676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7B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Storage optimization (distribution centers) and integrated logistics with existing medical supply chains</w:t>
            </w:r>
          </w:p>
          <w:p w14:paraId="1BE060BE" w14:textId="4A0C3F2C" w:rsidR="00922676" w:rsidRPr="00922676" w:rsidRDefault="00922676" w:rsidP="00922676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Communication</w:t>
            </w:r>
            <w:r w:rsidRPr="007F39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receiving units so they are aware of incoming RDTs. </w:t>
            </w:r>
          </w:p>
        </w:tc>
        <w:tc>
          <w:tcPr>
            <w:tcW w:w="1102" w:type="dxa"/>
            <w:vAlign w:val="center"/>
          </w:tcPr>
          <w:p w14:paraId="09EC27A0" w14:textId="5E2F0F8B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3" w:type="dxa"/>
            <w:vAlign w:val="center"/>
          </w:tcPr>
          <w:p w14:paraId="43B8ED5B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5" w:type="dxa"/>
            <w:vAlign w:val="center"/>
          </w:tcPr>
          <w:p w14:paraId="287699CC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67A" w14:paraId="329E2F5C" w14:textId="77777777" w:rsidTr="00C6487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/>
            <w:vAlign w:val="center"/>
          </w:tcPr>
          <w:p w14:paraId="58EDC78F" w14:textId="77777777" w:rsidR="00E97BFD" w:rsidRDefault="00E97BFD" w:rsidP="00E97BFD">
            <w:pPr>
              <w:jc w:val="center"/>
            </w:pPr>
          </w:p>
        </w:tc>
        <w:tc>
          <w:tcPr>
            <w:tcW w:w="5193" w:type="dxa"/>
            <w:tcBorders>
              <w:bottom w:val="double" w:sz="4" w:space="0" w:color="4472C4" w:themeColor="accent1"/>
            </w:tcBorders>
            <w:vAlign w:val="center"/>
          </w:tcPr>
          <w:p w14:paraId="0528CCB7" w14:textId="09422BDA" w:rsidR="00606B9D" w:rsidRPr="00606B9D" w:rsidRDefault="00E97BFD" w:rsidP="00E97BF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B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Guidelines for waste management and restocking</w:t>
            </w:r>
            <w:r w:rsidR="00606B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77A9A500" w14:textId="77777777" w:rsidR="00E97BFD" w:rsidRPr="00E35138" w:rsidRDefault="00606B9D" w:rsidP="00606B9D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E005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helf-life documentation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wastage prevention</w:t>
            </w:r>
          </w:p>
          <w:p w14:paraId="350D9EB4" w14:textId="2769979B" w:rsidR="00606B9D" w:rsidRDefault="00606B9D" w:rsidP="00606B9D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51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Restocking request </w:t>
            </w:r>
            <w:r w:rsidR="00E35138" w:rsidRPr="00E351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process</w:t>
            </w:r>
          </w:p>
        </w:tc>
        <w:tc>
          <w:tcPr>
            <w:tcW w:w="1102" w:type="dxa"/>
            <w:tcBorders>
              <w:bottom w:val="double" w:sz="4" w:space="0" w:color="4472C4" w:themeColor="accent1"/>
            </w:tcBorders>
            <w:vAlign w:val="center"/>
          </w:tcPr>
          <w:p w14:paraId="668E2C7D" w14:textId="4E742980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3" w:type="dxa"/>
            <w:tcBorders>
              <w:bottom w:val="double" w:sz="4" w:space="0" w:color="4472C4" w:themeColor="accent1"/>
            </w:tcBorders>
            <w:vAlign w:val="center"/>
          </w:tcPr>
          <w:p w14:paraId="774DB416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5" w:type="dxa"/>
            <w:tcBorders>
              <w:bottom w:val="double" w:sz="4" w:space="0" w:color="4472C4" w:themeColor="accent1"/>
            </w:tcBorders>
            <w:vAlign w:val="center"/>
          </w:tcPr>
          <w:p w14:paraId="7B02B9C8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67A" w14:paraId="1A1FF29E" w14:textId="77777777" w:rsidTr="00C6487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 w:val="restart"/>
            <w:tcBorders>
              <w:top w:val="double" w:sz="4" w:space="0" w:color="4472C4" w:themeColor="accent1"/>
            </w:tcBorders>
            <w:vAlign w:val="center"/>
          </w:tcPr>
          <w:p w14:paraId="798BA014" w14:textId="0D0138E0" w:rsidR="00E97BFD" w:rsidRDefault="00E97BFD" w:rsidP="00E97BFD">
            <w:pPr>
              <w:jc w:val="center"/>
            </w:pPr>
            <w:r>
              <w:t>Test Use</w:t>
            </w:r>
          </w:p>
        </w:tc>
        <w:tc>
          <w:tcPr>
            <w:tcW w:w="5193" w:type="dxa"/>
            <w:tcBorders>
              <w:top w:val="double" w:sz="4" w:space="0" w:color="4472C4" w:themeColor="accent1"/>
            </w:tcBorders>
            <w:vAlign w:val="center"/>
          </w:tcPr>
          <w:p w14:paraId="1D8007B3" w14:textId="1CC42CE2" w:rsidR="00E97BFD" w:rsidRDefault="00E97BFD" w:rsidP="00E97BF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Test function and use-case description</w:t>
            </w:r>
            <w:r w:rsidR="00A20D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(GTFCC guidelines)</w:t>
            </w:r>
          </w:p>
          <w:p w14:paraId="3BE29C3B" w14:textId="77777777" w:rsidR="00A20D07" w:rsidRPr="00A20D07" w:rsidRDefault="00A20D07" w:rsidP="00A20D07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D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RDT for case identification and screening</w:t>
            </w:r>
          </w:p>
          <w:p w14:paraId="7F906A88" w14:textId="77777777" w:rsidR="00A20D07" w:rsidRPr="00A20D07" w:rsidRDefault="00A20D07" w:rsidP="00A20D07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D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PCR for confirmation</w:t>
            </w:r>
          </w:p>
          <w:p w14:paraId="7C89204A" w14:textId="6253E136" w:rsidR="00E35138" w:rsidRPr="00E97BFD" w:rsidRDefault="00A20D07" w:rsidP="00A20D07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0D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PCR/culture for confirmation and clinical management</w:t>
            </w:r>
          </w:p>
        </w:tc>
        <w:tc>
          <w:tcPr>
            <w:tcW w:w="1102" w:type="dxa"/>
            <w:tcBorders>
              <w:top w:val="double" w:sz="4" w:space="0" w:color="4472C4" w:themeColor="accent1"/>
            </w:tcBorders>
            <w:vAlign w:val="center"/>
          </w:tcPr>
          <w:p w14:paraId="33A8AED8" w14:textId="596903D1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3" w:type="dxa"/>
            <w:tcBorders>
              <w:top w:val="double" w:sz="4" w:space="0" w:color="4472C4" w:themeColor="accent1"/>
            </w:tcBorders>
            <w:vAlign w:val="center"/>
          </w:tcPr>
          <w:p w14:paraId="694866F6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5" w:type="dxa"/>
            <w:tcBorders>
              <w:top w:val="double" w:sz="4" w:space="0" w:color="4472C4" w:themeColor="accent1"/>
            </w:tcBorders>
            <w:vAlign w:val="center"/>
          </w:tcPr>
          <w:p w14:paraId="19A2EB0C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67A" w14:paraId="5891D3EB" w14:textId="77777777" w:rsidTr="00C6487E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/>
            <w:vAlign w:val="center"/>
          </w:tcPr>
          <w:p w14:paraId="56AB6745" w14:textId="77777777" w:rsidR="00E97BFD" w:rsidRDefault="00E97BFD" w:rsidP="00E97BFD">
            <w:pPr>
              <w:jc w:val="center"/>
            </w:pPr>
          </w:p>
        </w:tc>
        <w:tc>
          <w:tcPr>
            <w:tcW w:w="5193" w:type="dxa"/>
            <w:vAlign w:val="center"/>
          </w:tcPr>
          <w:p w14:paraId="02110D9C" w14:textId="77777777" w:rsidR="00E97BFD" w:rsidRDefault="00E97BFD" w:rsidP="00E97BF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Job aids and training efforts</w:t>
            </w:r>
          </w:p>
          <w:p w14:paraId="63CC5313" w14:textId="0D3BF16A" w:rsidR="00F84338" w:rsidRDefault="00F84338" w:rsidP="007F397D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Instructions for use (in local language)</w:t>
            </w:r>
          </w:p>
          <w:p w14:paraId="08A5B409" w14:textId="0DBCE88D" w:rsidR="007F397D" w:rsidRPr="00922676" w:rsidRDefault="00922676" w:rsidP="00922676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r w:rsidR="007F397D" w:rsidRPr="007F39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="007F397D" w:rsidRPr="007F39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person trainings</w:t>
            </w:r>
            <w:r w:rsidR="00F843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(i.e. </w:t>
            </w:r>
            <w:r w:rsidR="007F397D" w:rsidRPr="007F39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integrate</w:t>
            </w:r>
            <w:r w:rsidR="00F843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="007F397D" w:rsidRPr="007F39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with other events/workshops.</w:t>
            </w:r>
          </w:p>
        </w:tc>
        <w:tc>
          <w:tcPr>
            <w:tcW w:w="1102" w:type="dxa"/>
            <w:vAlign w:val="center"/>
          </w:tcPr>
          <w:p w14:paraId="57F87B4F" w14:textId="2CC44D7B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3" w:type="dxa"/>
            <w:vAlign w:val="center"/>
          </w:tcPr>
          <w:p w14:paraId="729F6ED2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5" w:type="dxa"/>
            <w:vAlign w:val="center"/>
          </w:tcPr>
          <w:p w14:paraId="696B686C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67A" w14:paraId="572FB92C" w14:textId="77777777" w:rsidTr="00C6487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/>
            <w:vAlign w:val="center"/>
          </w:tcPr>
          <w:p w14:paraId="6D7BD2A8" w14:textId="77777777" w:rsidR="00E97BFD" w:rsidRDefault="00E97BFD" w:rsidP="00E97BFD">
            <w:pPr>
              <w:jc w:val="center"/>
            </w:pPr>
          </w:p>
        </w:tc>
        <w:tc>
          <w:tcPr>
            <w:tcW w:w="5193" w:type="dxa"/>
            <w:vAlign w:val="center"/>
          </w:tcPr>
          <w:p w14:paraId="424D73A3" w14:textId="2BB835AB" w:rsidR="00E97BFD" w:rsidRPr="00E97BFD" w:rsidRDefault="00E97BFD" w:rsidP="00E97BF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Reference laboratory network capacity and definition</w:t>
            </w:r>
          </w:p>
        </w:tc>
        <w:tc>
          <w:tcPr>
            <w:tcW w:w="1102" w:type="dxa"/>
            <w:vAlign w:val="center"/>
          </w:tcPr>
          <w:p w14:paraId="305A10C1" w14:textId="01DD3863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3" w:type="dxa"/>
            <w:vAlign w:val="center"/>
          </w:tcPr>
          <w:p w14:paraId="0A417C1B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5" w:type="dxa"/>
            <w:vAlign w:val="center"/>
          </w:tcPr>
          <w:p w14:paraId="0D42CFEF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67A" w14:paraId="107242B4" w14:textId="77777777" w:rsidTr="00C6487E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/>
            <w:vAlign w:val="center"/>
          </w:tcPr>
          <w:p w14:paraId="5CDFB369" w14:textId="77777777" w:rsidR="00E97BFD" w:rsidRDefault="00E97BFD" w:rsidP="00E97BFD">
            <w:pPr>
              <w:jc w:val="center"/>
            </w:pPr>
          </w:p>
        </w:tc>
        <w:tc>
          <w:tcPr>
            <w:tcW w:w="5193" w:type="dxa"/>
            <w:vAlign w:val="center"/>
          </w:tcPr>
          <w:p w14:paraId="0CF2A89A" w14:textId="5586ECB9" w:rsidR="00E97BFD" w:rsidRPr="00E97BFD" w:rsidRDefault="00E97BFD" w:rsidP="00E97BF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Sample collection</w:t>
            </w:r>
            <w:r w:rsidR="00263B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263B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storage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transport guidance</w:t>
            </w:r>
          </w:p>
        </w:tc>
        <w:tc>
          <w:tcPr>
            <w:tcW w:w="1102" w:type="dxa"/>
            <w:vAlign w:val="center"/>
          </w:tcPr>
          <w:p w14:paraId="543ACD2C" w14:textId="1EC8D322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3" w:type="dxa"/>
            <w:vAlign w:val="center"/>
          </w:tcPr>
          <w:p w14:paraId="6EDDF7C9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5" w:type="dxa"/>
            <w:vAlign w:val="center"/>
          </w:tcPr>
          <w:p w14:paraId="5477BBF3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67A" w14:paraId="07F4864E" w14:textId="77777777" w:rsidTr="00C6487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/>
            <w:vAlign w:val="center"/>
          </w:tcPr>
          <w:p w14:paraId="0A75BCAD" w14:textId="77777777" w:rsidR="00E97BFD" w:rsidRDefault="00E97BFD" w:rsidP="00E97BFD">
            <w:pPr>
              <w:jc w:val="center"/>
            </w:pPr>
          </w:p>
        </w:tc>
        <w:tc>
          <w:tcPr>
            <w:tcW w:w="5193" w:type="dxa"/>
            <w:vAlign w:val="center"/>
          </w:tcPr>
          <w:p w14:paraId="61D3DEAF" w14:textId="240632E8" w:rsidR="00E97BFD" w:rsidRDefault="00E97BFD" w:rsidP="00E97BF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BF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Supply list and quality management systems (e.g. reagents and consumables needed for testing)</w:t>
            </w:r>
          </w:p>
        </w:tc>
        <w:tc>
          <w:tcPr>
            <w:tcW w:w="1102" w:type="dxa"/>
            <w:vAlign w:val="center"/>
          </w:tcPr>
          <w:p w14:paraId="1812D55D" w14:textId="1958766E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3" w:type="dxa"/>
            <w:vAlign w:val="center"/>
          </w:tcPr>
          <w:p w14:paraId="259018F1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5" w:type="dxa"/>
            <w:vAlign w:val="center"/>
          </w:tcPr>
          <w:p w14:paraId="2419AC52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67A" w14:paraId="6DA8BAC2" w14:textId="77777777" w:rsidTr="00C6487E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 w:val="restart"/>
            <w:tcBorders>
              <w:top w:val="double" w:sz="4" w:space="0" w:color="4472C4" w:themeColor="accent1"/>
            </w:tcBorders>
            <w:vAlign w:val="center"/>
          </w:tcPr>
          <w:p w14:paraId="4AD120DF" w14:textId="27E5F3AE" w:rsidR="00E97BFD" w:rsidRDefault="00E97BFD" w:rsidP="00E97BFD">
            <w:pPr>
              <w:jc w:val="center"/>
            </w:pPr>
            <w:r>
              <w:t>Data reporting and dissemination</w:t>
            </w:r>
          </w:p>
        </w:tc>
        <w:tc>
          <w:tcPr>
            <w:tcW w:w="5193" w:type="dxa"/>
            <w:tcBorders>
              <w:top w:val="double" w:sz="4" w:space="0" w:color="4472C4" w:themeColor="accent1"/>
            </w:tcBorders>
            <w:vAlign w:val="center"/>
          </w:tcPr>
          <w:p w14:paraId="53E6F03D" w14:textId="38AD49D1" w:rsidR="00E97BFD" w:rsidRPr="00E97BFD" w:rsidRDefault="00E97BFD" w:rsidP="00E97BF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Minimum standard case-based data to be collected (i.e. template cholera case report form)</w:t>
            </w:r>
          </w:p>
        </w:tc>
        <w:tc>
          <w:tcPr>
            <w:tcW w:w="1102" w:type="dxa"/>
            <w:tcBorders>
              <w:top w:val="double" w:sz="4" w:space="0" w:color="4472C4" w:themeColor="accent1"/>
            </w:tcBorders>
            <w:vAlign w:val="center"/>
          </w:tcPr>
          <w:p w14:paraId="5D9B3D35" w14:textId="71C4117B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3" w:type="dxa"/>
            <w:tcBorders>
              <w:top w:val="double" w:sz="4" w:space="0" w:color="4472C4" w:themeColor="accent1"/>
            </w:tcBorders>
            <w:vAlign w:val="center"/>
          </w:tcPr>
          <w:p w14:paraId="27880D6C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5" w:type="dxa"/>
            <w:tcBorders>
              <w:top w:val="double" w:sz="4" w:space="0" w:color="4472C4" w:themeColor="accent1"/>
            </w:tcBorders>
            <w:vAlign w:val="center"/>
          </w:tcPr>
          <w:p w14:paraId="2977A2AE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5B1C" w14:paraId="6AA7C43A" w14:textId="77777777" w:rsidTr="00C6487E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/>
            <w:tcBorders>
              <w:top w:val="double" w:sz="4" w:space="0" w:color="4472C4" w:themeColor="accent1"/>
            </w:tcBorders>
            <w:vAlign w:val="center"/>
          </w:tcPr>
          <w:p w14:paraId="737E935F" w14:textId="77777777" w:rsidR="00AB5B1C" w:rsidRDefault="00AB5B1C" w:rsidP="00E97BFD">
            <w:pPr>
              <w:jc w:val="center"/>
            </w:pPr>
          </w:p>
        </w:tc>
        <w:tc>
          <w:tcPr>
            <w:tcW w:w="5193" w:type="dxa"/>
            <w:tcBorders>
              <w:top w:val="double" w:sz="4" w:space="0" w:color="4472C4" w:themeColor="accent1"/>
            </w:tcBorders>
            <w:vAlign w:val="center"/>
          </w:tcPr>
          <w:p w14:paraId="21C5D2A5" w14:textId="77777777" w:rsidR="00AB5B1C" w:rsidRDefault="00AB5B1C" w:rsidP="00E97BF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Testing indicators</w:t>
            </w:r>
            <w:r w:rsidR="00B268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(GTFCC)</w:t>
            </w:r>
          </w:p>
          <w:p w14:paraId="6D84E16D" w14:textId="77777777" w:rsidR="00B268DC" w:rsidRDefault="00B268DC" w:rsidP="00B268DC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Adherence to testing strategy (RDT, Culture and/or PCR)</w:t>
            </w:r>
          </w:p>
          <w:p w14:paraId="59E8ABCE" w14:textId="737AAC87" w:rsidR="00B268DC" w:rsidRDefault="00B268DC" w:rsidP="00B268DC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Timeliness of sample </w:t>
            </w:r>
            <w:r w:rsidR="007D1B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receipt by the laboratory</w:t>
            </w:r>
          </w:p>
        </w:tc>
        <w:tc>
          <w:tcPr>
            <w:tcW w:w="1102" w:type="dxa"/>
            <w:tcBorders>
              <w:top w:val="double" w:sz="4" w:space="0" w:color="4472C4" w:themeColor="accent1"/>
            </w:tcBorders>
            <w:vAlign w:val="center"/>
          </w:tcPr>
          <w:p w14:paraId="4E13E742" w14:textId="77777777" w:rsidR="00AB5B1C" w:rsidRDefault="00AB5B1C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3" w:type="dxa"/>
            <w:tcBorders>
              <w:top w:val="double" w:sz="4" w:space="0" w:color="4472C4" w:themeColor="accent1"/>
            </w:tcBorders>
            <w:vAlign w:val="center"/>
          </w:tcPr>
          <w:p w14:paraId="6C9BBE9E" w14:textId="77777777" w:rsidR="00AB5B1C" w:rsidRDefault="00AB5B1C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5" w:type="dxa"/>
            <w:tcBorders>
              <w:top w:val="double" w:sz="4" w:space="0" w:color="4472C4" w:themeColor="accent1"/>
            </w:tcBorders>
            <w:vAlign w:val="center"/>
          </w:tcPr>
          <w:p w14:paraId="2DECA5F7" w14:textId="77777777" w:rsidR="00AB5B1C" w:rsidRDefault="00AB5B1C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67A" w14:paraId="72CB3F76" w14:textId="77777777" w:rsidTr="00C6487E">
        <w:trPr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/>
            <w:vAlign w:val="center"/>
          </w:tcPr>
          <w:p w14:paraId="7D11A49A" w14:textId="77777777" w:rsidR="00E97BFD" w:rsidRDefault="00E97BFD" w:rsidP="00E97BFD">
            <w:pPr>
              <w:jc w:val="center"/>
            </w:pPr>
          </w:p>
        </w:tc>
        <w:tc>
          <w:tcPr>
            <w:tcW w:w="5193" w:type="dxa"/>
            <w:vAlign w:val="center"/>
          </w:tcPr>
          <w:p w14:paraId="3AB90F6E" w14:textId="77777777" w:rsidR="00E97BFD" w:rsidRDefault="00E97BFD" w:rsidP="00E97BF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7B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Integrated RDT test result reporting with existing operational information systems (DSR, EWARS, lab, or other)</w:t>
            </w:r>
          </w:p>
          <w:p w14:paraId="28E49904" w14:textId="5F8C42A8" w:rsidR="00AB087D" w:rsidRPr="00E97BFD" w:rsidRDefault="00AB087D" w:rsidP="00F84338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will RDT test results be incorporated into existing national surveillance system?</w:t>
            </w:r>
          </w:p>
        </w:tc>
        <w:tc>
          <w:tcPr>
            <w:tcW w:w="1102" w:type="dxa"/>
            <w:vAlign w:val="center"/>
          </w:tcPr>
          <w:p w14:paraId="64CEE5AC" w14:textId="09DF8C61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3" w:type="dxa"/>
            <w:vAlign w:val="center"/>
          </w:tcPr>
          <w:p w14:paraId="704DF2AA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5" w:type="dxa"/>
            <w:vAlign w:val="center"/>
          </w:tcPr>
          <w:p w14:paraId="79635545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67A" w14:paraId="796281CB" w14:textId="77777777" w:rsidTr="00C6487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/>
            <w:vAlign w:val="center"/>
          </w:tcPr>
          <w:p w14:paraId="1A75C91E" w14:textId="77777777" w:rsidR="00E97BFD" w:rsidRDefault="00E97BFD" w:rsidP="00E97BFD">
            <w:pPr>
              <w:jc w:val="center"/>
            </w:pPr>
          </w:p>
        </w:tc>
        <w:tc>
          <w:tcPr>
            <w:tcW w:w="5193" w:type="dxa"/>
            <w:vAlign w:val="center"/>
          </w:tcPr>
          <w:p w14:paraId="33B13C65" w14:textId="17014F44" w:rsidR="00E97BFD" w:rsidRPr="00E97BFD" w:rsidRDefault="00E97BFD" w:rsidP="00E97BF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Data interpretation and monitoring indicators (i.e. adherence to testing algorithm)</w:t>
            </w:r>
          </w:p>
        </w:tc>
        <w:tc>
          <w:tcPr>
            <w:tcW w:w="1102" w:type="dxa"/>
            <w:vAlign w:val="center"/>
          </w:tcPr>
          <w:p w14:paraId="3166C6E2" w14:textId="60191FE8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3" w:type="dxa"/>
            <w:vAlign w:val="center"/>
          </w:tcPr>
          <w:p w14:paraId="4EE89DEC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5" w:type="dxa"/>
            <w:vAlign w:val="center"/>
          </w:tcPr>
          <w:p w14:paraId="4CFF4E0F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67A" w14:paraId="11F723DE" w14:textId="77777777" w:rsidTr="00C6487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/>
            <w:vAlign w:val="center"/>
          </w:tcPr>
          <w:p w14:paraId="531A3B9C" w14:textId="77777777" w:rsidR="00E97BFD" w:rsidRDefault="00E97BFD" w:rsidP="00E97BFD">
            <w:pPr>
              <w:jc w:val="center"/>
            </w:pPr>
          </w:p>
        </w:tc>
        <w:tc>
          <w:tcPr>
            <w:tcW w:w="5193" w:type="dxa"/>
            <w:vAlign w:val="center"/>
          </w:tcPr>
          <w:p w14:paraId="306DBB0C" w14:textId="7C86F1DF" w:rsidR="00E97BFD" w:rsidRPr="00E97BFD" w:rsidRDefault="00E97BFD" w:rsidP="00E97BF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Data reporting and dissemination</w:t>
            </w:r>
          </w:p>
        </w:tc>
        <w:tc>
          <w:tcPr>
            <w:tcW w:w="1102" w:type="dxa"/>
            <w:vAlign w:val="center"/>
          </w:tcPr>
          <w:p w14:paraId="7CAD79FF" w14:textId="3EE9E9BD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3" w:type="dxa"/>
            <w:vAlign w:val="center"/>
          </w:tcPr>
          <w:p w14:paraId="262E2625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5" w:type="dxa"/>
            <w:vAlign w:val="center"/>
          </w:tcPr>
          <w:p w14:paraId="537A32AE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67A" w14:paraId="2A929CD2" w14:textId="77777777" w:rsidTr="00C6487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vMerge/>
            <w:vAlign w:val="center"/>
          </w:tcPr>
          <w:p w14:paraId="5127A947" w14:textId="77777777" w:rsidR="00E97BFD" w:rsidRDefault="00E97BFD" w:rsidP="00E97BFD">
            <w:pPr>
              <w:jc w:val="center"/>
            </w:pPr>
          </w:p>
        </w:tc>
        <w:tc>
          <w:tcPr>
            <w:tcW w:w="5193" w:type="dxa"/>
            <w:vAlign w:val="center"/>
          </w:tcPr>
          <w:p w14:paraId="7995FA62" w14:textId="275423DF" w:rsidR="00E97BFD" w:rsidRDefault="00E97BFD" w:rsidP="00E97BF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B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Data use and evidence-based decision making (i.e. input into immunization plan)</w:t>
            </w:r>
          </w:p>
        </w:tc>
        <w:tc>
          <w:tcPr>
            <w:tcW w:w="1102" w:type="dxa"/>
            <w:vAlign w:val="center"/>
          </w:tcPr>
          <w:p w14:paraId="09B36988" w14:textId="2EB8C510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3" w:type="dxa"/>
            <w:vAlign w:val="center"/>
          </w:tcPr>
          <w:p w14:paraId="42E4377C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5" w:type="dxa"/>
            <w:vAlign w:val="center"/>
          </w:tcPr>
          <w:p w14:paraId="483168E9" w14:textId="77777777" w:rsidR="00E97BFD" w:rsidRDefault="00E97BFD" w:rsidP="00E97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6BCA40C" w14:textId="77777777" w:rsidR="00584026" w:rsidRDefault="00584026"/>
    <w:sectPr w:rsidR="00584026" w:rsidSect="00945A3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595F" w14:textId="77777777" w:rsidR="00945A3E" w:rsidRDefault="00945A3E" w:rsidP="00B73E04">
      <w:pPr>
        <w:spacing w:after="0" w:line="240" w:lineRule="auto"/>
      </w:pPr>
      <w:r>
        <w:separator/>
      </w:r>
    </w:p>
  </w:endnote>
  <w:endnote w:type="continuationSeparator" w:id="0">
    <w:p w14:paraId="37B79F9B" w14:textId="77777777" w:rsidR="00945A3E" w:rsidRDefault="00945A3E" w:rsidP="00B73E04">
      <w:pPr>
        <w:spacing w:after="0" w:line="240" w:lineRule="auto"/>
      </w:pPr>
      <w:r>
        <w:continuationSeparator/>
      </w:r>
    </w:p>
  </w:endnote>
  <w:endnote w:id="1">
    <w:p w14:paraId="111EF5DB" w14:textId="1D4E1A31" w:rsidR="00B73E04" w:rsidRDefault="00B73E0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73E04">
        <w:t>https://www.gtfcc.org/wp-content/uploads/2024/05/gtfcc-assessment-of-cholera-surveillance-en.pdf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AB4C9" w14:textId="77777777" w:rsidR="00945A3E" w:rsidRDefault="00945A3E" w:rsidP="00B73E04">
      <w:pPr>
        <w:spacing w:after="0" w:line="240" w:lineRule="auto"/>
      </w:pPr>
      <w:r>
        <w:separator/>
      </w:r>
    </w:p>
  </w:footnote>
  <w:footnote w:type="continuationSeparator" w:id="0">
    <w:p w14:paraId="73B9ABB5" w14:textId="77777777" w:rsidR="00945A3E" w:rsidRDefault="00945A3E" w:rsidP="00B73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BB7"/>
    <w:multiLevelType w:val="hybridMultilevel"/>
    <w:tmpl w:val="58C02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F5839"/>
    <w:multiLevelType w:val="hybridMultilevel"/>
    <w:tmpl w:val="7B2E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2538"/>
    <w:multiLevelType w:val="hybridMultilevel"/>
    <w:tmpl w:val="0CAA14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03B8"/>
    <w:multiLevelType w:val="hybridMultilevel"/>
    <w:tmpl w:val="972C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A7516"/>
    <w:multiLevelType w:val="hybridMultilevel"/>
    <w:tmpl w:val="49EC42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D3DEB"/>
    <w:multiLevelType w:val="hybridMultilevel"/>
    <w:tmpl w:val="995CDB3C"/>
    <w:lvl w:ilvl="0" w:tplc="921A663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E7AD2"/>
    <w:multiLevelType w:val="hybridMultilevel"/>
    <w:tmpl w:val="1E5A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D4F0D"/>
    <w:multiLevelType w:val="hybridMultilevel"/>
    <w:tmpl w:val="BF6643B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0D2C2F"/>
    <w:multiLevelType w:val="hybridMultilevel"/>
    <w:tmpl w:val="7A76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655386">
    <w:abstractNumId w:val="1"/>
  </w:num>
  <w:num w:numId="2" w16cid:durableId="1686053101">
    <w:abstractNumId w:val="6"/>
  </w:num>
  <w:num w:numId="3" w16cid:durableId="1945185987">
    <w:abstractNumId w:val="3"/>
  </w:num>
  <w:num w:numId="4" w16cid:durableId="212347321">
    <w:abstractNumId w:val="8"/>
  </w:num>
  <w:num w:numId="5" w16cid:durableId="1863744769">
    <w:abstractNumId w:val="7"/>
  </w:num>
  <w:num w:numId="6" w16cid:durableId="149097904">
    <w:abstractNumId w:val="5"/>
  </w:num>
  <w:num w:numId="7" w16cid:durableId="2135900569">
    <w:abstractNumId w:val="4"/>
  </w:num>
  <w:num w:numId="8" w16cid:durableId="552159680">
    <w:abstractNumId w:val="2"/>
  </w:num>
  <w:num w:numId="9" w16cid:durableId="9929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6"/>
    <w:rsid w:val="0001768F"/>
    <w:rsid w:val="00021F9A"/>
    <w:rsid w:val="00057E43"/>
    <w:rsid w:val="0006657F"/>
    <w:rsid w:val="0007313D"/>
    <w:rsid w:val="0008622A"/>
    <w:rsid w:val="00091A01"/>
    <w:rsid w:val="000D7FBB"/>
    <w:rsid w:val="0010585F"/>
    <w:rsid w:val="00124A71"/>
    <w:rsid w:val="00144045"/>
    <w:rsid w:val="00163101"/>
    <w:rsid w:val="001A7CEE"/>
    <w:rsid w:val="001D50C9"/>
    <w:rsid w:val="0023305D"/>
    <w:rsid w:val="00246049"/>
    <w:rsid w:val="00263B63"/>
    <w:rsid w:val="00297165"/>
    <w:rsid w:val="002B790D"/>
    <w:rsid w:val="003144ED"/>
    <w:rsid w:val="00326C6C"/>
    <w:rsid w:val="00335334"/>
    <w:rsid w:val="00375BEF"/>
    <w:rsid w:val="00391A8D"/>
    <w:rsid w:val="00452F7A"/>
    <w:rsid w:val="004640EB"/>
    <w:rsid w:val="004A03DE"/>
    <w:rsid w:val="004A03FB"/>
    <w:rsid w:val="004D0441"/>
    <w:rsid w:val="004D2F2B"/>
    <w:rsid w:val="0053459D"/>
    <w:rsid w:val="00552B45"/>
    <w:rsid w:val="00584026"/>
    <w:rsid w:val="0059396C"/>
    <w:rsid w:val="005B0D65"/>
    <w:rsid w:val="005B4EC1"/>
    <w:rsid w:val="005D102C"/>
    <w:rsid w:val="005F6B09"/>
    <w:rsid w:val="00606B9D"/>
    <w:rsid w:val="00631FCD"/>
    <w:rsid w:val="006627EE"/>
    <w:rsid w:val="00690014"/>
    <w:rsid w:val="00704C3E"/>
    <w:rsid w:val="007301BD"/>
    <w:rsid w:val="007351F5"/>
    <w:rsid w:val="007475EC"/>
    <w:rsid w:val="00775047"/>
    <w:rsid w:val="007B3439"/>
    <w:rsid w:val="007C1197"/>
    <w:rsid w:val="007D1B3A"/>
    <w:rsid w:val="007E02E7"/>
    <w:rsid w:val="007E147E"/>
    <w:rsid w:val="007F06BA"/>
    <w:rsid w:val="007F397D"/>
    <w:rsid w:val="008057A7"/>
    <w:rsid w:val="00826D75"/>
    <w:rsid w:val="00897FAB"/>
    <w:rsid w:val="008A423D"/>
    <w:rsid w:val="008D79AC"/>
    <w:rsid w:val="008E329D"/>
    <w:rsid w:val="00906578"/>
    <w:rsid w:val="00922676"/>
    <w:rsid w:val="00945A3E"/>
    <w:rsid w:val="009559D0"/>
    <w:rsid w:val="00977D16"/>
    <w:rsid w:val="00985575"/>
    <w:rsid w:val="009D1CCD"/>
    <w:rsid w:val="009E614F"/>
    <w:rsid w:val="009E7288"/>
    <w:rsid w:val="00A20D07"/>
    <w:rsid w:val="00A557A4"/>
    <w:rsid w:val="00A63E24"/>
    <w:rsid w:val="00A81B00"/>
    <w:rsid w:val="00A861C7"/>
    <w:rsid w:val="00AB087D"/>
    <w:rsid w:val="00AB5B1C"/>
    <w:rsid w:val="00B268DC"/>
    <w:rsid w:val="00B332B8"/>
    <w:rsid w:val="00B73E04"/>
    <w:rsid w:val="00B93450"/>
    <w:rsid w:val="00BE49D4"/>
    <w:rsid w:val="00C40EFA"/>
    <w:rsid w:val="00C51115"/>
    <w:rsid w:val="00C6487E"/>
    <w:rsid w:val="00C739F1"/>
    <w:rsid w:val="00C77FB9"/>
    <w:rsid w:val="00CC1B37"/>
    <w:rsid w:val="00CE067A"/>
    <w:rsid w:val="00D10016"/>
    <w:rsid w:val="00D66B6E"/>
    <w:rsid w:val="00D75898"/>
    <w:rsid w:val="00D90707"/>
    <w:rsid w:val="00E005B6"/>
    <w:rsid w:val="00E264B6"/>
    <w:rsid w:val="00E35138"/>
    <w:rsid w:val="00E4039C"/>
    <w:rsid w:val="00E40932"/>
    <w:rsid w:val="00E62CD9"/>
    <w:rsid w:val="00E97BFD"/>
    <w:rsid w:val="00EB69F3"/>
    <w:rsid w:val="00EC4FFA"/>
    <w:rsid w:val="00ED7EE0"/>
    <w:rsid w:val="00F160FE"/>
    <w:rsid w:val="00F7358A"/>
    <w:rsid w:val="00F73E5A"/>
    <w:rsid w:val="00F80693"/>
    <w:rsid w:val="00F84338"/>
    <w:rsid w:val="00F87DBC"/>
    <w:rsid w:val="00FC3841"/>
    <w:rsid w:val="00FD6306"/>
    <w:rsid w:val="21397AF8"/>
    <w:rsid w:val="3532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4B2B"/>
  <w15:chartTrackingRefBased/>
  <w15:docId w15:val="{F0BA91CA-8C74-43E0-9EC3-5717BD9B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5B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005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E005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EC1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EC1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7475EC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91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A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9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97B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efaultParagraphFont"/>
    <w:rsid w:val="00F80693"/>
    <w:rPr>
      <w:rFonts w:ascii="Segoe UI" w:hAnsi="Segoe UI" w:cs="Segoe UI" w:hint="default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3E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3E04"/>
    <w:rPr>
      <w:kern w:val="0"/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B73E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06217-df7c-4bf4-936d-b09aa3b837af" xsi:nil="true"/>
    <lcf76f155ced4ddcb4097134ff3c332f xmlns="5c2490db-6e42-4989-a0fb-d6ff54a6a7de">
      <Terms xmlns="http://schemas.microsoft.com/office/infopath/2007/PartnerControls"/>
    </lcf76f155ced4ddcb4097134ff3c332f>
    <_dlc_DocId xmlns="55894003-98dc-4f3e-8669-85b90bdbcc8c">GAVI-438364776-1087734</_dlc_DocId>
    <_dlc_DocIdUrl xmlns="55894003-98dc-4f3e-8669-85b90bdbcc8c">
      <Url>https://gavinet.sharepoint.com/teams/PAP/srp/_layouts/15/DocIdRedir.aspx?ID=GAVI-438364776-1087734</Url>
      <Description>GAVI-438364776-1087734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avi Document" ma:contentTypeID="0x0101009954897F3EE3CC4ABB9FB9EDAC9CDEBC0061E92A44B5DD2545AEF000129C25E859" ma:contentTypeVersion="211" ma:contentTypeDescription="Gavi Document content type " ma:contentTypeScope="" ma:versionID="3b0b85d5947ea24f0c0956fc47bdb498">
  <xsd:schema xmlns:xsd="http://www.w3.org/2001/XMLSchema" xmlns:xs="http://www.w3.org/2001/XMLSchema" xmlns:p="http://schemas.microsoft.com/office/2006/metadata/properties" xmlns:ns2="d0706217-df7c-4bf4-936d-b09aa3b837af" xmlns:ns3="55894003-98dc-4f3e-8669-85b90bdbcc8c" xmlns:ns4="5c2490db-6e42-4989-a0fb-d6ff54a6a7de" targetNamespace="http://schemas.microsoft.com/office/2006/metadata/properties" ma:root="true" ma:fieldsID="b24f44a081ec587cada9ab9c1fee1689" ns2:_="" ns3:_="" ns4:_="">
    <xsd:import namespace="d0706217-df7c-4bf4-936d-b09aa3b837af"/>
    <xsd:import namespace="55894003-98dc-4f3e-8669-85b90bdbcc8c"/>
    <xsd:import namespace="5c2490db-6e42-4989-a0fb-d6ff54a6a7d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2:TaxCatchAllLabel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06217-df7c-4bf4-936d-b09aa3b837af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description="" ma:hidden="true" ma:list="{c405dbff-886d-494b-bfcb-83b334e9f606}" ma:internalName="TaxCatchAll" ma:showField="CatchAllData" ma:web="55894003-98dc-4f3e-8669-85b90bdbc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405dbff-886d-494b-bfcb-83b334e9f606}" ma:internalName="TaxCatchAllLabel" ma:readOnly="true" ma:showField="CatchAllDataLabel" ma:web="55894003-98dc-4f3e-8669-85b90bdbc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94003-98dc-4f3e-8669-85b90bdbcc8c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490db-6e42-4989-a0fb-d6ff54a6a7d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3cb0222-e980-4273-ad97-85dba3159c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SharedContentType xmlns="Microsoft.SharePoint.Taxonomy.ContentTypeSync" SourceId="93cb0222-e980-4273-ad97-85dba3159c09" ContentTypeId="0x0101009954897F3EE3CC4ABB9FB9EDAC9CDEBC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0FA937-C6EC-4BB4-885E-9E134FFFBA74}">
  <ds:schemaRefs>
    <ds:schemaRef ds:uri="http://purl.org/dc/elements/1.1/"/>
    <ds:schemaRef ds:uri="http://schemas.microsoft.com/office/2006/metadata/properties"/>
    <ds:schemaRef ds:uri="700359ba-e36c-422a-9925-ddada98091a9"/>
    <ds:schemaRef ds:uri="d0706217-df7c-4bf4-936d-b09aa3b837af"/>
    <ds:schemaRef ds:uri="998dc545-0596-47bf-b914-7a05e078b45d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CF7044-6931-456C-892A-A9F6BB9E9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12DEB-1EDF-4AF2-9F59-6AD1E5B6FE58}"/>
</file>

<file path=customXml/itemProps4.xml><?xml version="1.0" encoding="utf-8"?>
<ds:datastoreItem xmlns:ds="http://schemas.openxmlformats.org/officeDocument/2006/customXml" ds:itemID="{A33FD0D6-093A-8042-8874-40E85601B07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68CBEDB-705F-4AD2-AE5F-1534BEF24DE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4F3E376-272F-433E-8E5B-518EE357A5D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3084</Characters>
  <Application>Microsoft Office Word</Application>
  <DocSecurity>0</DocSecurity>
  <Lines>25</Lines>
  <Paragraphs>7</Paragraphs>
  <ScaleCrop>false</ScaleCrop>
  <Company>GAVI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Morais</dc:creator>
  <cp:keywords/>
  <dc:description/>
  <cp:lastModifiedBy>Reme Lefevre</cp:lastModifiedBy>
  <cp:revision>2</cp:revision>
  <dcterms:created xsi:type="dcterms:W3CDTF">2024-05-17T12:41:00Z</dcterms:created>
  <dcterms:modified xsi:type="dcterms:W3CDTF">2024-05-17T12:41:00Z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957285-7815-485a-9751-5b273b784ad5_Enabled">
    <vt:lpwstr>true</vt:lpwstr>
  </property>
  <property fmtid="{D5CDD505-2E9C-101B-9397-08002B2CF9AE}" pid="3" name="MSIP_Label_0a957285-7815-485a-9751-5b273b784ad5_SetDate">
    <vt:lpwstr>2024-04-24T08:54:26Z</vt:lpwstr>
  </property>
  <property fmtid="{D5CDD505-2E9C-101B-9397-08002B2CF9AE}" pid="4" name="MSIP_Label_0a957285-7815-485a-9751-5b273b784ad5_Method">
    <vt:lpwstr>Privileged</vt:lpwstr>
  </property>
  <property fmtid="{D5CDD505-2E9C-101B-9397-08002B2CF9AE}" pid="5" name="MSIP_Label_0a957285-7815-485a-9751-5b273b784ad5_Name">
    <vt:lpwstr>0a957285-7815-485a-9751-5b273b784ad5</vt:lpwstr>
  </property>
  <property fmtid="{D5CDD505-2E9C-101B-9397-08002B2CF9AE}" pid="6" name="MSIP_Label_0a957285-7815-485a-9751-5b273b784ad5_SiteId">
    <vt:lpwstr>1de6d9f3-0daf-4df6-b9d6-5959f16f6118</vt:lpwstr>
  </property>
  <property fmtid="{D5CDD505-2E9C-101B-9397-08002B2CF9AE}" pid="7" name="MSIP_Label_0a957285-7815-485a-9751-5b273b784ad5_ActionId">
    <vt:lpwstr>13138abd-1d71-4e26-b4c3-82ca6eb6f11f</vt:lpwstr>
  </property>
  <property fmtid="{D5CDD505-2E9C-101B-9397-08002B2CF9AE}" pid="8" name="MSIP_Label_0a957285-7815-485a-9751-5b273b784ad5_ContentBits">
    <vt:lpwstr>0</vt:lpwstr>
  </property>
  <property fmtid="{D5CDD505-2E9C-101B-9397-08002B2CF9AE}" pid="9" name="ContentTypeId">
    <vt:lpwstr>0x0101009954897F3EE3CC4ABB9FB9EDAC9CDEBC0061E92A44B5DD2545AEF000129C25E859</vt:lpwstr>
  </property>
  <property fmtid="{D5CDD505-2E9C-101B-9397-08002B2CF9AE}" pid="10" name="_dlc_DocIdItemGuid">
    <vt:lpwstr>a87ff9e5-2324-4696-8644-752e09f79689</vt:lpwstr>
  </property>
  <property fmtid="{D5CDD505-2E9C-101B-9397-08002B2CF9AE}" pid="11" name="MediaServiceImageTags">
    <vt:lpwstr/>
  </property>
  <property fmtid="{D5CDD505-2E9C-101B-9397-08002B2CF9AE}" pid="12" name="Health">
    <vt:lpwstr/>
  </property>
  <property fmtid="{D5CDD505-2E9C-101B-9397-08002B2CF9AE}" pid="13" name="kfa83adfad8641678ddaedda80d7e126">
    <vt:lpwstr/>
  </property>
  <property fmtid="{D5CDD505-2E9C-101B-9397-08002B2CF9AE}" pid="14" name="Test">
    <vt:lpwstr/>
  </property>
  <property fmtid="{D5CDD505-2E9C-101B-9397-08002B2CF9AE}" pid="15" name="SharedWithUsers">
    <vt:lpwstr>59932;#André Morais;#13588;#Antara Sinha;#51;#Reme Lefevre;#27889;#Francisco Luquero;#43183;#Caroline Atherton (Consultant);#32959;#Beth Evans;#52685;#Nivedita Saksena (Consultant);#34905;#Allyson Russell;#61394;#Wang, Xin (CDC/DDID/NCIRD/DBD);#61395;#Tanya Shewchuk;#44648;#BARBOZA, Philippe;#56014;#Tatsiana Ptashnik;#56557;#DOMINGUEZ, Morgane;#60411;#Nadege Nnang</vt:lpwstr>
  </property>
</Properties>
</file>