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38CF" w14:textId="77777777" w:rsidR="00356C0F" w:rsidRDefault="00356C0F" w:rsidP="00FC4A11">
      <w:pPr>
        <w:pStyle w:val="Heading1"/>
        <w:spacing w:before="0" w:after="0" w:line="300" w:lineRule="exact"/>
        <w:rPr>
          <w:b/>
          <w:color w:val="70AD47" w:themeColor="accent6"/>
          <w:sz w:val="24"/>
          <w:lang w:val="en-GB"/>
        </w:rPr>
      </w:pPr>
    </w:p>
    <w:p w14:paraId="65EF56B6" w14:textId="77777777" w:rsidR="00F362F4" w:rsidRPr="00F362F4" w:rsidRDefault="00F362F4" w:rsidP="00F362F4">
      <w:pPr>
        <w:rPr>
          <w:lang w:val="en-GB"/>
        </w:rPr>
      </w:pPr>
    </w:p>
    <w:p w14:paraId="60FEA920" w14:textId="1ECAD990" w:rsidR="00EA0E8B" w:rsidRPr="002C0581" w:rsidRDefault="00EA0E8B" w:rsidP="00FC4A11">
      <w:pPr>
        <w:pStyle w:val="Heading1"/>
        <w:spacing w:before="0" w:after="0" w:line="340" w:lineRule="exact"/>
        <w:rPr>
          <w:b/>
          <w:color w:val="70AD47" w:themeColor="accent6"/>
          <w:sz w:val="24"/>
          <w:lang w:val="en-GB"/>
        </w:rPr>
      </w:pPr>
      <w:r w:rsidRPr="002C0581">
        <w:rPr>
          <w:b/>
          <w:color w:val="70AD47" w:themeColor="accent6"/>
          <w:sz w:val="24"/>
          <w:lang w:val="en-GB"/>
        </w:rPr>
        <w:t>TEMPLATE</w:t>
      </w:r>
    </w:p>
    <w:p w14:paraId="7C19C58D" w14:textId="6FF7F0CD" w:rsidR="000301CD" w:rsidRDefault="000301CD" w:rsidP="00FC4A11">
      <w:pPr>
        <w:spacing w:line="300" w:lineRule="exact"/>
        <w:rPr>
          <w:b/>
          <w:color w:val="4472C4" w:themeColor="accent1"/>
          <w:sz w:val="36"/>
          <w:szCs w:val="36"/>
          <w:lang w:val="en-GB"/>
        </w:rPr>
      </w:pPr>
    </w:p>
    <w:p w14:paraId="15DDCE4E" w14:textId="5988AC31" w:rsidR="00B177EC" w:rsidRPr="00B177EC" w:rsidRDefault="13974545" w:rsidP="13974545">
      <w:pPr>
        <w:spacing w:line="300" w:lineRule="exact"/>
        <w:jc w:val="center"/>
        <w:rPr>
          <w:b/>
          <w:bCs/>
          <w:color w:val="4472C4" w:themeColor="accent1"/>
          <w:sz w:val="32"/>
          <w:szCs w:val="32"/>
          <w:lang w:val="en-GB"/>
        </w:rPr>
      </w:pPr>
      <w:r w:rsidRPr="00CB6BEB">
        <w:rPr>
          <w:b/>
          <w:bCs/>
          <w:color w:val="4472C4" w:themeColor="accent1"/>
          <w:sz w:val="32"/>
          <w:szCs w:val="32"/>
          <w:lang w:val="en-GB"/>
        </w:rPr>
        <w:t>Ghana</w:t>
      </w:r>
    </w:p>
    <w:p w14:paraId="2F1C3C11" w14:textId="77777777" w:rsidR="00B177EC" w:rsidRDefault="00B177EC" w:rsidP="00FC4A11">
      <w:pPr>
        <w:spacing w:line="300" w:lineRule="exact"/>
        <w:rPr>
          <w:b/>
          <w:color w:val="4472C4" w:themeColor="accent1"/>
          <w:sz w:val="36"/>
          <w:szCs w:val="36"/>
          <w:lang w:val="en-GB"/>
        </w:rPr>
      </w:pPr>
    </w:p>
    <w:p w14:paraId="104F20A4" w14:textId="46A3E482" w:rsidR="00EA7614" w:rsidRDefault="000301CD" w:rsidP="00845498">
      <w:pPr>
        <w:spacing w:line="240" w:lineRule="auto"/>
        <w:jc w:val="center"/>
        <w:rPr>
          <w:b/>
          <w:color w:val="4471C4"/>
          <w:sz w:val="32"/>
          <w:szCs w:val="32"/>
          <w:lang w:val="en-GB"/>
        </w:rPr>
      </w:pPr>
      <w:r w:rsidRPr="4E4DD800">
        <w:rPr>
          <w:b/>
          <w:color w:val="4471C4"/>
          <w:sz w:val="32"/>
          <w:szCs w:val="32"/>
          <w:lang w:val="en-GB"/>
        </w:rPr>
        <w:t>PEF Targeted Country Assistance (TCA) Narrative</w:t>
      </w:r>
    </w:p>
    <w:p w14:paraId="299FEA98" w14:textId="14379F3C" w:rsidR="00EA7614" w:rsidRPr="000301CD" w:rsidRDefault="000301CD" w:rsidP="00845498">
      <w:pPr>
        <w:spacing w:line="240" w:lineRule="auto"/>
        <w:jc w:val="center"/>
        <w:rPr>
          <w:bCs/>
          <w:color w:val="808080" w:themeColor="background1" w:themeShade="80"/>
          <w:sz w:val="32"/>
          <w:szCs w:val="32"/>
          <w:lang w:val="en-GB"/>
        </w:rPr>
      </w:pPr>
      <w:r w:rsidRPr="4E4DD800">
        <w:rPr>
          <w:b/>
          <w:color w:val="4471C4"/>
          <w:sz w:val="32"/>
          <w:szCs w:val="32"/>
          <w:lang w:val="en-GB"/>
        </w:rPr>
        <w:t>for 2022-</w:t>
      </w:r>
      <w:r w:rsidRPr="4E4DD800">
        <w:rPr>
          <w:b/>
          <w:bCs/>
          <w:color w:val="4471C4"/>
          <w:sz w:val="32"/>
          <w:szCs w:val="32"/>
          <w:lang w:val="en-GB"/>
        </w:rPr>
        <w:t>2025 Multi-</w:t>
      </w:r>
      <w:r w:rsidRPr="4E4DD800">
        <w:rPr>
          <w:b/>
          <w:bCs/>
          <w:color w:val="4472C4" w:themeColor="accent1"/>
          <w:sz w:val="32"/>
          <w:szCs w:val="32"/>
          <w:lang w:val="en-GB"/>
        </w:rPr>
        <w:t>Year Planning</w:t>
      </w:r>
    </w:p>
    <w:p w14:paraId="505C9912" w14:textId="77777777" w:rsidR="000301CD" w:rsidRDefault="000301CD" w:rsidP="00FC4A11">
      <w:pPr>
        <w:spacing w:line="300" w:lineRule="exact"/>
        <w:rPr>
          <w:bCs/>
          <w:color w:val="808080" w:themeColor="background1" w:themeShade="80"/>
          <w:lang w:val="en-GB"/>
        </w:rPr>
      </w:pPr>
    </w:p>
    <w:p w14:paraId="0E23D244" w14:textId="5E6BA4ED" w:rsidR="000D0267" w:rsidRDefault="00322FAC" w:rsidP="00FC4A11">
      <w:pPr>
        <w:spacing w:line="300" w:lineRule="exact"/>
        <w:rPr>
          <w:bCs/>
          <w:color w:val="808080" w:themeColor="background1" w:themeShade="80"/>
        </w:rPr>
      </w:pPr>
      <w:r w:rsidRPr="00072D93">
        <w:rPr>
          <w:bCs/>
          <w:color w:val="808080" w:themeColor="background1" w:themeShade="80"/>
          <w:lang w:val="en-GB"/>
        </w:rPr>
        <w:t>Use this template to create a narrative that contextualise</w:t>
      </w:r>
      <w:r w:rsidR="008447E6">
        <w:rPr>
          <w:bCs/>
          <w:color w:val="808080" w:themeColor="background1" w:themeShade="80"/>
          <w:lang w:val="en-GB"/>
        </w:rPr>
        <w:t>s</w:t>
      </w:r>
      <w:r w:rsidRPr="00072D93">
        <w:rPr>
          <w:bCs/>
          <w:color w:val="808080" w:themeColor="background1" w:themeShade="80"/>
          <w:lang w:val="en-GB"/>
        </w:rPr>
        <w:t xml:space="preserve"> your </w:t>
      </w:r>
      <w:r w:rsidR="00E14236" w:rsidRPr="00072D93">
        <w:rPr>
          <w:bCs/>
          <w:color w:val="808080" w:themeColor="background1" w:themeShade="80"/>
          <w:lang w:val="en-GB"/>
        </w:rPr>
        <w:t>TCA plan</w:t>
      </w:r>
      <w:r w:rsidR="00EF52EE">
        <w:rPr>
          <w:bCs/>
          <w:color w:val="808080" w:themeColor="background1" w:themeShade="80"/>
          <w:lang w:val="en-GB"/>
        </w:rPr>
        <w:t xml:space="preserve"> for the planned</w:t>
      </w:r>
      <w:r w:rsidR="009731D8">
        <w:rPr>
          <w:bCs/>
          <w:color w:val="808080" w:themeColor="background1" w:themeShade="80"/>
          <w:lang w:val="en-GB"/>
        </w:rPr>
        <w:t xml:space="preserve"> duration</w:t>
      </w:r>
      <w:r w:rsidRPr="00072D93">
        <w:rPr>
          <w:bCs/>
          <w:color w:val="808080" w:themeColor="background1" w:themeShade="80"/>
          <w:lang w:val="en-GB"/>
        </w:rPr>
        <w:t xml:space="preserve"> and how the support </w:t>
      </w:r>
      <w:r w:rsidR="007454E0">
        <w:rPr>
          <w:bCs/>
          <w:color w:val="808080" w:themeColor="background1" w:themeShade="80"/>
          <w:lang w:val="en-GB"/>
        </w:rPr>
        <w:t>that</w:t>
      </w:r>
      <w:r w:rsidRPr="00072D93">
        <w:rPr>
          <w:bCs/>
          <w:color w:val="808080" w:themeColor="background1" w:themeShade="80"/>
          <w:lang w:val="en-GB"/>
        </w:rPr>
        <w:t xml:space="preserve"> you are requesting from Gavi will help you </w:t>
      </w:r>
      <w:r w:rsidR="008E6274">
        <w:rPr>
          <w:bCs/>
          <w:color w:val="808080" w:themeColor="background1" w:themeShade="80"/>
          <w:lang w:val="en-GB"/>
        </w:rPr>
        <w:t xml:space="preserve">reach your </w:t>
      </w:r>
      <w:r w:rsidR="00ED107F">
        <w:rPr>
          <w:bCs/>
          <w:color w:val="808080" w:themeColor="background1" w:themeShade="80"/>
          <w:lang w:val="en-GB"/>
        </w:rPr>
        <w:t>immunization</w:t>
      </w:r>
      <w:r w:rsidR="008E6274">
        <w:rPr>
          <w:bCs/>
          <w:color w:val="808080" w:themeColor="background1" w:themeShade="80"/>
          <w:lang w:val="en-GB"/>
        </w:rPr>
        <w:t xml:space="preserve"> goals. </w:t>
      </w:r>
      <w:r w:rsidRPr="00072D93">
        <w:rPr>
          <w:bCs/>
          <w:color w:val="808080" w:themeColor="background1" w:themeShade="80"/>
        </w:rPr>
        <w:t xml:space="preserve"> </w:t>
      </w:r>
    </w:p>
    <w:p w14:paraId="6F6CC660" w14:textId="77777777" w:rsidR="00056DDF" w:rsidRPr="00072D93" w:rsidRDefault="00056DDF" w:rsidP="00FC4A11">
      <w:pPr>
        <w:spacing w:line="300" w:lineRule="exact"/>
        <w:rPr>
          <w:bCs/>
          <w:color w:val="808080" w:themeColor="background1" w:themeShade="80"/>
        </w:rPr>
      </w:pPr>
    </w:p>
    <w:p w14:paraId="1AB11C18" w14:textId="238BD1D1" w:rsidR="001C1D82" w:rsidRPr="0065351E" w:rsidRDefault="00056DDF" w:rsidP="00056DDF">
      <w:pPr>
        <w:spacing w:line="300" w:lineRule="exact"/>
        <w:ind w:left="426"/>
        <w:rPr>
          <w:i/>
          <w:color w:val="808080" w:themeColor="background1" w:themeShade="80"/>
          <w:lang w:val="en-GB"/>
        </w:rPr>
      </w:pPr>
      <w:r w:rsidRPr="0065351E">
        <w:rPr>
          <w:i/>
          <w:color w:val="808080" w:themeColor="background1" w:themeShade="80"/>
          <w:lang w:val="en-GB"/>
        </w:rPr>
        <w:t>(Populated by Gavi)</w:t>
      </w: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00FB048D" w14:paraId="70C3917F" w14:textId="6D7D2D4E" w:rsidTr="004C6B53">
        <w:tc>
          <w:tcPr>
            <w:tcW w:w="2185" w:type="dxa"/>
            <w:shd w:val="clear" w:color="auto" w:fill="DEEAF6" w:themeFill="accent5" w:themeFillTint="33"/>
          </w:tcPr>
          <w:p w14:paraId="7BD2C001" w14:textId="20F00943" w:rsidR="00FB048D" w:rsidRPr="00372D1F" w:rsidRDefault="00FB048D" w:rsidP="00FC4A11">
            <w:pPr>
              <w:spacing w:line="300" w:lineRule="exact"/>
              <w:rPr>
                <w:b/>
                <w:lang w:val="en-GB"/>
              </w:rPr>
            </w:pPr>
            <w:r w:rsidRPr="00372D1F">
              <w:rPr>
                <w:b/>
                <w:lang w:val="en-GB"/>
              </w:rPr>
              <w:t>Total Envelope</w:t>
            </w:r>
          </w:p>
        </w:tc>
        <w:tc>
          <w:tcPr>
            <w:tcW w:w="5748" w:type="dxa"/>
            <w:gridSpan w:val="2"/>
            <w:shd w:val="clear" w:color="auto" w:fill="DEEAF6" w:themeFill="accent5" w:themeFillTint="33"/>
          </w:tcPr>
          <w:p w14:paraId="5F1CD927" w14:textId="6426DCE3" w:rsidR="00FB048D" w:rsidRPr="00372D1F" w:rsidRDefault="00FB048D" w:rsidP="00FC4A11">
            <w:pPr>
              <w:spacing w:line="300" w:lineRule="exact"/>
              <w:rPr>
                <w:b/>
                <w:lang w:val="en-GB"/>
              </w:rPr>
            </w:pPr>
            <w:r w:rsidRPr="00372D1F">
              <w:rPr>
                <w:b/>
                <w:lang w:val="en-GB"/>
              </w:rPr>
              <w:t>Indicative allocation per 2022-2025</w:t>
            </w:r>
          </w:p>
        </w:tc>
        <w:tc>
          <w:tcPr>
            <w:tcW w:w="1134" w:type="dxa"/>
            <w:shd w:val="clear" w:color="auto" w:fill="DEEAF6" w:themeFill="accent5" w:themeFillTint="33"/>
          </w:tcPr>
          <w:p w14:paraId="7640021E" w14:textId="0969877A" w:rsidR="00FB048D" w:rsidRPr="00372D1F" w:rsidRDefault="00FB048D" w:rsidP="00FC4A11">
            <w:pPr>
              <w:spacing w:line="300" w:lineRule="exact"/>
              <w:rPr>
                <w:b/>
                <w:lang w:val="en-GB"/>
              </w:rPr>
            </w:pPr>
            <w:r>
              <w:rPr>
                <w:b/>
                <w:lang w:val="en-GB"/>
              </w:rPr>
              <w:t>%</w:t>
            </w:r>
          </w:p>
        </w:tc>
      </w:tr>
      <w:tr w:rsidR="00FB048D" w14:paraId="150C4E2A" w14:textId="117ACA42" w:rsidTr="004C6B53">
        <w:tc>
          <w:tcPr>
            <w:tcW w:w="2185" w:type="dxa"/>
            <w:vMerge w:val="restart"/>
            <w:shd w:val="clear" w:color="auto" w:fill="FFFFFF" w:themeFill="background1"/>
          </w:tcPr>
          <w:p w14:paraId="731ED098" w14:textId="52C2C7EE" w:rsidR="00FB048D" w:rsidRPr="00845498" w:rsidRDefault="00FB048D" w:rsidP="00FC4A11">
            <w:pPr>
              <w:spacing w:line="300" w:lineRule="exact"/>
              <w:rPr>
                <w:bCs/>
                <w:color w:val="808080" w:themeColor="background1" w:themeShade="80"/>
                <w:lang w:val="en-GB"/>
              </w:rPr>
            </w:pPr>
            <w:r w:rsidRPr="00845498">
              <w:rPr>
                <w:color w:val="808080" w:themeColor="background1" w:themeShade="80"/>
                <w:lang w:val="en-GB"/>
              </w:rPr>
              <w:t>$</w:t>
            </w:r>
            <w:r w:rsidR="00CA3C58" w:rsidRPr="00845498">
              <w:rPr>
                <w:color w:val="808080" w:themeColor="background1" w:themeShade="80"/>
                <w:lang w:val="en-GB"/>
              </w:rPr>
              <w:t>2,558,161</w:t>
            </w:r>
          </w:p>
        </w:tc>
        <w:tc>
          <w:tcPr>
            <w:tcW w:w="787" w:type="dxa"/>
            <w:shd w:val="clear" w:color="auto" w:fill="E2EFD9" w:themeFill="accent6" w:themeFillTint="33"/>
          </w:tcPr>
          <w:p w14:paraId="7CFDAA42" w14:textId="1406FB5F" w:rsidR="00FB048D" w:rsidRPr="00845498" w:rsidRDefault="00FB048D" w:rsidP="00FC4A11">
            <w:pPr>
              <w:spacing w:line="300" w:lineRule="exact"/>
              <w:rPr>
                <w:b/>
                <w:lang w:val="en-GB"/>
              </w:rPr>
            </w:pPr>
            <w:r w:rsidRPr="00845498">
              <w:rPr>
                <w:b/>
                <w:lang w:val="en-GB"/>
              </w:rPr>
              <w:t>2022</w:t>
            </w:r>
          </w:p>
        </w:tc>
        <w:tc>
          <w:tcPr>
            <w:tcW w:w="4961" w:type="dxa"/>
            <w:shd w:val="clear" w:color="auto" w:fill="E2EFD9" w:themeFill="accent6" w:themeFillTint="33"/>
          </w:tcPr>
          <w:p w14:paraId="00353A5A" w14:textId="157CE6C1" w:rsidR="00FB048D" w:rsidRPr="00845498" w:rsidRDefault="00FB048D" w:rsidP="00FC4A11">
            <w:pPr>
              <w:spacing w:line="300" w:lineRule="exact"/>
              <w:rPr>
                <w:color w:val="808080" w:themeColor="background1" w:themeShade="80"/>
                <w:lang w:val="en-GB"/>
              </w:rPr>
            </w:pPr>
            <w:r w:rsidRPr="00845498">
              <w:rPr>
                <w:color w:val="808080" w:themeColor="background1" w:themeShade="80"/>
                <w:lang w:val="en-GB"/>
              </w:rPr>
              <w:t>$</w:t>
            </w:r>
            <w:r w:rsidR="001F385D" w:rsidRPr="00845498">
              <w:rPr>
                <w:color w:val="808080" w:themeColor="background1" w:themeShade="80"/>
                <w:lang w:val="en-GB"/>
              </w:rPr>
              <w:t>443,518</w:t>
            </w:r>
          </w:p>
        </w:tc>
        <w:tc>
          <w:tcPr>
            <w:tcW w:w="1134" w:type="dxa"/>
            <w:shd w:val="clear" w:color="auto" w:fill="E2EFD9" w:themeFill="accent6" w:themeFillTint="33"/>
          </w:tcPr>
          <w:p w14:paraId="2EADFDF3" w14:textId="122DCBBA" w:rsidR="00FB048D" w:rsidRDefault="00B047E7" w:rsidP="00FC4A11">
            <w:pPr>
              <w:spacing w:line="300" w:lineRule="exact"/>
              <w:rPr>
                <w:bCs/>
                <w:color w:val="808080" w:themeColor="background1" w:themeShade="80"/>
                <w:lang w:val="en-GB"/>
              </w:rPr>
            </w:pPr>
            <w:r>
              <w:rPr>
                <w:bCs/>
                <w:color w:val="808080" w:themeColor="background1" w:themeShade="80"/>
                <w:lang w:val="en-GB"/>
              </w:rPr>
              <w:t>17.3%</w:t>
            </w:r>
          </w:p>
        </w:tc>
      </w:tr>
      <w:tr w:rsidR="00FB048D" w14:paraId="3A3CDB53" w14:textId="7AF48707" w:rsidTr="004C6B53">
        <w:tc>
          <w:tcPr>
            <w:tcW w:w="2185" w:type="dxa"/>
            <w:vMerge/>
          </w:tcPr>
          <w:p w14:paraId="0CA26921" w14:textId="77777777" w:rsidR="00FB048D" w:rsidRPr="00845498" w:rsidRDefault="00FB048D" w:rsidP="00FC4A11">
            <w:pPr>
              <w:spacing w:line="300" w:lineRule="exact"/>
              <w:rPr>
                <w:bCs/>
                <w:color w:val="808080" w:themeColor="background1" w:themeShade="80"/>
                <w:lang w:val="en-GB"/>
              </w:rPr>
            </w:pPr>
          </w:p>
        </w:tc>
        <w:tc>
          <w:tcPr>
            <w:tcW w:w="787" w:type="dxa"/>
            <w:shd w:val="clear" w:color="auto" w:fill="E2EFD9" w:themeFill="accent6" w:themeFillTint="33"/>
          </w:tcPr>
          <w:p w14:paraId="5CF45603" w14:textId="2F76FA56" w:rsidR="00FB048D" w:rsidRPr="00845498" w:rsidRDefault="00FB048D" w:rsidP="00FC4A11">
            <w:pPr>
              <w:spacing w:line="300" w:lineRule="exact"/>
              <w:rPr>
                <w:b/>
                <w:lang w:val="en-GB"/>
              </w:rPr>
            </w:pPr>
            <w:r w:rsidRPr="00845498">
              <w:rPr>
                <w:b/>
                <w:lang w:val="en-GB"/>
              </w:rPr>
              <w:t>2023</w:t>
            </w:r>
          </w:p>
        </w:tc>
        <w:tc>
          <w:tcPr>
            <w:tcW w:w="4961" w:type="dxa"/>
            <w:shd w:val="clear" w:color="auto" w:fill="E2EFD9" w:themeFill="accent6" w:themeFillTint="33"/>
          </w:tcPr>
          <w:p w14:paraId="4DA7D255" w14:textId="73AD462A" w:rsidR="00FB048D" w:rsidRPr="00845498" w:rsidRDefault="00FB048D" w:rsidP="00FC4A11">
            <w:pPr>
              <w:spacing w:line="300" w:lineRule="exact"/>
              <w:rPr>
                <w:color w:val="808080" w:themeColor="background1" w:themeShade="80"/>
                <w:lang w:val="en-GB"/>
              </w:rPr>
            </w:pPr>
            <w:r w:rsidRPr="00845498">
              <w:rPr>
                <w:color w:val="808080" w:themeColor="background1" w:themeShade="80"/>
                <w:lang w:val="en-GB"/>
              </w:rPr>
              <w:t>$</w:t>
            </w:r>
            <w:r w:rsidR="00C77F70" w:rsidRPr="00845498">
              <w:rPr>
                <w:color w:val="808080" w:themeColor="background1" w:themeShade="80"/>
                <w:lang w:val="en-GB"/>
              </w:rPr>
              <w:t>704,881</w:t>
            </w:r>
          </w:p>
        </w:tc>
        <w:tc>
          <w:tcPr>
            <w:tcW w:w="1134" w:type="dxa"/>
            <w:shd w:val="clear" w:color="auto" w:fill="E2EFD9" w:themeFill="accent6" w:themeFillTint="33"/>
          </w:tcPr>
          <w:p w14:paraId="11ED1C8B" w14:textId="7952C836" w:rsidR="00FB048D" w:rsidRDefault="00845498" w:rsidP="00FC4A11">
            <w:pPr>
              <w:spacing w:line="300" w:lineRule="exact"/>
              <w:rPr>
                <w:bCs/>
                <w:color w:val="808080" w:themeColor="background1" w:themeShade="80"/>
                <w:lang w:val="en-GB"/>
              </w:rPr>
            </w:pPr>
            <w:r w:rsidRPr="00845498">
              <w:rPr>
                <w:bCs/>
                <w:color w:val="808080" w:themeColor="background1" w:themeShade="80"/>
                <w:lang w:val="en-GB"/>
              </w:rPr>
              <w:t>27.6</w:t>
            </w:r>
            <w:r>
              <w:rPr>
                <w:bCs/>
                <w:color w:val="808080" w:themeColor="background1" w:themeShade="80"/>
                <w:lang w:val="en-GB"/>
              </w:rPr>
              <w:t>%</w:t>
            </w:r>
          </w:p>
        </w:tc>
      </w:tr>
      <w:tr w:rsidR="00845498" w14:paraId="2B41AF6E" w14:textId="32236133" w:rsidTr="004C6B53">
        <w:tc>
          <w:tcPr>
            <w:tcW w:w="2185" w:type="dxa"/>
            <w:vMerge/>
          </w:tcPr>
          <w:p w14:paraId="738943EB" w14:textId="77777777" w:rsidR="00845498" w:rsidRPr="00845498" w:rsidRDefault="00845498" w:rsidP="00845498">
            <w:pPr>
              <w:spacing w:line="300" w:lineRule="exact"/>
              <w:rPr>
                <w:bCs/>
                <w:color w:val="808080" w:themeColor="background1" w:themeShade="80"/>
                <w:lang w:val="en-GB"/>
              </w:rPr>
            </w:pPr>
          </w:p>
        </w:tc>
        <w:tc>
          <w:tcPr>
            <w:tcW w:w="787" w:type="dxa"/>
            <w:shd w:val="clear" w:color="auto" w:fill="E2EFD9" w:themeFill="accent6" w:themeFillTint="33"/>
          </w:tcPr>
          <w:p w14:paraId="28C528DF" w14:textId="4AE7C869" w:rsidR="00845498" w:rsidRPr="00845498" w:rsidRDefault="00845498" w:rsidP="00845498">
            <w:pPr>
              <w:spacing w:line="300" w:lineRule="exact"/>
              <w:rPr>
                <w:b/>
                <w:lang w:val="en-GB"/>
              </w:rPr>
            </w:pPr>
            <w:r w:rsidRPr="00845498">
              <w:rPr>
                <w:b/>
                <w:lang w:val="en-GB"/>
              </w:rPr>
              <w:t>2024</w:t>
            </w:r>
          </w:p>
        </w:tc>
        <w:tc>
          <w:tcPr>
            <w:tcW w:w="4961" w:type="dxa"/>
            <w:shd w:val="clear" w:color="auto" w:fill="E2EFD9" w:themeFill="accent6" w:themeFillTint="33"/>
          </w:tcPr>
          <w:p w14:paraId="73FF7BEA" w14:textId="5969A11B" w:rsidR="00845498" w:rsidRPr="00845498" w:rsidRDefault="00845498" w:rsidP="00845498">
            <w:pPr>
              <w:spacing w:line="300" w:lineRule="exact"/>
              <w:rPr>
                <w:color w:val="808080" w:themeColor="background1" w:themeShade="80"/>
                <w:lang w:val="en-GB"/>
              </w:rPr>
            </w:pPr>
            <w:r w:rsidRPr="00845498">
              <w:rPr>
                <w:color w:val="808080" w:themeColor="background1" w:themeShade="80"/>
                <w:lang w:val="en-GB"/>
              </w:rPr>
              <w:t>$704,881</w:t>
            </w:r>
          </w:p>
        </w:tc>
        <w:tc>
          <w:tcPr>
            <w:tcW w:w="1134" w:type="dxa"/>
            <w:shd w:val="clear" w:color="auto" w:fill="E2EFD9" w:themeFill="accent6" w:themeFillTint="33"/>
          </w:tcPr>
          <w:p w14:paraId="1254B287" w14:textId="41F49F7B" w:rsidR="00845498" w:rsidRDefault="00845498" w:rsidP="00845498">
            <w:pPr>
              <w:spacing w:line="300" w:lineRule="exact"/>
              <w:rPr>
                <w:bCs/>
                <w:color w:val="808080" w:themeColor="background1" w:themeShade="80"/>
                <w:lang w:val="en-GB"/>
              </w:rPr>
            </w:pPr>
            <w:r w:rsidRPr="002C16AD">
              <w:rPr>
                <w:bCs/>
                <w:color w:val="808080" w:themeColor="background1" w:themeShade="80"/>
                <w:lang w:val="en-GB"/>
              </w:rPr>
              <w:t>27.6%</w:t>
            </w:r>
          </w:p>
        </w:tc>
      </w:tr>
      <w:tr w:rsidR="00845498" w14:paraId="73C20E40" w14:textId="35835C83" w:rsidTr="004C6B53">
        <w:tc>
          <w:tcPr>
            <w:tcW w:w="2185" w:type="dxa"/>
            <w:vMerge/>
          </w:tcPr>
          <w:p w14:paraId="18EF2475" w14:textId="77777777" w:rsidR="00845498" w:rsidRPr="00845498" w:rsidRDefault="00845498" w:rsidP="00845498">
            <w:pPr>
              <w:spacing w:line="300" w:lineRule="exact"/>
              <w:rPr>
                <w:bCs/>
                <w:color w:val="808080" w:themeColor="background1" w:themeShade="80"/>
                <w:lang w:val="en-GB"/>
              </w:rPr>
            </w:pPr>
          </w:p>
        </w:tc>
        <w:tc>
          <w:tcPr>
            <w:tcW w:w="787" w:type="dxa"/>
            <w:shd w:val="clear" w:color="auto" w:fill="E2EFD9" w:themeFill="accent6" w:themeFillTint="33"/>
          </w:tcPr>
          <w:p w14:paraId="0B5FF449" w14:textId="369B0CA3" w:rsidR="00845498" w:rsidRPr="00845498" w:rsidRDefault="00845498" w:rsidP="00845498">
            <w:pPr>
              <w:spacing w:line="300" w:lineRule="exact"/>
              <w:rPr>
                <w:b/>
                <w:lang w:val="en-GB"/>
              </w:rPr>
            </w:pPr>
            <w:r w:rsidRPr="00845498">
              <w:rPr>
                <w:b/>
                <w:lang w:val="en-GB"/>
              </w:rPr>
              <w:t>2025</w:t>
            </w:r>
          </w:p>
        </w:tc>
        <w:tc>
          <w:tcPr>
            <w:tcW w:w="4961" w:type="dxa"/>
            <w:shd w:val="clear" w:color="auto" w:fill="E2EFD9" w:themeFill="accent6" w:themeFillTint="33"/>
          </w:tcPr>
          <w:p w14:paraId="29566DE1" w14:textId="44567FB8" w:rsidR="00845498" w:rsidRPr="00845498" w:rsidRDefault="00845498" w:rsidP="00845498">
            <w:pPr>
              <w:spacing w:line="300" w:lineRule="exact"/>
              <w:rPr>
                <w:color w:val="808080" w:themeColor="background1" w:themeShade="80"/>
                <w:lang w:val="en-GB"/>
              </w:rPr>
            </w:pPr>
            <w:r w:rsidRPr="00845498">
              <w:rPr>
                <w:color w:val="808080" w:themeColor="background1" w:themeShade="80"/>
                <w:lang w:val="en-GB"/>
              </w:rPr>
              <w:t>$704,881</w:t>
            </w:r>
          </w:p>
        </w:tc>
        <w:tc>
          <w:tcPr>
            <w:tcW w:w="1134" w:type="dxa"/>
            <w:shd w:val="clear" w:color="auto" w:fill="E2EFD9" w:themeFill="accent6" w:themeFillTint="33"/>
          </w:tcPr>
          <w:p w14:paraId="0B80D2E7" w14:textId="60970706" w:rsidR="00845498" w:rsidRDefault="00845498" w:rsidP="00845498">
            <w:pPr>
              <w:spacing w:line="300" w:lineRule="exact"/>
              <w:rPr>
                <w:bCs/>
                <w:color w:val="808080" w:themeColor="background1" w:themeShade="80"/>
                <w:lang w:val="en-GB"/>
              </w:rPr>
            </w:pPr>
            <w:r w:rsidRPr="002C16AD">
              <w:rPr>
                <w:bCs/>
                <w:color w:val="808080" w:themeColor="background1" w:themeShade="80"/>
                <w:lang w:val="en-GB"/>
              </w:rPr>
              <w:t>27.6%</w:t>
            </w:r>
          </w:p>
        </w:tc>
      </w:tr>
    </w:tbl>
    <w:p w14:paraId="1F6083B3" w14:textId="77777777" w:rsidR="00A47FCF" w:rsidRDefault="00A47FCF" w:rsidP="00FC4A11">
      <w:pPr>
        <w:spacing w:line="300" w:lineRule="exact"/>
        <w:rPr>
          <w:bCs/>
          <w:color w:val="808080" w:themeColor="background1" w:themeShade="80"/>
          <w:lang w:val="en-GB"/>
        </w:rPr>
      </w:pPr>
    </w:p>
    <w:p w14:paraId="030CF340" w14:textId="34A3E30E" w:rsidR="00650EB6" w:rsidRDefault="00FB7375" w:rsidP="00CE1F57">
      <w:pPr>
        <w:pStyle w:val="ListParagraph"/>
        <w:numPr>
          <w:ilvl w:val="0"/>
          <w:numId w:val="5"/>
        </w:numPr>
        <w:spacing w:line="300" w:lineRule="exact"/>
        <w:ind w:left="426"/>
        <w:rPr>
          <w:b/>
          <w:color w:val="84C650"/>
          <w:sz w:val="26"/>
          <w:szCs w:val="26"/>
          <w:lang w:val="en-GB"/>
        </w:rPr>
      </w:pPr>
      <w:r>
        <w:rPr>
          <w:b/>
          <w:color w:val="70AD47" w:themeColor="accent6"/>
          <w:sz w:val="26"/>
          <w:szCs w:val="26"/>
          <w:lang w:val="en-GB"/>
        </w:rPr>
        <w:t>K</w:t>
      </w:r>
      <w:r w:rsidRPr="00FB7375">
        <w:rPr>
          <w:b/>
          <w:color w:val="70AD47" w:themeColor="accent6"/>
          <w:sz w:val="26"/>
          <w:szCs w:val="26"/>
          <w:lang w:val="en-GB"/>
        </w:rPr>
        <w:t xml:space="preserve">ey objectives for the </w:t>
      </w:r>
      <w:r>
        <w:rPr>
          <w:b/>
          <w:color w:val="70AD47" w:themeColor="accent6"/>
          <w:sz w:val="26"/>
          <w:szCs w:val="26"/>
          <w:lang w:val="en-GB"/>
        </w:rPr>
        <w:t>EPI</w:t>
      </w:r>
      <w:r w:rsidRPr="00FB7375">
        <w:rPr>
          <w:b/>
          <w:color w:val="70AD47" w:themeColor="accent6"/>
          <w:sz w:val="26"/>
          <w:szCs w:val="26"/>
          <w:lang w:val="en-GB"/>
        </w:rPr>
        <w:t xml:space="preserve"> program and known gaps/bottlenecks </w:t>
      </w:r>
      <w:r w:rsidR="00650EB6">
        <w:rPr>
          <w:b/>
          <w:color w:val="70AD47" w:themeColor="accent6"/>
          <w:sz w:val="26"/>
          <w:szCs w:val="26"/>
          <w:lang w:val="en-GB"/>
        </w:rPr>
        <w:t>(0.5 page)</w:t>
      </w:r>
    </w:p>
    <w:p w14:paraId="52D793FC" w14:textId="77777777" w:rsidR="000E69CF" w:rsidRDefault="000E69CF" w:rsidP="00FC4A11">
      <w:pPr>
        <w:spacing w:line="300" w:lineRule="exact"/>
        <w:rPr>
          <w:bCs/>
          <w:color w:val="808080" w:themeColor="background1" w:themeShade="8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650EB6" w14:paraId="4DE8D376" w14:textId="77777777" w:rsidTr="1AE3B657">
        <w:tc>
          <w:tcPr>
            <w:tcW w:w="9192" w:type="dxa"/>
            <w:tcBorders>
              <w:bottom w:val="single" w:sz="6" w:space="0" w:color="auto"/>
            </w:tcBorders>
            <w:shd w:val="clear" w:color="auto" w:fill="F2F2F2" w:themeFill="background1" w:themeFillShade="F2"/>
          </w:tcPr>
          <w:p w14:paraId="7976640A" w14:textId="2327D355" w:rsidR="00650EB6" w:rsidRPr="00650EB6" w:rsidRDefault="00650EB6" w:rsidP="00871FCF">
            <w:pPr>
              <w:spacing w:line="300" w:lineRule="exact"/>
              <w:rPr>
                <w:b/>
                <w:i/>
                <w:iCs/>
                <w:color w:val="000000" w:themeColor="text1"/>
                <w:sz w:val="20"/>
                <w:szCs w:val="20"/>
                <w:lang w:val="en-GB"/>
              </w:rPr>
            </w:pPr>
            <w:r>
              <w:rPr>
                <w:b/>
                <w:bCs/>
                <w:i/>
                <w:iCs/>
                <w:color w:val="000000" w:themeColor="text1"/>
                <w:sz w:val="20"/>
                <w:szCs w:val="20"/>
                <w:lang w:val="en-GB"/>
              </w:rPr>
              <w:t xml:space="preserve">1.1 </w:t>
            </w:r>
            <w:r w:rsidRPr="008C7464">
              <w:rPr>
                <w:b/>
                <w:bCs/>
                <w:i/>
                <w:iCs/>
                <w:sz w:val="20"/>
                <w:szCs w:val="20"/>
              </w:rPr>
              <w:t xml:space="preserve">Please note any country context that </w:t>
            </w:r>
            <w:r w:rsidR="00483273">
              <w:rPr>
                <w:b/>
                <w:bCs/>
                <w:i/>
                <w:iCs/>
                <w:sz w:val="20"/>
                <w:szCs w:val="20"/>
              </w:rPr>
              <w:t>is</w:t>
            </w:r>
            <w:r w:rsidRPr="008C7464">
              <w:rPr>
                <w:b/>
                <w:bCs/>
                <w:i/>
                <w:iCs/>
                <w:sz w:val="20"/>
                <w:szCs w:val="20"/>
              </w:rPr>
              <w:t xml:space="preserve"> significant to understanding the country</w:t>
            </w:r>
            <w:r w:rsidR="00483273">
              <w:rPr>
                <w:b/>
                <w:bCs/>
                <w:i/>
                <w:iCs/>
                <w:sz w:val="20"/>
                <w:szCs w:val="20"/>
              </w:rPr>
              <w:t>'s</w:t>
            </w:r>
            <w:r w:rsidRPr="008C7464">
              <w:rPr>
                <w:b/>
                <w:bCs/>
                <w:i/>
                <w:iCs/>
                <w:sz w:val="20"/>
                <w:szCs w:val="20"/>
              </w:rPr>
              <w:t xml:space="preserve"> vision and request for Gavi TCA support. What specific effects do these factors have on the national </w:t>
            </w:r>
            <w:r w:rsidR="00ED107F">
              <w:rPr>
                <w:b/>
                <w:bCs/>
                <w:i/>
                <w:iCs/>
                <w:sz w:val="20"/>
                <w:szCs w:val="20"/>
              </w:rPr>
              <w:t>immunization</w:t>
            </w:r>
            <w:r w:rsidRPr="008C7464">
              <w:rPr>
                <w:b/>
                <w:bCs/>
                <w:i/>
                <w:iCs/>
                <w:sz w:val="20"/>
                <w:szCs w:val="20"/>
              </w:rPr>
              <w:t xml:space="preserve"> programme</w:t>
            </w:r>
            <w:r w:rsidR="003036DC">
              <w:rPr>
                <w:b/>
                <w:bCs/>
                <w:i/>
                <w:iCs/>
                <w:sz w:val="20"/>
                <w:szCs w:val="20"/>
              </w:rPr>
              <w:t>?</w:t>
            </w:r>
          </w:p>
        </w:tc>
      </w:tr>
      <w:tr w:rsidR="00650EB6" w14:paraId="79578C2F" w14:textId="77777777" w:rsidTr="1AE3B657">
        <w:tc>
          <w:tcPr>
            <w:tcW w:w="9192" w:type="dxa"/>
            <w:tcBorders>
              <w:top w:val="single" w:sz="6" w:space="0" w:color="auto"/>
              <w:left w:val="single" w:sz="6" w:space="0" w:color="auto"/>
              <w:bottom w:val="single" w:sz="6" w:space="0" w:color="auto"/>
              <w:right w:val="single" w:sz="6" w:space="0" w:color="auto"/>
            </w:tcBorders>
          </w:tcPr>
          <w:p w14:paraId="7F352F66" w14:textId="05FDE2ED" w:rsidR="00C715E2" w:rsidRPr="00D64392" w:rsidRDefault="00C715E2" w:rsidP="005B2DB6">
            <w:pPr>
              <w:spacing w:line="300" w:lineRule="exact"/>
              <w:jc w:val="both"/>
              <w:rPr>
                <w:color w:val="4472C4" w:themeColor="accent1"/>
                <w:lang w:val="en-GB"/>
              </w:rPr>
            </w:pPr>
            <w:r w:rsidRPr="00D64392">
              <w:rPr>
                <w:color w:val="4472C4" w:themeColor="accent1"/>
                <w:lang w:val="en-GB"/>
              </w:rPr>
              <w:t>The EPI Programme was established to contribute to the overall poverty reduction goal of the government by decreasing the magnitude of vaccine-preventable diseases through immunization.</w:t>
            </w:r>
            <w:r w:rsidRPr="00D64392">
              <w:rPr>
                <w:color w:val="4472C4" w:themeColor="accent1"/>
                <w:lang w:val="en-GB"/>
              </w:rPr>
              <w:tab/>
              <w:t xml:space="preserve">The overarching objective of the Programme is </w:t>
            </w:r>
            <w:r w:rsidR="005B2DB6" w:rsidRPr="00D64392">
              <w:rPr>
                <w:color w:val="4472C4" w:themeColor="accent1"/>
                <w:lang w:val="en-GB"/>
              </w:rPr>
              <w:t xml:space="preserve">to </w:t>
            </w:r>
            <w:r w:rsidRPr="00D64392">
              <w:rPr>
                <w:color w:val="4472C4" w:themeColor="accent1"/>
                <w:lang w:val="en-GB"/>
              </w:rPr>
              <w:t xml:space="preserve">accelerate efforts towards the control, elimination and eradication of vaccine preventable diseases. The Programme also aims that the population benefits from new and underused vaccines recommended across the life course. There is the continuous need to strengthen surveillance on </w:t>
            </w:r>
            <w:proofErr w:type="spellStart"/>
            <w:r w:rsidRPr="00D64392">
              <w:rPr>
                <w:color w:val="4472C4" w:themeColor="accent1"/>
                <w:lang w:val="en-GB"/>
              </w:rPr>
              <w:t>advserse</w:t>
            </w:r>
            <w:proofErr w:type="spellEnd"/>
            <w:r w:rsidRPr="00D64392">
              <w:rPr>
                <w:color w:val="4472C4" w:themeColor="accent1"/>
                <w:lang w:val="en-GB"/>
              </w:rPr>
              <w:t xml:space="preserve"> events following immunization (AEFI) to ensure vaccine safety as well as stren</w:t>
            </w:r>
            <w:r w:rsidR="005B2DB6" w:rsidRPr="00D64392">
              <w:rPr>
                <w:color w:val="4472C4" w:themeColor="accent1"/>
                <w:lang w:val="en-GB"/>
              </w:rPr>
              <w:t>g</w:t>
            </w:r>
            <w:r w:rsidRPr="00D64392">
              <w:rPr>
                <w:color w:val="4472C4" w:themeColor="accent1"/>
                <w:lang w:val="en-GB"/>
              </w:rPr>
              <w:t xml:space="preserve">then surveillance in vaccine preventable diseases (VPDs). Governance </w:t>
            </w:r>
            <w:r w:rsidR="005B2DB6" w:rsidRPr="00D64392">
              <w:rPr>
                <w:color w:val="4472C4" w:themeColor="accent1"/>
                <w:lang w:val="en-GB"/>
              </w:rPr>
              <w:t>systems including Regulation, the National Immunization Technical Advisory Group (NITAG), Inter-Agency Coordinating Committee (ICC) etc</w:t>
            </w:r>
            <w:r w:rsidR="00D64392">
              <w:rPr>
                <w:color w:val="4472C4" w:themeColor="accent1"/>
                <w:lang w:val="en-GB"/>
              </w:rPr>
              <w:t>.,</w:t>
            </w:r>
            <w:r w:rsidR="005B2DB6" w:rsidRPr="00D64392">
              <w:rPr>
                <w:color w:val="4472C4" w:themeColor="accent1"/>
                <w:lang w:val="en-GB"/>
              </w:rPr>
              <w:t xml:space="preserve"> are being strengthened. Efforts are being made to build local capacity to use innovation to solve programmatic challenges. Most importantly, the EPI Programme aims to </w:t>
            </w:r>
            <w:r w:rsidRPr="00D64392">
              <w:rPr>
                <w:color w:val="4472C4" w:themeColor="accent1"/>
                <w:lang w:val="en-GB"/>
              </w:rPr>
              <w:t xml:space="preserve">improve </w:t>
            </w:r>
            <w:r w:rsidR="005B2DB6" w:rsidRPr="00D64392">
              <w:rPr>
                <w:color w:val="4472C4" w:themeColor="accent1"/>
                <w:lang w:val="en-GB"/>
              </w:rPr>
              <w:t>s</w:t>
            </w:r>
            <w:r w:rsidRPr="00D64392">
              <w:rPr>
                <w:color w:val="4472C4" w:themeColor="accent1"/>
                <w:lang w:val="en-GB"/>
              </w:rPr>
              <w:t xml:space="preserve">ustainable </w:t>
            </w:r>
            <w:r w:rsidR="005B2DB6" w:rsidRPr="00D64392">
              <w:rPr>
                <w:color w:val="4472C4" w:themeColor="accent1"/>
                <w:lang w:val="en-GB"/>
              </w:rPr>
              <w:t>f</w:t>
            </w:r>
            <w:r w:rsidRPr="00D64392">
              <w:rPr>
                <w:color w:val="4472C4" w:themeColor="accent1"/>
                <w:lang w:val="en-GB"/>
              </w:rPr>
              <w:t xml:space="preserve">inancing </w:t>
            </w:r>
            <w:r w:rsidR="005B2DB6" w:rsidRPr="00D64392">
              <w:rPr>
                <w:color w:val="4472C4" w:themeColor="accent1"/>
                <w:lang w:val="en-GB"/>
              </w:rPr>
              <w:t xml:space="preserve">immunization </w:t>
            </w:r>
            <w:r w:rsidRPr="00D64392">
              <w:rPr>
                <w:color w:val="4472C4" w:themeColor="accent1"/>
                <w:lang w:val="en-GB"/>
              </w:rPr>
              <w:t>for Universal Health Care (UHC)</w:t>
            </w:r>
            <w:r w:rsidR="005B2DB6" w:rsidRPr="00D64392">
              <w:rPr>
                <w:color w:val="4472C4" w:themeColor="accent1"/>
                <w:lang w:val="en-GB"/>
              </w:rPr>
              <w:t>.</w:t>
            </w:r>
          </w:p>
          <w:p w14:paraId="033435FA" w14:textId="05077232" w:rsidR="005B2DB6" w:rsidRPr="00D64392" w:rsidRDefault="005B2DB6" w:rsidP="005B2DB6">
            <w:pPr>
              <w:spacing w:line="300" w:lineRule="exact"/>
              <w:jc w:val="both"/>
              <w:rPr>
                <w:color w:val="4472C4" w:themeColor="accent1"/>
                <w:lang w:val="en-GB"/>
              </w:rPr>
            </w:pPr>
          </w:p>
          <w:p w14:paraId="779B34B9" w14:textId="5E883108" w:rsidR="005B2DB6" w:rsidRPr="00D64392" w:rsidRDefault="60585A0F" w:rsidP="1AE3B657">
            <w:pPr>
              <w:spacing w:line="300" w:lineRule="exact"/>
              <w:jc w:val="both"/>
              <w:rPr>
                <w:color w:val="4472C4" w:themeColor="accent1"/>
                <w:lang w:val="en-GB"/>
              </w:rPr>
            </w:pPr>
            <w:r w:rsidRPr="1AE3B657">
              <w:rPr>
                <w:color w:val="4472C4" w:themeColor="accent1"/>
                <w:lang w:val="en-GB"/>
              </w:rPr>
              <w:t xml:space="preserve">There continue to be disparities in access across geographical areas </w:t>
            </w:r>
            <w:r w:rsidR="009E2C6E" w:rsidRPr="1AE3B657">
              <w:rPr>
                <w:color w:val="4472C4" w:themeColor="accent1"/>
                <w:lang w:val="en-GB"/>
              </w:rPr>
              <w:t>with persons in</w:t>
            </w:r>
            <w:r w:rsidRPr="1AE3B657">
              <w:rPr>
                <w:color w:val="4472C4" w:themeColor="accent1"/>
                <w:lang w:val="en-GB"/>
              </w:rPr>
              <w:t xml:space="preserve"> hard-to-reach</w:t>
            </w:r>
            <w:r w:rsidR="009E2C6E" w:rsidRPr="1AE3B657">
              <w:rPr>
                <w:color w:val="4472C4" w:themeColor="accent1"/>
                <w:lang w:val="en-GB"/>
              </w:rPr>
              <w:t>, urban slums</w:t>
            </w:r>
            <w:r w:rsidRPr="1AE3B657">
              <w:rPr>
                <w:color w:val="4472C4" w:themeColor="accent1"/>
                <w:lang w:val="en-GB"/>
              </w:rPr>
              <w:t xml:space="preserve"> and deprived communities</w:t>
            </w:r>
            <w:r w:rsidR="233A9EAF" w:rsidRPr="1AE3B657">
              <w:rPr>
                <w:color w:val="4472C4" w:themeColor="accent1"/>
                <w:lang w:val="en-GB"/>
              </w:rPr>
              <w:t xml:space="preserve"> being the</w:t>
            </w:r>
            <w:r w:rsidR="009E2C6E" w:rsidRPr="1AE3B657">
              <w:rPr>
                <w:color w:val="4472C4" w:themeColor="accent1"/>
                <w:lang w:val="en-GB"/>
              </w:rPr>
              <w:t xml:space="preserve"> most affected. </w:t>
            </w:r>
            <w:r w:rsidR="233A9EAF" w:rsidRPr="1AE3B657">
              <w:rPr>
                <w:color w:val="4472C4" w:themeColor="accent1"/>
                <w:lang w:val="en-GB"/>
              </w:rPr>
              <w:t xml:space="preserve">As a consequence, there are </w:t>
            </w:r>
            <w:r w:rsidR="009E2C6E" w:rsidRPr="1AE3B657">
              <w:rPr>
                <w:color w:val="4472C4" w:themeColor="accent1"/>
                <w:lang w:val="en-GB"/>
              </w:rPr>
              <w:t>under-served communities and zero-dose children. Inadequate capacity of staff has been identified as a key challenge affect</w:t>
            </w:r>
            <w:r w:rsidR="233A9EAF" w:rsidRPr="1AE3B657">
              <w:rPr>
                <w:color w:val="4472C4" w:themeColor="accent1"/>
                <w:lang w:val="en-GB"/>
              </w:rPr>
              <w:t xml:space="preserve">ing </w:t>
            </w:r>
            <w:r w:rsidR="009E2C6E" w:rsidRPr="1AE3B657">
              <w:rPr>
                <w:color w:val="4472C4" w:themeColor="accent1"/>
                <w:lang w:val="en-GB"/>
              </w:rPr>
              <w:t xml:space="preserve">the </w:t>
            </w:r>
            <w:proofErr w:type="gramStart"/>
            <w:r w:rsidR="009E2C6E" w:rsidRPr="1AE3B657">
              <w:rPr>
                <w:color w:val="4472C4" w:themeColor="accent1"/>
                <w:lang w:val="en-GB"/>
              </w:rPr>
              <w:t>quality of service</w:t>
            </w:r>
            <w:proofErr w:type="gramEnd"/>
            <w:r w:rsidR="009E2C6E" w:rsidRPr="1AE3B657">
              <w:rPr>
                <w:color w:val="4472C4" w:themeColor="accent1"/>
                <w:lang w:val="en-GB"/>
              </w:rPr>
              <w:t xml:space="preserve"> delivery. </w:t>
            </w:r>
            <w:r w:rsidR="3018A252" w:rsidRPr="1AE3B657">
              <w:rPr>
                <w:color w:val="4472C4" w:themeColor="accent1"/>
                <w:lang w:val="en-GB"/>
              </w:rPr>
              <w:t xml:space="preserve">Capacity building </w:t>
            </w:r>
            <w:r w:rsidR="3018A252" w:rsidRPr="1AE3B657">
              <w:rPr>
                <w:color w:val="4472C4" w:themeColor="accent1"/>
                <w:lang w:val="en-GB"/>
              </w:rPr>
              <w:lastRenderedPageBreak/>
              <w:t>including t</w:t>
            </w:r>
            <w:r w:rsidR="009E2C6E" w:rsidRPr="1AE3B657">
              <w:rPr>
                <w:color w:val="4472C4" w:themeColor="accent1"/>
                <w:lang w:val="en-GB"/>
              </w:rPr>
              <w:t>raining</w:t>
            </w:r>
            <w:r w:rsidR="3018A252" w:rsidRPr="1AE3B657">
              <w:rPr>
                <w:color w:val="4472C4" w:themeColor="accent1"/>
                <w:lang w:val="en-GB"/>
              </w:rPr>
              <w:t xml:space="preserve"> does not</w:t>
            </w:r>
            <w:r w:rsidR="009E2C6E" w:rsidRPr="1AE3B657">
              <w:rPr>
                <w:color w:val="4472C4" w:themeColor="accent1"/>
                <w:lang w:val="en-GB"/>
              </w:rPr>
              <w:t xml:space="preserve"> to reach all staff because of limited funding</w:t>
            </w:r>
            <w:r w:rsidR="3018A252" w:rsidRPr="1AE3B657">
              <w:rPr>
                <w:color w:val="4472C4" w:themeColor="accent1"/>
                <w:lang w:val="en-GB"/>
              </w:rPr>
              <w:t xml:space="preserve"> and/or </w:t>
            </w:r>
            <w:r w:rsidR="233A9EAF" w:rsidRPr="1AE3B657">
              <w:rPr>
                <w:color w:val="4472C4" w:themeColor="accent1"/>
                <w:lang w:val="en-GB"/>
              </w:rPr>
              <w:t xml:space="preserve">ICT </w:t>
            </w:r>
            <w:r w:rsidR="3018A252" w:rsidRPr="1AE3B657">
              <w:rPr>
                <w:color w:val="4472C4" w:themeColor="accent1"/>
                <w:lang w:val="en-GB"/>
              </w:rPr>
              <w:t>in</w:t>
            </w:r>
            <w:r w:rsidR="233A9EAF" w:rsidRPr="1AE3B657">
              <w:rPr>
                <w:color w:val="4472C4" w:themeColor="accent1"/>
                <w:lang w:val="en-GB"/>
              </w:rPr>
              <w:t>f</w:t>
            </w:r>
            <w:r w:rsidR="3018A252" w:rsidRPr="1AE3B657">
              <w:rPr>
                <w:color w:val="4472C4" w:themeColor="accent1"/>
                <w:lang w:val="en-GB"/>
              </w:rPr>
              <w:t>rastructure</w:t>
            </w:r>
            <w:r w:rsidR="009E2C6E" w:rsidRPr="1AE3B657">
              <w:rPr>
                <w:color w:val="4472C4" w:themeColor="accent1"/>
                <w:lang w:val="en-GB"/>
              </w:rPr>
              <w:t xml:space="preserve">. Demand generation activities are limited especially </w:t>
            </w:r>
            <w:r w:rsidR="233A9EAF" w:rsidRPr="1AE3B657">
              <w:rPr>
                <w:color w:val="4472C4" w:themeColor="accent1"/>
                <w:lang w:val="en-GB"/>
              </w:rPr>
              <w:t>for</w:t>
            </w:r>
            <w:r w:rsidR="009E2C6E" w:rsidRPr="1AE3B657">
              <w:rPr>
                <w:color w:val="4472C4" w:themeColor="accent1"/>
                <w:lang w:val="en-GB"/>
              </w:rPr>
              <w:t xml:space="preserve"> routine service delivery</w:t>
            </w:r>
            <w:r w:rsidR="233A9EAF" w:rsidRPr="1AE3B657">
              <w:rPr>
                <w:color w:val="4472C4" w:themeColor="accent1"/>
                <w:lang w:val="en-GB"/>
              </w:rPr>
              <w:t>. There are gaps</w:t>
            </w:r>
            <w:r w:rsidR="41377092" w:rsidRPr="1AE3B657">
              <w:rPr>
                <w:color w:val="4472C4" w:themeColor="accent1"/>
                <w:lang w:val="en-GB"/>
              </w:rPr>
              <w:t xml:space="preserve"> community engagement and </w:t>
            </w:r>
            <w:r w:rsidR="009E2C6E" w:rsidRPr="1AE3B657">
              <w:rPr>
                <w:color w:val="4472C4" w:themeColor="accent1"/>
                <w:lang w:val="en-GB"/>
              </w:rPr>
              <w:t>communication skills to address rumours and sustain the high-level of acceptance for immunization services. The EPI Programme does not have dedicated funding</w:t>
            </w:r>
            <w:r w:rsidR="74E917B4" w:rsidRPr="1AE3B657">
              <w:rPr>
                <w:color w:val="4472C4" w:themeColor="accent1"/>
                <w:lang w:val="en-GB"/>
              </w:rPr>
              <w:t xml:space="preserve"> to support day-to-day running of the </w:t>
            </w:r>
            <w:proofErr w:type="spellStart"/>
            <w:r w:rsidR="74E917B4" w:rsidRPr="1AE3B657">
              <w:rPr>
                <w:color w:val="4472C4" w:themeColor="accent1"/>
                <w:lang w:val="en-GB"/>
              </w:rPr>
              <w:t>the</w:t>
            </w:r>
            <w:proofErr w:type="spellEnd"/>
            <w:r w:rsidR="74E917B4" w:rsidRPr="1AE3B657">
              <w:rPr>
                <w:color w:val="4472C4" w:themeColor="accent1"/>
                <w:lang w:val="en-GB"/>
              </w:rPr>
              <w:t xml:space="preserve"> Programme. </w:t>
            </w:r>
            <w:r w:rsidR="009E2C6E" w:rsidRPr="1AE3B657">
              <w:rPr>
                <w:color w:val="4472C4" w:themeColor="accent1"/>
                <w:lang w:val="en-GB"/>
              </w:rPr>
              <w:t xml:space="preserve"> </w:t>
            </w:r>
          </w:p>
          <w:p w14:paraId="5839D928" w14:textId="12D8F9A8" w:rsidR="005B2DB6" w:rsidRPr="00D64392" w:rsidRDefault="005B2DB6" w:rsidP="1AE3B657">
            <w:pPr>
              <w:spacing w:line="300" w:lineRule="exact"/>
              <w:jc w:val="both"/>
              <w:rPr>
                <w:color w:val="4472C4" w:themeColor="accent1"/>
                <w:lang w:val="en-GB"/>
              </w:rPr>
            </w:pPr>
          </w:p>
          <w:p w14:paraId="69F320E5" w14:textId="7C94B124" w:rsidR="00B42E43" w:rsidRPr="00D64392" w:rsidRDefault="233A9EAF" w:rsidP="00CC4F8B">
            <w:pPr>
              <w:rPr>
                <w:rFonts w:asciiTheme="minorHAnsi" w:eastAsiaTheme="minorEastAsia" w:hAnsiTheme="minorHAnsi" w:cstheme="minorBidi"/>
                <w:lang w:val="en-GB"/>
              </w:rPr>
            </w:pPr>
            <w:r w:rsidRPr="00CC4F8B">
              <w:rPr>
                <w:color w:val="4472C4" w:themeColor="accent1"/>
                <w:lang w:val="en-GB"/>
              </w:rPr>
              <w:t>Funds for c</w:t>
            </w:r>
            <w:r w:rsidR="74E917B4" w:rsidRPr="00CC4F8B">
              <w:rPr>
                <w:color w:val="4472C4" w:themeColor="accent1"/>
                <w:lang w:val="en-GB"/>
              </w:rPr>
              <w:t xml:space="preserve">o-financing </w:t>
            </w:r>
            <w:r w:rsidRPr="00CC4F8B">
              <w:rPr>
                <w:color w:val="4472C4" w:themeColor="accent1"/>
                <w:lang w:val="en-GB"/>
              </w:rPr>
              <w:t>of vaccines are sometimes</w:t>
            </w:r>
            <w:r w:rsidR="74E917B4" w:rsidRPr="00CC4F8B">
              <w:rPr>
                <w:color w:val="4472C4" w:themeColor="accent1"/>
                <w:lang w:val="en-GB"/>
              </w:rPr>
              <w:t xml:space="preserve"> released late resulting in default</w:t>
            </w:r>
            <w:r w:rsidRPr="00CC4F8B">
              <w:rPr>
                <w:color w:val="4472C4" w:themeColor="accent1"/>
                <w:lang w:val="en-GB"/>
              </w:rPr>
              <w:t xml:space="preserve"> in payment. As such, </w:t>
            </w:r>
            <w:r w:rsidR="002E259B">
              <w:rPr>
                <w:color w:val="4472C4" w:themeColor="accent1"/>
                <w:lang w:val="en-GB"/>
              </w:rPr>
              <w:t xml:space="preserve">TA </w:t>
            </w:r>
            <w:r w:rsidRPr="00CC4F8B">
              <w:rPr>
                <w:color w:val="4472C4" w:themeColor="accent1"/>
                <w:lang w:val="en-GB"/>
              </w:rPr>
              <w:t xml:space="preserve">supporting timely payment for vaccines financing is key to Ghana in a context of accelerated transition but also new vaccines to be introduced in the coming years that are impacting the overall vaccines procurement costs. </w:t>
            </w:r>
            <w:r w:rsidR="00F42F7F">
              <w:rPr>
                <w:color w:val="4472C4" w:themeColor="accent1"/>
                <w:lang w:val="en-GB"/>
              </w:rPr>
              <w:t xml:space="preserve">With TA support, </w:t>
            </w:r>
            <w:r w:rsidRPr="00CC4F8B">
              <w:rPr>
                <w:color w:val="4472C4" w:themeColor="accent1"/>
                <w:lang w:val="en-GB"/>
              </w:rPr>
              <w:t>Ghana should have financial p</w:t>
            </w:r>
            <w:r w:rsidR="1AE3B657" w:rsidRPr="00CC4F8B">
              <w:rPr>
                <w:color w:val="4472C4" w:themeColor="accent1"/>
                <w:lang w:val="en-GB"/>
              </w:rPr>
              <w:t xml:space="preserve">rojection of needs for vaccines and operational costs in order to rationalize them and ensure their sustainable financing as per the UHC strategy. </w:t>
            </w:r>
            <w:r w:rsidR="002347F4">
              <w:rPr>
                <w:color w:val="4472C4" w:themeColor="accent1"/>
                <w:lang w:val="en-GB"/>
              </w:rPr>
              <w:t xml:space="preserve">TA is critical to </w:t>
            </w:r>
            <w:r w:rsidR="1AE3B657" w:rsidRPr="00CC4F8B">
              <w:rPr>
                <w:color w:val="4472C4" w:themeColor="accent1"/>
                <w:lang w:val="en-GB"/>
              </w:rPr>
              <w:t xml:space="preserve">monitor yearly payment of </w:t>
            </w:r>
            <w:proofErr w:type="spellStart"/>
            <w:r w:rsidR="1AE3B657" w:rsidRPr="00CC4F8B">
              <w:rPr>
                <w:color w:val="4472C4" w:themeColor="accent1"/>
                <w:lang w:val="en-GB"/>
              </w:rPr>
              <w:t>cofinancing</w:t>
            </w:r>
            <w:proofErr w:type="spellEnd"/>
            <w:r w:rsidR="1AE3B657" w:rsidRPr="00CC4F8B">
              <w:rPr>
                <w:color w:val="4472C4" w:themeColor="accent1"/>
                <w:lang w:val="en-GB"/>
              </w:rPr>
              <w:t xml:space="preserve"> but also to develop and inform budgeting tools/requirements towards MOF to improve budgeting for key health needs including vaccines.</w:t>
            </w:r>
            <w:r w:rsidR="004A4C93">
              <w:rPr>
                <w:color w:val="4472C4" w:themeColor="accent1"/>
                <w:lang w:val="en-GB"/>
              </w:rPr>
              <w:t xml:space="preserve"> Developing alternative resource mobilization strategies </w:t>
            </w:r>
            <w:r w:rsidR="004A5C04">
              <w:rPr>
                <w:color w:val="4472C4" w:themeColor="accent1"/>
                <w:lang w:val="en-GB"/>
              </w:rPr>
              <w:t>would also support the sustainability of the programme.</w:t>
            </w:r>
          </w:p>
          <w:p w14:paraId="47E472E5" w14:textId="22189BED" w:rsidR="004B3609" w:rsidRPr="00D64392" w:rsidRDefault="004B3609" w:rsidP="005B2DB6">
            <w:pPr>
              <w:spacing w:line="300" w:lineRule="exact"/>
              <w:jc w:val="both"/>
              <w:rPr>
                <w:color w:val="4472C4" w:themeColor="accent1"/>
                <w:lang w:val="en-GB"/>
              </w:rPr>
            </w:pPr>
          </w:p>
          <w:p w14:paraId="78052B35" w14:textId="411C9365" w:rsidR="00650EB6" w:rsidRDefault="004B3609" w:rsidP="004B3609">
            <w:pPr>
              <w:spacing w:line="300" w:lineRule="exact"/>
              <w:jc w:val="both"/>
              <w:rPr>
                <w:color w:val="92D050"/>
                <w:lang w:val="en-GB"/>
              </w:rPr>
            </w:pPr>
            <w:r w:rsidRPr="00D64392">
              <w:rPr>
                <w:color w:val="4472C4" w:themeColor="accent1"/>
                <w:lang w:val="en-GB"/>
              </w:rPr>
              <w:t>These challenges affect immunization service delivery and may impede efforts to achieve universal health coverage.</w:t>
            </w:r>
          </w:p>
        </w:tc>
      </w:tr>
    </w:tbl>
    <w:p w14:paraId="434C7691" w14:textId="77777777" w:rsidR="000759BE" w:rsidRDefault="000759BE" w:rsidP="00FC4A11">
      <w:pPr>
        <w:spacing w:line="300" w:lineRule="exact"/>
        <w:rPr>
          <w:bCs/>
          <w:color w:val="808080" w:themeColor="background1" w:themeShade="80"/>
          <w:lang w:val="en-GB"/>
        </w:rPr>
      </w:pPr>
    </w:p>
    <w:p w14:paraId="5CAF378B" w14:textId="29C71B6E" w:rsidR="004E4361" w:rsidRPr="00372D1F" w:rsidRDefault="1B103A6B" w:rsidP="00CE1F57">
      <w:pPr>
        <w:pStyle w:val="ListParagraph"/>
        <w:numPr>
          <w:ilvl w:val="0"/>
          <w:numId w:val="5"/>
        </w:numPr>
        <w:spacing w:line="300" w:lineRule="exact"/>
        <w:ind w:left="426"/>
        <w:rPr>
          <w:b/>
          <w:bCs/>
          <w:color w:val="84C650"/>
          <w:sz w:val="26"/>
          <w:szCs w:val="26"/>
          <w:lang w:val="en-GB"/>
        </w:rPr>
      </w:pPr>
      <w:r w:rsidRPr="1AE3B657">
        <w:rPr>
          <w:b/>
          <w:bCs/>
          <w:color w:val="70AD47" w:themeColor="accent6"/>
          <w:sz w:val="26"/>
          <w:szCs w:val="26"/>
          <w:lang w:val="en-GB"/>
        </w:rPr>
        <w:t xml:space="preserve">Current </w:t>
      </w:r>
      <w:r w:rsidR="5B4E9CCC" w:rsidRPr="1AE3B657">
        <w:rPr>
          <w:b/>
          <w:bCs/>
          <w:color w:val="70AD47" w:themeColor="accent6"/>
          <w:sz w:val="26"/>
          <w:szCs w:val="26"/>
          <w:lang w:val="en-GB"/>
        </w:rPr>
        <w:t>TA needs</w:t>
      </w:r>
      <w:r w:rsidRPr="1AE3B657">
        <w:rPr>
          <w:b/>
          <w:bCs/>
          <w:color w:val="70AD47" w:themeColor="accent6"/>
          <w:sz w:val="26"/>
          <w:szCs w:val="26"/>
          <w:lang w:val="en-GB"/>
        </w:rPr>
        <w:t xml:space="preserve"> of your </w:t>
      </w:r>
      <w:r w:rsidR="5FAB8DF5" w:rsidRPr="1AE3B657">
        <w:rPr>
          <w:b/>
          <w:bCs/>
          <w:color w:val="70AD47" w:themeColor="accent6"/>
          <w:sz w:val="26"/>
          <w:szCs w:val="26"/>
          <w:lang w:val="en-GB"/>
        </w:rPr>
        <w:t>immunization</w:t>
      </w:r>
      <w:r w:rsidRPr="1AE3B657">
        <w:rPr>
          <w:b/>
          <w:bCs/>
          <w:color w:val="70AD47" w:themeColor="accent6"/>
          <w:sz w:val="26"/>
          <w:szCs w:val="26"/>
          <w:lang w:val="en-GB"/>
        </w:rPr>
        <w:t xml:space="preserve"> system </w:t>
      </w:r>
      <w:r w:rsidR="074D9ECC" w:rsidRPr="1AE3B657">
        <w:rPr>
          <w:b/>
          <w:bCs/>
          <w:color w:val="70AD47" w:themeColor="accent6"/>
          <w:sz w:val="26"/>
          <w:szCs w:val="26"/>
          <w:lang w:val="en-GB"/>
        </w:rPr>
        <w:t>(</w:t>
      </w:r>
      <w:r w:rsidR="35C6CFAB" w:rsidRPr="1AE3B657">
        <w:rPr>
          <w:b/>
          <w:bCs/>
          <w:color w:val="70AD47" w:themeColor="accent6"/>
          <w:sz w:val="26"/>
          <w:szCs w:val="26"/>
          <w:lang w:val="en-GB"/>
        </w:rPr>
        <w:t xml:space="preserve">1-2 </w:t>
      </w:r>
      <w:r w:rsidR="074D9ECC" w:rsidRPr="1AE3B657">
        <w:rPr>
          <w:b/>
          <w:bCs/>
          <w:color w:val="70AD47" w:themeColor="accent6"/>
          <w:sz w:val="26"/>
          <w:szCs w:val="26"/>
          <w:lang w:val="en-GB"/>
        </w:rPr>
        <w:t>pages)</w:t>
      </w:r>
    </w:p>
    <w:p w14:paraId="272993D5" w14:textId="0A023459" w:rsidR="0095370A" w:rsidRPr="00D93986" w:rsidRDefault="00EC2EA5" w:rsidP="00E50185">
      <w:pPr>
        <w:pStyle w:val="ListParagraph"/>
        <w:spacing w:line="300" w:lineRule="exact"/>
        <w:ind w:left="142"/>
        <w:rPr>
          <w:b/>
          <w:i/>
          <w:sz w:val="20"/>
          <w:szCs w:val="20"/>
        </w:rPr>
      </w:pPr>
      <w:r w:rsidRPr="00D93986">
        <w:rPr>
          <w:b/>
          <w:bCs/>
          <w:i/>
          <w:iCs/>
          <w:sz w:val="20"/>
          <w:szCs w:val="20"/>
        </w:rPr>
        <w:t xml:space="preserve">Please provide </w:t>
      </w:r>
      <w:r w:rsidR="008B2F8A" w:rsidRPr="00D93986">
        <w:rPr>
          <w:b/>
          <w:bCs/>
          <w:i/>
          <w:iCs/>
          <w:sz w:val="20"/>
          <w:szCs w:val="20"/>
        </w:rPr>
        <w:t xml:space="preserve">the planned allocation of PEF TCA towards </w:t>
      </w:r>
      <w:r w:rsidR="004010B7" w:rsidRPr="00D93986">
        <w:rPr>
          <w:b/>
          <w:bCs/>
          <w:i/>
          <w:iCs/>
          <w:sz w:val="20"/>
          <w:szCs w:val="20"/>
        </w:rPr>
        <w:t>investments areas and hig</w:t>
      </w:r>
      <w:r w:rsidR="00107D9F">
        <w:rPr>
          <w:b/>
          <w:bCs/>
          <w:i/>
          <w:iCs/>
          <w:sz w:val="20"/>
          <w:szCs w:val="20"/>
        </w:rPr>
        <w:t>h</w:t>
      </w:r>
      <w:r w:rsidR="004010B7" w:rsidRPr="00D93986">
        <w:rPr>
          <w:b/>
          <w:bCs/>
          <w:i/>
          <w:iCs/>
          <w:sz w:val="20"/>
          <w:szCs w:val="20"/>
        </w:rPr>
        <w:t>-level objectives. Gavi-supported investment areas and a menu of objectives are available for refer</w:t>
      </w:r>
      <w:r w:rsidR="00107D9F">
        <w:rPr>
          <w:b/>
          <w:bCs/>
          <w:i/>
          <w:iCs/>
          <w:sz w:val="20"/>
          <w:szCs w:val="20"/>
        </w:rPr>
        <w:t>e</w:t>
      </w:r>
      <w:r w:rsidR="004010B7" w:rsidRPr="00D93986">
        <w:rPr>
          <w:b/>
          <w:bCs/>
          <w:i/>
          <w:iCs/>
          <w:sz w:val="20"/>
          <w:szCs w:val="20"/>
        </w:rPr>
        <w:t>nce in Gav</w:t>
      </w:r>
      <w:r w:rsidR="00107D9F">
        <w:rPr>
          <w:b/>
          <w:bCs/>
          <w:i/>
          <w:iCs/>
          <w:sz w:val="20"/>
          <w:szCs w:val="20"/>
        </w:rPr>
        <w:t>i</w:t>
      </w:r>
      <w:r w:rsidR="004010B7" w:rsidRPr="00D93986">
        <w:rPr>
          <w:b/>
          <w:bCs/>
          <w:i/>
          <w:iCs/>
          <w:sz w:val="20"/>
          <w:szCs w:val="20"/>
        </w:rPr>
        <w:t xml:space="preserve">’s </w:t>
      </w:r>
      <w:hyperlink r:id="rId13" w:history="1">
        <w:r w:rsidR="00270AE6" w:rsidRPr="00270AE6">
          <w:rPr>
            <w:rStyle w:val="Hyperlink"/>
            <w:b/>
            <w:bCs/>
            <w:i/>
            <w:iCs/>
            <w:sz w:val="20"/>
            <w:szCs w:val="20"/>
          </w:rPr>
          <w:t>Programme Funding Guidelines</w:t>
        </w:r>
      </w:hyperlink>
      <w:r w:rsidR="004010B7" w:rsidRPr="00D93986">
        <w:rPr>
          <w:b/>
          <w:bCs/>
          <w:i/>
          <w:iCs/>
          <w:sz w:val="20"/>
          <w:szCs w:val="20"/>
        </w:rPr>
        <w:t>.</w:t>
      </w:r>
      <w:r w:rsidR="00DD6A66">
        <w:rPr>
          <w:b/>
          <w:bCs/>
          <w:i/>
          <w:iCs/>
          <w:sz w:val="20"/>
          <w:szCs w:val="20"/>
        </w:rPr>
        <w:t xml:space="preserve"> The country can plan </w:t>
      </w:r>
      <w:r w:rsidR="00B0585F">
        <w:rPr>
          <w:b/>
          <w:bCs/>
          <w:i/>
          <w:iCs/>
          <w:sz w:val="20"/>
          <w:szCs w:val="20"/>
        </w:rPr>
        <w:t>for the remaining duration of their current HSS grant.</w:t>
      </w:r>
    </w:p>
    <w:p w14:paraId="6567DB8B" w14:textId="77777777" w:rsidR="007F2F8B" w:rsidRDefault="007F2F8B" w:rsidP="00372D1F">
      <w:pPr>
        <w:pStyle w:val="ListParagraph"/>
        <w:spacing w:line="300" w:lineRule="exact"/>
        <w:ind w:left="426"/>
        <w:rPr>
          <w:i/>
          <w:color w:val="808080" w:themeColor="background1" w:themeShade="80"/>
          <w:lang w:val="en-GB"/>
        </w:rPr>
      </w:pPr>
    </w:p>
    <w:p w14:paraId="1D079834" w14:textId="3566DB5E" w:rsidR="00655D56" w:rsidRDefault="00372D1F" w:rsidP="00372D1F">
      <w:pPr>
        <w:pStyle w:val="ListParagraph"/>
        <w:spacing w:line="300" w:lineRule="exact"/>
        <w:ind w:left="426"/>
        <w:rPr>
          <w:i/>
          <w:color w:val="808080" w:themeColor="background1" w:themeShade="80"/>
          <w:lang w:val="en-GB"/>
        </w:rPr>
      </w:pPr>
      <w:r w:rsidRPr="0065351E">
        <w:rPr>
          <w:i/>
          <w:color w:val="808080" w:themeColor="background1" w:themeShade="80"/>
          <w:lang w:val="en-GB"/>
        </w:rPr>
        <w:t>(Please feel free to add lines as needed)</w:t>
      </w:r>
    </w:p>
    <w:p w14:paraId="45FA655D" w14:textId="320F6DD0" w:rsidR="009606EF" w:rsidRDefault="009606EF" w:rsidP="00372D1F">
      <w:pPr>
        <w:pStyle w:val="ListParagraph"/>
        <w:spacing w:line="300" w:lineRule="exact"/>
        <w:ind w:left="426"/>
        <w:rPr>
          <w:i/>
          <w:color w:val="808080" w:themeColor="background1" w:themeShade="80"/>
          <w:lang w:val="en-GB"/>
        </w:rPr>
      </w:pPr>
    </w:p>
    <w:tbl>
      <w:tblPr>
        <w:tblW w:w="9181" w:type="dxa"/>
        <w:tblLook w:val="04A0" w:firstRow="1" w:lastRow="0" w:firstColumn="1" w:lastColumn="0" w:noHBand="0" w:noVBand="1"/>
      </w:tblPr>
      <w:tblGrid>
        <w:gridCol w:w="2489"/>
        <w:gridCol w:w="3922"/>
        <w:gridCol w:w="1584"/>
        <w:gridCol w:w="1168"/>
        <w:gridCol w:w="18"/>
      </w:tblGrid>
      <w:tr w:rsidR="009606EF" w:rsidRPr="009606EF" w14:paraId="01BA6134" w14:textId="77777777" w:rsidTr="009606EF">
        <w:trPr>
          <w:gridAfter w:val="1"/>
          <w:wAfter w:w="17" w:type="dxa"/>
          <w:trHeight w:val="20"/>
          <w:tblHeader/>
        </w:trPr>
        <w:tc>
          <w:tcPr>
            <w:tcW w:w="6412" w:type="dxa"/>
            <w:gridSpan w:val="2"/>
            <w:tcBorders>
              <w:top w:val="single" w:sz="4" w:space="0" w:color="auto"/>
              <w:left w:val="single" w:sz="4" w:space="0" w:color="auto"/>
              <w:bottom w:val="single" w:sz="4" w:space="0" w:color="auto"/>
              <w:right w:val="single" w:sz="4" w:space="0" w:color="auto"/>
            </w:tcBorders>
            <w:shd w:val="clear" w:color="000000" w:fill="DEEAF6"/>
            <w:vAlign w:val="center"/>
            <w:hideMark/>
          </w:tcPr>
          <w:p w14:paraId="60D24216" w14:textId="77777777" w:rsidR="009606EF" w:rsidRPr="009606EF" w:rsidRDefault="009606EF" w:rsidP="009606EF">
            <w:pPr>
              <w:spacing w:line="240" w:lineRule="auto"/>
              <w:rPr>
                <w:rFonts w:eastAsia="Times New Roman"/>
                <w:b/>
                <w:bCs/>
                <w:color w:val="000000"/>
                <w:lang w:val="en-US" w:eastAsia="en-US"/>
              </w:rPr>
            </w:pPr>
            <w:r w:rsidRPr="009606EF">
              <w:rPr>
                <w:rFonts w:eastAsia="Times New Roman"/>
                <w:b/>
                <w:bCs/>
                <w:color w:val="000000"/>
                <w:lang w:val="en-GB" w:eastAsia="en-US"/>
              </w:rPr>
              <w:t>High-level Plan</w:t>
            </w:r>
          </w:p>
        </w:tc>
        <w:tc>
          <w:tcPr>
            <w:tcW w:w="1584" w:type="dxa"/>
            <w:tcBorders>
              <w:top w:val="single" w:sz="4" w:space="0" w:color="auto"/>
              <w:left w:val="nil"/>
              <w:bottom w:val="single" w:sz="4" w:space="0" w:color="auto"/>
              <w:right w:val="single" w:sz="4" w:space="0" w:color="auto"/>
            </w:tcBorders>
            <w:shd w:val="clear" w:color="000000" w:fill="DEEAF6"/>
            <w:vAlign w:val="center"/>
            <w:hideMark/>
          </w:tcPr>
          <w:p w14:paraId="7D3E21ED" w14:textId="77777777" w:rsidR="009606EF" w:rsidRPr="009606EF" w:rsidRDefault="009606EF" w:rsidP="009606EF">
            <w:pPr>
              <w:spacing w:line="240" w:lineRule="auto"/>
              <w:rPr>
                <w:rFonts w:eastAsia="Times New Roman"/>
                <w:b/>
                <w:bCs/>
                <w:color w:val="000000"/>
                <w:lang w:val="en-US" w:eastAsia="en-US"/>
              </w:rPr>
            </w:pPr>
            <w:r w:rsidRPr="009606EF">
              <w:rPr>
                <w:rFonts w:eastAsia="Times New Roman"/>
                <w:b/>
                <w:bCs/>
                <w:color w:val="000000"/>
                <w:lang w:val="en-GB" w:eastAsia="en-US"/>
              </w:rPr>
              <w:t>Budget (USD)</w:t>
            </w:r>
          </w:p>
        </w:tc>
        <w:tc>
          <w:tcPr>
            <w:tcW w:w="1168" w:type="dxa"/>
            <w:tcBorders>
              <w:top w:val="single" w:sz="4" w:space="0" w:color="auto"/>
              <w:left w:val="nil"/>
              <w:bottom w:val="single" w:sz="4" w:space="0" w:color="auto"/>
              <w:right w:val="single" w:sz="4" w:space="0" w:color="auto"/>
            </w:tcBorders>
            <w:shd w:val="clear" w:color="000000" w:fill="DEEAF6"/>
            <w:vAlign w:val="center"/>
            <w:hideMark/>
          </w:tcPr>
          <w:p w14:paraId="53A87C6E" w14:textId="77777777" w:rsidR="009606EF" w:rsidRPr="009606EF" w:rsidRDefault="009606EF" w:rsidP="009606EF">
            <w:pPr>
              <w:spacing w:line="240" w:lineRule="auto"/>
              <w:rPr>
                <w:rFonts w:eastAsia="Times New Roman"/>
                <w:b/>
                <w:bCs/>
                <w:color w:val="000000"/>
                <w:lang w:val="en-US" w:eastAsia="en-US"/>
              </w:rPr>
            </w:pPr>
            <w:r w:rsidRPr="009606EF">
              <w:rPr>
                <w:rFonts w:eastAsia="Times New Roman"/>
                <w:b/>
                <w:bCs/>
                <w:color w:val="000000"/>
                <w:lang w:val="en-GB" w:eastAsia="en-US"/>
              </w:rPr>
              <w:t>%</w:t>
            </w:r>
          </w:p>
        </w:tc>
      </w:tr>
      <w:tr w:rsidR="009606EF" w:rsidRPr="009606EF" w14:paraId="2D635F68" w14:textId="77777777" w:rsidTr="009606EF">
        <w:trPr>
          <w:gridAfter w:val="1"/>
          <w:wAfter w:w="17" w:type="dxa"/>
          <w:trHeight w:val="20"/>
        </w:trPr>
        <w:tc>
          <w:tcPr>
            <w:tcW w:w="6412" w:type="dxa"/>
            <w:gridSpan w:val="2"/>
            <w:tcBorders>
              <w:top w:val="single" w:sz="4" w:space="0" w:color="auto"/>
              <w:left w:val="single" w:sz="4" w:space="0" w:color="auto"/>
              <w:bottom w:val="single" w:sz="4" w:space="0" w:color="auto"/>
              <w:right w:val="single" w:sz="4" w:space="0" w:color="auto"/>
            </w:tcBorders>
            <w:shd w:val="clear" w:color="000000" w:fill="E2EFD9"/>
            <w:vAlign w:val="center"/>
            <w:hideMark/>
          </w:tcPr>
          <w:p w14:paraId="662FC82D" w14:textId="77777777" w:rsidR="009606EF" w:rsidRPr="009606EF" w:rsidRDefault="009606EF" w:rsidP="009606EF">
            <w:pPr>
              <w:spacing w:line="240" w:lineRule="auto"/>
              <w:jc w:val="right"/>
              <w:rPr>
                <w:rFonts w:eastAsia="Times New Roman"/>
                <w:b/>
                <w:bCs/>
                <w:color w:val="000000"/>
                <w:lang w:val="en-US" w:eastAsia="en-US"/>
              </w:rPr>
            </w:pPr>
            <w:r w:rsidRPr="009606EF">
              <w:rPr>
                <w:rFonts w:eastAsia="Times New Roman"/>
                <w:b/>
                <w:bCs/>
                <w:color w:val="000000"/>
                <w:lang w:val="en-GB" w:eastAsia="en-US"/>
              </w:rPr>
              <w:t>2022</w:t>
            </w:r>
          </w:p>
        </w:tc>
        <w:tc>
          <w:tcPr>
            <w:tcW w:w="1584" w:type="dxa"/>
            <w:tcBorders>
              <w:top w:val="nil"/>
              <w:left w:val="nil"/>
              <w:bottom w:val="single" w:sz="4" w:space="0" w:color="auto"/>
              <w:right w:val="single" w:sz="4" w:space="0" w:color="auto"/>
            </w:tcBorders>
            <w:shd w:val="clear" w:color="000000" w:fill="E2EFD9"/>
            <w:vAlign w:val="center"/>
            <w:hideMark/>
          </w:tcPr>
          <w:p w14:paraId="521F60B5"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 </w:t>
            </w:r>
          </w:p>
        </w:tc>
        <w:tc>
          <w:tcPr>
            <w:tcW w:w="1168" w:type="dxa"/>
            <w:tcBorders>
              <w:top w:val="nil"/>
              <w:left w:val="nil"/>
              <w:bottom w:val="single" w:sz="4" w:space="0" w:color="auto"/>
              <w:right w:val="single" w:sz="4" w:space="0" w:color="auto"/>
            </w:tcBorders>
            <w:shd w:val="clear" w:color="000000" w:fill="E2EFD9"/>
            <w:vAlign w:val="center"/>
            <w:hideMark/>
          </w:tcPr>
          <w:p w14:paraId="18CDE1FD"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 </w:t>
            </w:r>
          </w:p>
        </w:tc>
      </w:tr>
      <w:tr w:rsidR="009606EF" w:rsidRPr="009606EF" w14:paraId="5DC4D963"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584FF0F8"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GB" w:eastAsia="en-US"/>
              </w:rPr>
              <w:t>Service delivery</w:t>
            </w:r>
          </w:p>
        </w:tc>
        <w:tc>
          <w:tcPr>
            <w:tcW w:w="3921" w:type="dxa"/>
            <w:tcBorders>
              <w:top w:val="nil"/>
              <w:left w:val="nil"/>
              <w:bottom w:val="single" w:sz="4" w:space="0" w:color="auto"/>
              <w:right w:val="single" w:sz="4" w:space="0" w:color="auto"/>
            </w:tcBorders>
            <w:shd w:val="clear" w:color="000000" w:fill="FFFFFF"/>
            <w:vAlign w:val="center"/>
            <w:hideMark/>
          </w:tcPr>
          <w:p w14:paraId="0DDC5248"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 xml:space="preserve">Extend immunization services to reach zero-dose, </w:t>
            </w:r>
            <w:proofErr w:type="spellStart"/>
            <w:r w:rsidRPr="009606EF">
              <w:rPr>
                <w:rFonts w:eastAsia="Times New Roman"/>
                <w:color w:val="808080"/>
                <w:lang w:val="en-US" w:eastAsia="en-US"/>
              </w:rPr>
              <w:t>underimmunised</w:t>
            </w:r>
            <w:proofErr w:type="spellEnd"/>
            <w:r w:rsidRPr="009606EF">
              <w:rPr>
                <w:rFonts w:eastAsia="Times New Roman"/>
                <w:color w:val="808080"/>
                <w:lang w:val="en-US" w:eastAsia="en-US"/>
              </w:rPr>
              <w:t xml:space="preserve"> children and missed communities</w:t>
            </w:r>
          </w:p>
        </w:tc>
        <w:tc>
          <w:tcPr>
            <w:tcW w:w="1584" w:type="dxa"/>
            <w:tcBorders>
              <w:top w:val="nil"/>
              <w:left w:val="nil"/>
              <w:bottom w:val="single" w:sz="4" w:space="0" w:color="auto"/>
              <w:right w:val="single" w:sz="4" w:space="0" w:color="auto"/>
            </w:tcBorders>
            <w:shd w:val="clear" w:color="000000" w:fill="FFFFFF"/>
            <w:vAlign w:val="center"/>
            <w:hideMark/>
          </w:tcPr>
          <w:p w14:paraId="584D551E"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177,407</w:t>
            </w:r>
          </w:p>
        </w:tc>
        <w:tc>
          <w:tcPr>
            <w:tcW w:w="1168" w:type="dxa"/>
            <w:tcBorders>
              <w:top w:val="nil"/>
              <w:left w:val="nil"/>
              <w:bottom w:val="single" w:sz="4" w:space="0" w:color="auto"/>
              <w:right w:val="single" w:sz="4" w:space="0" w:color="auto"/>
            </w:tcBorders>
            <w:shd w:val="clear" w:color="000000" w:fill="FFFFFF"/>
            <w:vAlign w:val="center"/>
            <w:hideMark/>
          </w:tcPr>
          <w:p w14:paraId="29C74C3F"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40</w:t>
            </w:r>
          </w:p>
        </w:tc>
      </w:tr>
      <w:tr w:rsidR="009606EF" w:rsidRPr="009606EF" w14:paraId="7B6D6197"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63D49643"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Human resources for health</w:t>
            </w:r>
          </w:p>
        </w:tc>
        <w:tc>
          <w:tcPr>
            <w:tcW w:w="3921" w:type="dxa"/>
            <w:tcBorders>
              <w:top w:val="nil"/>
              <w:left w:val="nil"/>
              <w:bottom w:val="single" w:sz="4" w:space="0" w:color="auto"/>
              <w:right w:val="single" w:sz="4" w:space="0" w:color="auto"/>
            </w:tcBorders>
            <w:shd w:val="clear" w:color="000000" w:fill="FFFFFF"/>
            <w:vAlign w:val="center"/>
            <w:hideMark/>
          </w:tcPr>
          <w:p w14:paraId="6D95665F"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Improve the technical and managerial capacity of healthcare workers to plan, implement and monitor immunization services</w:t>
            </w:r>
          </w:p>
        </w:tc>
        <w:tc>
          <w:tcPr>
            <w:tcW w:w="1584" w:type="dxa"/>
            <w:tcBorders>
              <w:top w:val="nil"/>
              <w:left w:val="nil"/>
              <w:bottom w:val="single" w:sz="4" w:space="0" w:color="auto"/>
              <w:right w:val="single" w:sz="4" w:space="0" w:color="auto"/>
            </w:tcBorders>
            <w:shd w:val="clear" w:color="000000" w:fill="FFFFFF"/>
            <w:vAlign w:val="center"/>
            <w:hideMark/>
          </w:tcPr>
          <w:p w14:paraId="17854925"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66,528</w:t>
            </w:r>
          </w:p>
        </w:tc>
        <w:tc>
          <w:tcPr>
            <w:tcW w:w="1168" w:type="dxa"/>
            <w:tcBorders>
              <w:top w:val="nil"/>
              <w:left w:val="nil"/>
              <w:bottom w:val="single" w:sz="4" w:space="0" w:color="auto"/>
              <w:right w:val="single" w:sz="4" w:space="0" w:color="auto"/>
            </w:tcBorders>
            <w:shd w:val="clear" w:color="000000" w:fill="FFFFFF"/>
            <w:vAlign w:val="center"/>
            <w:hideMark/>
          </w:tcPr>
          <w:p w14:paraId="6F53C304"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15</w:t>
            </w:r>
          </w:p>
        </w:tc>
      </w:tr>
      <w:tr w:rsidR="009606EF" w:rsidRPr="009606EF" w14:paraId="72DC1747"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2E45E8D9"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GB" w:eastAsia="en-US"/>
              </w:rPr>
              <w:t>Demand generation and community engagement</w:t>
            </w:r>
          </w:p>
        </w:tc>
        <w:tc>
          <w:tcPr>
            <w:tcW w:w="3921" w:type="dxa"/>
            <w:tcBorders>
              <w:top w:val="nil"/>
              <w:left w:val="nil"/>
              <w:bottom w:val="single" w:sz="4" w:space="0" w:color="auto"/>
              <w:right w:val="single" w:sz="4" w:space="0" w:color="auto"/>
            </w:tcBorders>
            <w:shd w:val="clear" w:color="000000" w:fill="FFFFFF"/>
            <w:vAlign w:val="center"/>
            <w:hideMark/>
          </w:tcPr>
          <w:p w14:paraId="4B02A493"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Design and implement social and behaviour change interventions</w:t>
            </w:r>
          </w:p>
        </w:tc>
        <w:tc>
          <w:tcPr>
            <w:tcW w:w="1584" w:type="dxa"/>
            <w:tcBorders>
              <w:top w:val="nil"/>
              <w:left w:val="nil"/>
              <w:bottom w:val="single" w:sz="4" w:space="0" w:color="auto"/>
              <w:right w:val="single" w:sz="4" w:space="0" w:color="auto"/>
            </w:tcBorders>
            <w:shd w:val="clear" w:color="000000" w:fill="FFFFFF"/>
            <w:vAlign w:val="center"/>
            <w:hideMark/>
          </w:tcPr>
          <w:p w14:paraId="3F7069C7"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88,704</w:t>
            </w:r>
          </w:p>
        </w:tc>
        <w:tc>
          <w:tcPr>
            <w:tcW w:w="1168" w:type="dxa"/>
            <w:tcBorders>
              <w:top w:val="nil"/>
              <w:left w:val="nil"/>
              <w:bottom w:val="single" w:sz="4" w:space="0" w:color="auto"/>
              <w:right w:val="single" w:sz="4" w:space="0" w:color="auto"/>
            </w:tcBorders>
            <w:shd w:val="clear" w:color="000000" w:fill="FFFFFF"/>
            <w:vAlign w:val="center"/>
            <w:hideMark/>
          </w:tcPr>
          <w:p w14:paraId="5696D0FB"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20</w:t>
            </w:r>
          </w:p>
        </w:tc>
      </w:tr>
      <w:tr w:rsidR="009606EF" w:rsidRPr="009606EF" w14:paraId="77FDB0AB"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007606CB"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Governance, policy, strategic planning and programme management</w:t>
            </w:r>
          </w:p>
        </w:tc>
        <w:tc>
          <w:tcPr>
            <w:tcW w:w="3921" w:type="dxa"/>
            <w:tcBorders>
              <w:top w:val="nil"/>
              <w:left w:val="nil"/>
              <w:bottom w:val="single" w:sz="4" w:space="0" w:color="auto"/>
              <w:right w:val="single" w:sz="4" w:space="0" w:color="auto"/>
            </w:tcBorders>
            <w:shd w:val="clear" w:color="000000" w:fill="FFFFFF"/>
            <w:vAlign w:val="center"/>
            <w:hideMark/>
          </w:tcPr>
          <w:p w14:paraId="4AEF40EF"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Strengthen the capacity of governance/technical bodies for planning, coordination and tracking progress at all levels, particularly for reaching zero-dose children</w:t>
            </w:r>
          </w:p>
        </w:tc>
        <w:tc>
          <w:tcPr>
            <w:tcW w:w="1584" w:type="dxa"/>
            <w:tcBorders>
              <w:top w:val="nil"/>
              <w:left w:val="nil"/>
              <w:bottom w:val="single" w:sz="4" w:space="0" w:color="auto"/>
              <w:right w:val="single" w:sz="4" w:space="0" w:color="auto"/>
            </w:tcBorders>
            <w:shd w:val="clear" w:color="000000" w:fill="FFFFFF"/>
            <w:vAlign w:val="center"/>
            <w:hideMark/>
          </w:tcPr>
          <w:p w14:paraId="579AEA97"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22,176</w:t>
            </w:r>
          </w:p>
        </w:tc>
        <w:tc>
          <w:tcPr>
            <w:tcW w:w="1168" w:type="dxa"/>
            <w:tcBorders>
              <w:top w:val="nil"/>
              <w:left w:val="nil"/>
              <w:bottom w:val="single" w:sz="4" w:space="0" w:color="auto"/>
              <w:right w:val="single" w:sz="4" w:space="0" w:color="auto"/>
            </w:tcBorders>
            <w:shd w:val="clear" w:color="000000" w:fill="FFFFFF"/>
            <w:vAlign w:val="center"/>
            <w:hideMark/>
          </w:tcPr>
          <w:p w14:paraId="6D267905"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5</w:t>
            </w:r>
          </w:p>
        </w:tc>
      </w:tr>
      <w:tr w:rsidR="009606EF" w:rsidRPr="009606EF" w14:paraId="355435A3"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5A6F9A10"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GB" w:eastAsia="en-US"/>
              </w:rPr>
              <w:lastRenderedPageBreak/>
              <w:t>Health financing</w:t>
            </w:r>
          </w:p>
        </w:tc>
        <w:tc>
          <w:tcPr>
            <w:tcW w:w="3921" w:type="dxa"/>
            <w:tcBorders>
              <w:top w:val="nil"/>
              <w:left w:val="nil"/>
              <w:bottom w:val="single" w:sz="4" w:space="0" w:color="auto"/>
              <w:right w:val="single" w:sz="4" w:space="0" w:color="auto"/>
            </w:tcBorders>
            <w:shd w:val="clear" w:color="000000" w:fill="FFFFFF"/>
            <w:vAlign w:val="center"/>
            <w:hideMark/>
          </w:tcPr>
          <w:p w14:paraId="06764117"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Support the budgeting and targeting of domestic resources for immunization and/or primary healthcare (PHC) based on equity considerations</w:t>
            </w:r>
          </w:p>
        </w:tc>
        <w:tc>
          <w:tcPr>
            <w:tcW w:w="1584" w:type="dxa"/>
            <w:tcBorders>
              <w:top w:val="nil"/>
              <w:left w:val="nil"/>
              <w:bottom w:val="single" w:sz="4" w:space="0" w:color="auto"/>
              <w:right w:val="single" w:sz="4" w:space="0" w:color="auto"/>
            </w:tcBorders>
            <w:shd w:val="clear" w:color="000000" w:fill="FFFFFF"/>
            <w:vAlign w:val="center"/>
            <w:hideMark/>
          </w:tcPr>
          <w:p w14:paraId="01ABCAB4"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22,176</w:t>
            </w:r>
          </w:p>
        </w:tc>
        <w:tc>
          <w:tcPr>
            <w:tcW w:w="1168" w:type="dxa"/>
            <w:tcBorders>
              <w:top w:val="nil"/>
              <w:left w:val="nil"/>
              <w:bottom w:val="single" w:sz="4" w:space="0" w:color="auto"/>
              <w:right w:val="single" w:sz="4" w:space="0" w:color="auto"/>
            </w:tcBorders>
            <w:shd w:val="clear" w:color="000000" w:fill="FFFFFF"/>
            <w:vAlign w:val="center"/>
            <w:hideMark/>
          </w:tcPr>
          <w:p w14:paraId="368C0979"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5</w:t>
            </w:r>
          </w:p>
        </w:tc>
      </w:tr>
      <w:tr w:rsidR="009606EF" w:rsidRPr="009606EF" w14:paraId="303D8121"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7A9A6E0D"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GB" w:eastAsia="en-US"/>
              </w:rPr>
              <w:t>Health financing</w:t>
            </w:r>
          </w:p>
        </w:tc>
        <w:tc>
          <w:tcPr>
            <w:tcW w:w="3921" w:type="dxa"/>
            <w:tcBorders>
              <w:top w:val="nil"/>
              <w:left w:val="nil"/>
              <w:bottom w:val="single" w:sz="4" w:space="0" w:color="auto"/>
              <w:right w:val="single" w:sz="4" w:space="0" w:color="auto"/>
            </w:tcBorders>
            <w:shd w:val="clear" w:color="000000" w:fill="FFFFFF"/>
            <w:vAlign w:val="center"/>
            <w:hideMark/>
          </w:tcPr>
          <w:p w14:paraId="117CDFA3"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Support the planning of Gavi and non-Gavi-supported vaccine procurement costs based on quality vaccine forecasts as part of national and subnational health budgets.</w:t>
            </w:r>
          </w:p>
        </w:tc>
        <w:tc>
          <w:tcPr>
            <w:tcW w:w="1584" w:type="dxa"/>
            <w:tcBorders>
              <w:top w:val="nil"/>
              <w:left w:val="nil"/>
              <w:bottom w:val="single" w:sz="4" w:space="0" w:color="auto"/>
              <w:right w:val="single" w:sz="4" w:space="0" w:color="auto"/>
            </w:tcBorders>
            <w:shd w:val="clear" w:color="000000" w:fill="FFFFFF"/>
            <w:vAlign w:val="center"/>
            <w:hideMark/>
          </w:tcPr>
          <w:p w14:paraId="7E9C2DE1"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66,528</w:t>
            </w:r>
          </w:p>
        </w:tc>
        <w:tc>
          <w:tcPr>
            <w:tcW w:w="1168" w:type="dxa"/>
            <w:tcBorders>
              <w:top w:val="nil"/>
              <w:left w:val="nil"/>
              <w:bottom w:val="single" w:sz="4" w:space="0" w:color="auto"/>
              <w:right w:val="single" w:sz="4" w:space="0" w:color="auto"/>
            </w:tcBorders>
            <w:shd w:val="clear" w:color="000000" w:fill="FFFFFF"/>
            <w:vAlign w:val="center"/>
            <w:hideMark/>
          </w:tcPr>
          <w:p w14:paraId="4898FD62"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15</w:t>
            </w:r>
          </w:p>
        </w:tc>
      </w:tr>
      <w:tr w:rsidR="009606EF" w:rsidRPr="009606EF" w14:paraId="6D4F1846" w14:textId="77777777" w:rsidTr="009606EF">
        <w:trPr>
          <w:gridAfter w:val="1"/>
          <w:wAfter w:w="17" w:type="dxa"/>
          <w:trHeight w:val="20"/>
        </w:trPr>
        <w:tc>
          <w:tcPr>
            <w:tcW w:w="6412" w:type="dxa"/>
            <w:gridSpan w:val="2"/>
            <w:tcBorders>
              <w:top w:val="single" w:sz="4" w:space="0" w:color="auto"/>
              <w:left w:val="single" w:sz="4" w:space="0" w:color="auto"/>
              <w:bottom w:val="single" w:sz="4" w:space="0" w:color="auto"/>
              <w:right w:val="single" w:sz="4" w:space="0" w:color="auto"/>
            </w:tcBorders>
            <w:shd w:val="clear" w:color="000000" w:fill="E2EFD9"/>
            <w:vAlign w:val="center"/>
            <w:hideMark/>
          </w:tcPr>
          <w:p w14:paraId="428F9160" w14:textId="77777777" w:rsidR="009606EF" w:rsidRPr="009606EF" w:rsidRDefault="009606EF" w:rsidP="009606EF">
            <w:pPr>
              <w:spacing w:line="240" w:lineRule="auto"/>
              <w:jc w:val="right"/>
              <w:rPr>
                <w:rFonts w:eastAsia="Times New Roman"/>
                <w:b/>
                <w:bCs/>
                <w:color w:val="000000"/>
                <w:lang w:val="en-US" w:eastAsia="en-US"/>
              </w:rPr>
            </w:pPr>
            <w:r w:rsidRPr="009606EF">
              <w:rPr>
                <w:rFonts w:eastAsia="Times New Roman"/>
                <w:b/>
                <w:bCs/>
                <w:color w:val="000000"/>
                <w:lang w:val="en-GB" w:eastAsia="en-US"/>
              </w:rPr>
              <w:t>2023</w:t>
            </w:r>
          </w:p>
        </w:tc>
        <w:tc>
          <w:tcPr>
            <w:tcW w:w="1584" w:type="dxa"/>
            <w:tcBorders>
              <w:top w:val="nil"/>
              <w:left w:val="nil"/>
              <w:bottom w:val="single" w:sz="4" w:space="0" w:color="auto"/>
              <w:right w:val="single" w:sz="4" w:space="0" w:color="auto"/>
            </w:tcBorders>
            <w:shd w:val="clear" w:color="000000" w:fill="E2EFD9"/>
            <w:vAlign w:val="center"/>
            <w:hideMark/>
          </w:tcPr>
          <w:p w14:paraId="18C8E72B" w14:textId="77777777" w:rsidR="009606EF" w:rsidRPr="009606EF" w:rsidRDefault="009606EF" w:rsidP="009606EF">
            <w:pPr>
              <w:spacing w:line="240" w:lineRule="auto"/>
              <w:jc w:val="right"/>
              <w:rPr>
                <w:rFonts w:eastAsia="Times New Roman"/>
                <w:b/>
                <w:bCs/>
                <w:color w:val="000000"/>
                <w:lang w:val="en-US" w:eastAsia="en-US"/>
              </w:rPr>
            </w:pPr>
            <w:r w:rsidRPr="009606EF">
              <w:rPr>
                <w:rFonts w:eastAsia="Times New Roman"/>
                <w:b/>
                <w:bCs/>
                <w:color w:val="000000"/>
                <w:lang w:val="en-GB" w:eastAsia="en-US"/>
              </w:rPr>
              <w:t> </w:t>
            </w:r>
          </w:p>
        </w:tc>
        <w:tc>
          <w:tcPr>
            <w:tcW w:w="1168" w:type="dxa"/>
            <w:tcBorders>
              <w:top w:val="nil"/>
              <w:left w:val="nil"/>
              <w:bottom w:val="single" w:sz="4" w:space="0" w:color="auto"/>
              <w:right w:val="single" w:sz="4" w:space="0" w:color="auto"/>
            </w:tcBorders>
            <w:shd w:val="clear" w:color="000000" w:fill="E2EFD9"/>
            <w:vAlign w:val="center"/>
            <w:hideMark/>
          </w:tcPr>
          <w:p w14:paraId="6E59278C" w14:textId="77777777" w:rsidR="009606EF" w:rsidRPr="009606EF" w:rsidRDefault="009606EF" w:rsidP="009606EF">
            <w:pPr>
              <w:spacing w:line="240" w:lineRule="auto"/>
              <w:jc w:val="right"/>
              <w:rPr>
                <w:rFonts w:eastAsia="Times New Roman"/>
                <w:b/>
                <w:bCs/>
                <w:color w:val="000000"/>
                <w:lang w:val="en-US" w:eastAsia="en-US"/>
              </w:rPr>
            </w:pPr>
            <w:r w:rsidRPr="009606EF">
              <w:rPr>
                <w:rFonts w:eastAsia="Times New Roman"/>
                <w:b/>
                <w:bCs/>
                <w:color w:val="000000"/>
                <w:lang w:val="en-GB" w:eastAsia="en-US"/>
              </w:rPr>
              <w:t> </w:t>
            </w:r>
          </w:p>
        </w:tc>
      </w:tr>
      <w:tr w:rsidR="009606EF" w:rsidRPr="009606EF" w14:paraId="1EE302AE"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0E631D5C"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GB" w:eastAsia="en-US"/>
              </w:rPr>
              <w:t>Service delivery</w:t>
            </w:r>
          </w:p>
        </w:tc>
        <w:tc>
          <w:tcPr>
            <w:tcW w:w="3921" w:type="dxa"/>
            <w:tcBorders>
              <w:top w:val="nil"/>
              <w:left w:val="nil"/>
              <w:bottom w:val="single" w:sz="4" w:space="0" w:color="auto"/>
              <w:right w:val="single" w:sz="4" w:space="0" w:color="auto"/>
            </w:tcBorders>
            <w:shd w:val="clear" w:color="000000" w:fill="FFFFFF"/>
            <w:vAlign w:val="center"/>
            <w:hideMark/>
          </w:tcPr>
          <w:p w14:paraId="0B6A0381"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 xml:space="preserve">Extend immunization services to reach zero-dose, </w:t>
            </w:r>
            <w:proofErr w:type="spellStart"/>
            <w:r w:rsidRPr="009606EF">
              <w:rPr>
                <w:rFonts w:eastAsia="Times New Roman"/>
                <w:color w:val="808080"/>
                <w:lang w:val="en-US" w:eastAsia="en-US"/>
              </w:rPr>
              <w:t>underimmunised</w:t>
            </w:r>
            <w:proofErr w:type="spellEnd"/>
            <w:r w:rsidRPr="009606EF">
              <w:rPr>
                <w:rFonts w:eastAsia="Times New Roman"/>
                <w:color w:val="808080"/>
                <w:lang w:val="en-US" w:eastAsia="en-US"/>
              </w:rPr>
              <w:t xml:space="preserve"> children and missed communities</w:t>
            </w:r>
          </w:p>
        </w:tc>
        <w:tc>
          <w:tcPr>
            <w:tcW w:w="1584" w:type="dxa"/>
            <w:tcBorders>
              <w:top w:val="nil"/>
              <w:left w:val="nil"/>
              <w:bottom w:val="single" w:sz="4" w:space="0" w:color="auto"/>
              <w:right w:val="single" w:sz="4" w:space="0" w:color="auto"/>
            </w:tcBorders>
            <w:shd w:val="clear" w:color="000000" w:fill="FFFFFF"/>
            <w:vAlign w:val="center"/>
            <w:hideMark/>
          </w:tcPr>
          <w:p w14:paraId="7D151E5D"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56,390</w:t>
            </w:r>
          </w:p>
        </w:tc>
        <w:tc>
          <w:tcPr>
            <w:tcW w:w="1168" w:type="dxa"/>
            <w:tcBorders>
              <w:top w:val="nil"/>
              <w:left w:val="nil"/>
              <w:bottom w:val="single" w:sz="4" w:space="0" w:color="auto"/>
              <w:right w:val="single" w:sz="4" w:space="0" w:color="auto"/>
            </w:tcBorders>
            <w:shd w:val="clear" w:color="000000" w:fill="FFFFFF"/>
            <w:vAlign w:val="center"/>
            <w:hideMark/>
          </w:tcPr>
          <w:p w14:paraId="2E3ABFF6"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8</w:t>
            </w:r>
          </w:p>
        </w:tc>
      </w:tr>
      <w:tr w:rsidR="009606EF" w:rsidRPr="009606EF" w14:paraId="34721373"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05EA9D8A"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Service delivery</w:t>
            </w:r>
          </w:p>
        </w:tc>
        <w:tc>
          <w:tcPr>
            <w:tcW w:w="3921" w:type="dxa"/>
            <w:tcBorders>
              <w:top w:val="nil"/>
              <w:left w:val="nil"/>
              <w:bottom w:val="single" w:sz="4" w:space="0" w:color="auto"/>
              <w:right w:val="single" w:sz="4" w:space="0" w:color="auto"/>
            </w:tcBorders>
            <w:shd w:val="clear" w:color="000000" w:fill="FFFFFF"/>
            <w:vAlign w:val="center"/>
            <w:hideMark/>
          </w:tcPr>
          <w:p w14:paraId="14AA5FD2"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 xml:space="preserve">Establish and/or continue partnerships with civil society </w:t>
            </w:r>
            <w:proofErr w:type="spellStart"/>
            <w:r w:rsidRPr="009606EF">
              <w:rPr>
                <w:rFonts w:eastAsia="Times New Roman"/>
                <w:color w:val="808080"/>
                <w:lang w:val="en-US" w:eastAsia="en-US"/>
              </w:rPr>
              <w:t>organisations</w:t>
            </w:r>
            <w:proofErr w:type="spellEnd"/>
            <w:r w:rsidRPr="009606EF">
              <w:rPr>
                <w:rFonts w:eastAsia="Times New Roman"/>
                <w:color w:val="808080"/>
                <w:lang w:val="en-US" w:eastAsia="en-US"/>
              </w:rPr>
              <w:t xml:space="preserve"> (CSOs) to provide immunization services</w:t>
            </w:r>
          </w:p>
        </w:tc>
        <w:tc>
          <w:tcPr>
            <w:tcW w:w="1584" w:type="dxa"/>
            <w:tcBorders>
              <w:top w:val="nil"/>
              <w:left w:val="nil"/>
              <w:bottom w:val="single" w:sz="4" w:space="0" w:color="auto"/>
              <w:right w:val="single" w:sz="4" w:space="0" w:color="auto"/>
            </w:tcBorders>
            <w:shd w:val="clear" w:color="000000" w:fill="FFFFFF"/>
            <w:vAlign w:val="center"/>
            <w:hideMark/>
          </w:tcPr>
          <w:p w14:paraId="672AC6F7"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35,244</w:t>
            </w:r>
          </w:p>
        </w:tc>
        <w:tc>
          <w:tcPr>
            <w:tcW w:w="1168" w:type="dxa"/>
            <w:tcBorders>
              <w:top w:val="nil"/>
              <w:left w:val="nil"/>
              <w:bottom w:val="single" w:sz="4" w:space="0" w:color="auto"/>
              <w:right w:val="single" w:sz="4" w:space="0" w:color="auto"/>
            </w:tcBorders>
            <w:shd w:val="clear" w:color="000000" w:fill="FFFFFF"/>
            <w:vAlign w:val="center"/>
            <w:hideMark/>
          </w:tcPr>
          <w:p w14:paraId="6F1FDD1A"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5</w:t>
            </w:r>
          </w:p>
        </w:tc>
      </w:tr>
      <w:tr w:rsidR="009606EF" w:rsidRPr="009606EF" w14:paraId="77290D84"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1760F6ED"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Human resources for health</w:t>
            </w:r>
          </w:p>
        </w:tc>
        <w:tc>
          <w:tcPr>
            <w:tcW w:w="3921" w:type="dxa"/>
            <w:tcBorders>
              <w:top w:val="nil"/>
              <w:left w:val="nil"/>
              <w:bottom w:val="single" w:sz="4" w:space="0" w:color="auto"/>
              <w:right w:val="single" w:sz="4" w:space="0" w:color="auto"/>
            </w:tcBorders>
            <w:shd w:val="clear" w:color="000000" w:fill="FFFFFF"/>
            <w:vAlign w:val="center"/>
            <w:hideMark/>
          </w:tcPr>
          <w:p w14:paraId="7DED94E5"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Improve the technical and managerial capacity of healthcare workers to plan, implement and monitor immunization services</w:t>
            </w:r>
          </w:p>
        </w:tc>
        <w:tc>
          <w:tcPr>
            <w:tcW w:w="1584" w:type="dxa"/>
            <w:tcBorders>
              <w:top w:val="nil"/>
              <w:left w:val="nil"/>
              <w:bottom w:val="single" w:sz="4" w:space="0" w:color="auto"/>
              <w:right w:val="single" w:sz="4" w:space="0" w:color="auto"/>
            </w:tcBorders>
            <w:shd w:val="clear" w:color="000000" w:fill="FFFFFF"/>
            <w:vAlign w:val="center"/>
            <w:hideMark/>
          </w:tcPr>
          <w:p w14:paraId="1E761B3E"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75,422</w:t>
            </w:r>
          </w:p>
        </w:tc>
        <w:tc>
          <w:tcPr>
            <w:tcW w:w="1168" w:type="dxa"/>
            <w:tcBorders>
              <w:top w:val="nil"/>
              <w:left w:val="nil"/>
              <w:bottom w:val="single" w:sz="4" w:space="0" w:color="auto"/>
              <w:right w:val="single" w:sz="4" w:space="0" w:color="auto"/>
            </w:tcBorders>
            <w:shd w:val="clear" w:color="000000" w:fill="FFFFFF"/>
            <w:vAlign w:val="center"/>
            <w:hideMark/>
          </w:tcPr>
          <w:p w14:paraId="33FFCB5A"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10.7</w:t>
            </w:r>
          </w:p>
        </w:tc>
      </w:tr>
      <w:tr w:rsidR="009606EF" w:rsidRPr="009606EF" w14:paraId="752843F0"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7CF86847"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Human resources for health</w:t>
            </w:r>
          </w:p>
        </w:tc>
        <w:tc>
          <w:tcPr>
            <w:tcW w:w="3921" w:type="dxa"/>
            <w:tcBorders>
              <w:top w:val="nil"/>
              <w:left w:val="nil"/>
              <w:bottom w:val="single" w:sz="4" w:space="0" w:color="auto"/>
              <w:right w:val="single" w:sz="4" w:space="0" w:color="auto"/>
            </w:tcBorders>
            <w:shd w:val="clear" w:color="000000" w:fill="FFFFFF"/>
            <w:vAlign w:val="center"/>
            <w:hideMark/>
          </w:tcPr>
          <w:p w14:paraId="60C55836"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Improve the quality of immunization-related pre-service training among physicians, midwives and nurses for immunization</w:t>
            </w:r>
          </w:p>
        </w:tc>
        <w:tc>
          <w:tcPr>
            <w:tcW w:w="1584" w:type="dxa"/>
            <w:tcBorders>
              <w:top w:val="nil"/>
              <w:left w:val="nil"/>
              <w:bottom w:val="single" w:sz="4" w:space="0" w:color="auto"/>
              <w:right w:val="single" w:sz="4" w:space="0" w:color="auto"/>
            </w:tcBorders>
            <w:shd w:val="clear" w:color="000000" w:fill="FFFFFF"/>
            <w:vAlign w:val="center"/>
            <w:hideMark/>
          </w:tcPr>
          <w:p w14:paraId="0DD60987"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79,652</w:t>
            </w:r>
          </w:p>
        </w:tc>
        <w:tc>
          <w:tcPr>
            <w:tcW w:w="1168" w:type="dxa"/>
            <w:tcBorders>
              <w:top w:val="nil"/>
              <w:left w:val="nil"/>
              <w:bottom w:val="single" w:sz="4" w:space="0" w:color="auto"/>
              <w:right w:val="single" w:sz="4" w:space="0" w:color="auto"/>
            </w:tcBorders>
            <w:shd w:val="clear" w:color="000000" w:fill="FFFFFF"/>
            <w:vAlign w:val="center"/>
            <w:hideMark/>
          </w:tcPr>
          <w:p w14:paraId="673847D2"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11.3</w:t>
            </w:r>
          </w:p>
        </w:tc>
      </w:tr>
      <w:tr w:rsidR="009606EF" w:rsidRPr="009606EF" w14:paraId="754249D5"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24C349AC"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Supply chain</w:t>
            </w:r>
          </w:p>
        </w:tc>
        <w:tc>
          <w:tcPr>
            <w:tcW w:w="3921" w:type="dxa"/>
            <w:tcBorders>
              <w:top w:val="nil"/>
              <w:left w:val="nil"/>
              <w:bottom w:val="single" w:sz="4" w:space="0" w:color="auto"/>
              <w:right w:val="single" w:sz="4" w:space="0" w:color="auto"/>
            </w:tcBorders>
            <w:shd w:val="clear" w:color="000000" w:fill="FFFFFF"/>
            <w:vAlign w:val="center"/>
            <w:hideMark/>
          </w:tcPr>
          <w:p w14:paraId="72EE0C25"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Improve the design of the immunization supply chain (</w:t>
            </w:r>
            <w:proofErr w:type="spellStart"/>
            <w:r w:rsidRPr="009606EF">
              <w:rPr>
                <w:rFonts w:eastAsia="Times New Roman"/>
                <w:color w:val="808080"/>
                <w:lang w:val="en-US" w:eastAsia="en-US"/>
              </w:rPr>
              <w:t>iSC</w:t>
            </w:r>
            <w:proofErr w:type="spellEnd"/>
            <w:r w:rsidRPr="009606EF">
              <w:rPr>
                <w:rFonts w:eastAsia="Times New Roman"/>
                <w:color w:val="808080"/>
                <w:lang w:val="en-US" w:eastAsia="en-US"/>
              </w:rPr>
              <w:t>) system to improve efficiency and vaccine availability, especially at the last mile</w:t>
            </w:r>
          </w:p>
        </w:tc>
        <w:tc>
          <w:tcPr>
            <w:tcW w:w="1584" w:type="dxa"/>
            <w:tcBorders>
              <w:top w:val="nil"/>
              <w:left w:val="nil"/>
              <w:bottom w:val="single" w:sz="4" w:space="0" w:color="auto"/>
              <w:right w:val="single" w:sz="4" w:space="0" w:color="auto"/>
            </w:tcBorders>
            <w:shd w:val="clear" w:color="000000" w:fill="FFFFFF"/>
            <w:vAlign w:val="center"/>
            <w:hideMark/>
          </w:tcPr>
          <w:p w14:paraId="3154DE47"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35,244</w:t>
            </w:r>
          </w:p>
        </w:tc>
        <w:tc>
          <w:tcPr>
            <w:tcW w:w="1168" w:type="dxa"/>
            <w:tcBorders>
              <w:top w:val="nil"/>
              <w:left w:val="nil"/>
              <w:bottom w:val="single" w:sz="4" w:space="0" w:color="auto"/>
              <w:right w:val="single" w:sz="4" w:space="0" w:color="auto"/>
            </w:tcBorders>
            <w:shd w:val="clear" w:color="000000" w:fill="FFFFFF"/>
            <w:vAlign w:val="center"/>
            <w:hideMark/>
          </w:tcPr>
          <w:p w14:paraId="1FE026EE"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5</w:t>
            </w:r>
          </w:p>
        </w:tc>
      </w:tr>
      <w:tr w:rsidR="009606EF" w:rsidRPr="009606EF" w14:paraId="2BB17A24"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0B175443"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Supply chain</w:t>
            </w:r>
          </w:p>
        </w:tc>
        <w:tc>
          <w:tcPr>
            <w:tcW w:w="3921" w:type="dxa"/>
            <w:tcBorders>
              <w:top w:val="nil"/>
              <w:left w:val="nil"/>
              <w:bottom w:val="single" w:sz="4" w:space="0" w:color="auto"/>
              <w:right w:val="single" w:sz="4" w:space="0" w:color="auto"/>
            </w:tcBorders>
            <w:shd w:val="clear" w:color="000000" w:fill="FFFFFF"/>
            <w:vAlign w:val="center"/>
            <w:hideMark/>
          </w:tcPr>
          <w:p w14:paraId="190846C3"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Strengthen logistics management information systems to ensure real-time monitoring at all immunization supply chain levels</w:t>
            </w:r>
          </w:p>
        </w:tc>
        <w:tc>
          <w:tcPr>
            <w:tcW w:w="1584" w:type="dxa"/>
            <w:tcBorders>
              <w:top w:val="nil"/>
              <w:left w:val="nil"/>
              <w:bottom w:val="single" w:sz="4" w:space="0" w:color="auto"/>
              <w:right w:val="single" w:sz="4" w:space="0" w:color="auto"/>
            </w:tcBorders>
            <w:shd w:val="clear" w:color="000000" w:fill="FFFFFF"/>
            <w:vAlign w:val="center"/>
            <w:hideMark/>
          </w:tcPr>
          <w:p w14:paraId="6D8F780F"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35,244</w:t>
            </w:r>
          </w:p>
        </w:tc>
        <w:tc>
          <w:tcPr>
            <w:tcW w:w="1168" w:type="dxa"/>
            <w:tcBorders>
              <w:top w:val="nil"/>
              <w:left w:val="nil"/>
              <w:bottom w:val="single" w:sz="4" w:space="0" w:color="auto"/>
              <w:right w:val="single" w:sz="4" w:space="0" w:color="auto"/>
            </w:tcBorders>
            <w:shd w:val="clear" w:color="000000" w:fill="FFFFFF"/>
            <w:vAlign w:val="center"/>
            <w:hideMark/>
          </w:tcPr>
          <w:p w14:paraId="33FDD3C2"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5</w:t>
            </w:r>
          </w:p>
        </w:tc>
      </w:tr>
      <w:tr w:rsidR="009606EF" w:rsidRPr="009606EF" w14:paraId="64C71010"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52A7878D"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Health information systems and monitoring and learning</w:t>
            </w:r>
          </w:p>
        </w:tc>
        <w:tc>
          <w:tcPr>
            <w:tcW w:w="3921" w:type="dxa"/>
            <w:tcBorders>
              <w:top w:val="nil"/>
              <w:left w:val="nil"/>
              <w:bottom w:val="single" w:sz="4" w:space="0" w:color="auto"/>
              <w:right w:val="single" w:sz="4" w:space="0" w:color="auto"/>
            </w:tcBorders>
            <w:shd w:val="clear" w:color="000000" w:fill="FFFFFF"/>
            <w:vAlign w:val="center"/>
            <w:hideMark/>
          </w:tcPr>
          <w:p w14:paraId="00080937"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 xml:space="preserve">Strengthen information systems relevant for the identification and reach of zero-dose and </w:t>
            </w:r>
            <w:proofErr w:type="spellStart"/>
            <w:r w:rsidRPr="009606EF">
              <w:rPr>
                <w:rFonts w:eastAsia="Times New Roman"/>
                <w:color w:val="808080"/>
                <w:lang w:val="en-US" w:eastAsia="en-US"/>
              </w:rPr>
              <w:t>underimmunised</w:t>
            </w:r>
            <w:proofErr w:type="spellEnd"/>
            <w:r w:rsidRPr="009606EF">
              <w:rPr>
                <w:rFonts w:eastAsia="Times New Roman"/>
                <w:color w:val="808080"/>
                <w:lang w:val="en-US" w:eastAsia="en-US"/>
              </w:rPr>
              <w:t xml:space="preserve"> children</w:t>
            </w:r>
          </w:p>
        </w:tc>
        <w:tc>
          <w:tcPr>
            <w:tcW w:w="1584" w:type="dxa"/>
            <w:tcBorders>
              <w:top w:val="nil"/>
              <w:left w:val="nil"/>
              <w:bottom w:val="single" w:sz="4" w:space="0" w:color="auto"/>
              <w:right w:val="single" w:sz="4" w:space="0" w:color="auto"/>
            </w:tcBorders>
            <w:shd w:val="clear" w:color="000000" w:fill="FFFFFF"/>
            <w:vAlign w:val="center"/>
            <w:hideMark/>
          </w:tcPr>
          <w:p w14:paraId="4F56200D"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35,244</w:t>
            </w:r>
          </w:p>
        </w:tc>
        <w:tc>
          <w:tcPr>
            <w:tcW w:w="1168" w:type="dxa"/>
            <w:tcBorders>
              <w:top w:val="nil"/>
              <w:left w:val="nil"/>
              <w:bottom w:val="single" w:sz="4" w:space="0" w:color="auto"/>
              <w:right w:val="single" w:sz="4" w:space="0" w:color="auto"/>
            </w:tcBorders>
            <w:shd w:val="clear" w:color="000000" w:fill="FFFFFF"/>
            <w:vAlign w:val="center"/>
            <w:hideMark/>
          </w:tcPr>
          <w:p w14:paraId="36187ED9"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5</w:t>
            </w:r>
          </w:p>
        </w:tc>
      </w:tr>
      <w:tr w:rsidR="009606EF" w:rsidRPr="009606EF" w14:paraId="3BB558F8"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43C02FB9"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Health information systems and monitoring and learning</w:t>
            </w:r>
          </w:p>
        </w:tc>
        <w:tc>
          <w:tcPr>
            <w:tcW w:w="3921" w:type="dxa"/>
            <w:tcBorders>
              <w:top w:val="nil"/>
              <w:left w:val="nil"/>
              <w:bottom w:val="single" w:sz="4" w:space="0" w:color="auto"/>
              <w:right w:val="single" w:sz="4" w:space="0" w:color="auto"/>
            </w:tcBorders>
            <w:shd w:val="clear" w:color="000000" w:fill="FFFFFF"/>
            <w:vAlign w:val="center"/>
            <w:hideMark/>
          </w:tcPr>
          <w:p w14:paraId="3EF393FD"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Strengthen country capacity to detect, evaluate and respond to serious adverse events following immunization</w:t>
            </w:r>
          </w:p>
        </w:tc>
        <w:tc>
          <w:tcPr>
            <w:tcW w:w="1584" w:type="dxa"/>
            <w:tcBorders>
              <w:top w:val="nil"/>
              <w:left w:val="nil"/>
              <w:bottom w:val="single" w:sz="4" w:space="0" w:color="auto"/>
              <w:right w:val="single" w:sz="4" w:space="0" w:color="auto"/>
            </w:tcBorders>
            <w:shd w:val="clear" w:color="000000" w:fill="FFFFFF"/>
            <w:vAlign w:val="center"/>
            <w:hideMark/>
          </w:tcPr>
          <w:p w14:paraId="21812B33"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35,244</w:t>
            </w:r>
          </w:p>
        </w:tc>
        <w:tc>
          <w:tcPr>
            <w:tcW w:w="1168" w:type="dxa"/>
            <w:tcBorders>
              <w:top w:val="nil"/>
              <w:left w:val="nil"/>
              <w:bottom w:val="single" w:sz="4" w:space="0" w:color="auto"/>
              <w:right w:val="single" w:sz="4" w:space="0" w:color="auto"/>
            </w:tcBorders>
            <w:shd w:val="clear" w:color="000000" w:fill="FFFFFF"/>
            <w:vAlign w:val="center"/>
            <w:hideMark/>
          </w:tcPr>
          <w:p w14:paraId="736318A5"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5</w:t>
            </w:r>
          </w:p>
        </w:tc>
      </w:tr>
      <w:tr w:rsidR="009606EF" w:rsidRPr="009606EF" w14:paraId="5EB8D410"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3722F2A4"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Vaccine-preventable diseases surveillance</w:t>
            </w:r>
          </w:p>
        </w:tc>
        <w:tc>
          <w:tcPr>
            <w:tcW w:w="3921" w:type="dxa"/>
            <w:tcBorders>
              <w:top w:val="nil"/>
              <w:left w:val="nil"/>
              <w:bottom w:val="single" w:sz="4" w:space="0" w:color="auto"/>
              <w:right w:val="single" w:sz="4" w:space="0" w:color="auto"/>
            </w:tcBorders>
            <w:shd w:val="clear" w:color="000000" w:fill="FFFFFF"/>
            <w:vAlign w:val="center"/>
            <w:hideMark/>
          </w:tcPr>
          <w:p w14:paraId="52C36188"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Improve the availability and use of timely and accurate data for decisions on vaccine introduction and preventive campaign targeting</w:t>
            </w:r>
          </w:p>
        </w:tc>
        <w:tc>
          <w:tcPr>
            <w:tcW w:w="1584" w:type="dxa"/>
            <w:tcBorders>
              <w:top w:val="nil"/>
              <w:left w:val="nil"/>
              <w:bottom w:val="single" w:sz="4" w:space="0" w:color="auto"/>
              <w:right w:val="single" w:sz="4" w:space="0" w:color="auto"/>
            </w:tcBorders>
            <w:shd w:val="clear" w:color="000000" w:fill="FFFFFF"/>
            <w:vAlign w:val="center"/>
            <w:hideMark/>
          </w:tcPr>
          <w:p w14:paraId="2C818416"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49,342</w:t>
            </w:r>
          </w:p>
        </w:tc>
        <w:tc>
          <w:tcPr>
            <w:tcW w:w="1168" w:type="dxa"/>
            <w:tcBorders>
              <w:top w:val="nil"/>
              <w:left w:val="nil"/>
              <w:bottom w:val="single" w:sz="4" w:space="0" w:color="auto"/>
              <w:right w:val="single" w:sz="4" w:space="0" w:color="auto"/>
            </w:tcBorders>
            <w:shd w:val="clear" w:color="000000" w:fill="FFFFFF"/>
            <w:vAlign w:val="center"/>
            <w:hideMark/>
          </w:tcPr>
          <w:p w14:paraId="7FB5061F"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7</w:t>
            </w:r>
          </w:p>
        </w:tc>
      </w:tr>
      <w:tr w:rsidR="009606EF" w:rsidRPr="009606EF" w14:paraId="6204E0B9"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73AC4CF1"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GB" w:eastAsia="en-US"/>
              </w:rPr>
              <w:lastRenderedPageBreak/>
              <w:t>Demand generation and community engagement</w:t>
            </w:r>
          </w:p>
        </w:tc>
        <w:tc>
          <w:tcPr>
            <w:tcW w:w="3921" w:type="dxa"/>
            <w:tcBorders>
              <w:top w:val="nil"/>
              <w:left w:val="nil"/>
              <w:bottom w:val="single" w:sz="4" w:space="0" w:color="auto"/>
              <w:right w:val="single" w:sz="4" w:space="0" w:color="auto"/>
            </w:tcBorders>
            <w:shd w:val="clear" w:color="000000" w:fill="FFFFFF"/>
            <w:vAlign w:val="center"/>
            <w:hideMark/>
          </w:tcPr>
          <w:p w14:paraId="34109F4E"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Design and implement social and behaviour change interventions</w:t>
            </w:r>
          </w:p>
        </w:tc>
        <w:tc>
          <w:tcPr>
            <w:tcW w:w="1584" w:type="dxa"/>
            <w:tcBorders>
              <w:top w:val="nil"/>
              <w:left w:val="nil"/>
              <w:bottom w:val="single" w:sz="4" w:space="0" w:color="auto"/>
              <w:right w:val="single" w:sz="4" w:space="0" w:color="auto"/>
            </w:tcBorders>
            <w:shd w:val="clear" w:color="000000" w:fill="FFFFFF"/>
            <w:vAlign w:val="center"/>
            <w:hideMark/>
          </w:tcPr>
          <w:p w14:paraId="7CBC4095"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70,488</w:t>
            </w:r>
          </w:p>
        </w:tc>
        <w:tc>
          <w:tcPr>
            <w:tcW w:w="1168" w:type="dxa"/>
            <w:tcBorders>
              <w:top w:val="nil"/>
              <w:left w:val="nil"/>
              <w:bottom w:val="single" w:sz="4" w:space="0" w:color="auto"/>
              <w:right w:val="single" w:sz="4" w:space="0" w:color="auto"/>
            </w:tcBorders>
            <w:shd w:val="clear" w:color="000000" w:fill="FFFFFF"/>
            <w:vAlign w:val="center"/>
            <w:hideMark/>
          </w:tcPr>
          <w:p w14:paraId="5D069EBF"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10</w:t>
            </w:r>
          </w:p>
        </w:tc>
      </w:tr>
      <w:tr w:rsidR="009606EF" w:rsidRPr="009606EF" w14:paraId="397CD9B8"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702E0327"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Governance, policy, strategic planning and programme management</w:t>
            </w:r>
          </w:p>
        </w:tc>
        <w:tc>
          <w:tcPr>
            <w:tcW w:w="3921" w:type="dxa"/>
            <w:tcBorders>
              <w:top w:val="nil"/>
              <w:left w:val="nil"/>
              <w:bottom w:val="single" w:sz="4" w:space="0" w:color="auto"/>
              <w:right w:val="single" w:sz="4" w:space="0" w:color="auto"/>
            </w:tcBorders>
            <w:shd w:val="clear" w:color="000000" w:fill="FFFFFF"/>
            <w:vAlign w:val="center"/>
            <w:hideMark/>
          </w:tcPr>
          <w:p w14:paraId="303BE93A"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Strengthen the capacity of governance/technical bodies for planning, coordination and tracking progress at all levels, particularly for reaching zero-dose children</w:t>
            </w:r>
          </w:p>
        </w:tc>
        <w:tc>
          <w:tcPr>
            <w:tcW w:w="1584" w:type="dxa"/>
            <w:tcBorders>
              <w:top w:val="nil"/>
              <w:left w:val="nil"/>
              <w:bottom w:val="single" w:sz="4" w:space="0" w:color="auto"/>
              <w:right w:val="single" w:sz="4" w:space="0" w:color="auto"/>
            </w:tcBorders>
            <w:shd w:val="clear" w:color="000000" w:fill="FFFFFF"/>
            <w:vAlign w:val="center"/>
            <w:hideMark/>
          </w:tcPr>
          <w:p w14:paraId="056F2BDE"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35,244</w:t>
            </w:r>
          </w:p>
        </w:tc>
        <w:tc>
          <w:tcPr>
            <w:tcW w:w="1168" w:type="dxa"/>
            <w:tcBorders>
              <w:top w:val="nil"/>
              <w:left w:val="nil"/>
              <w:bottom w:val="single" w:sz="4" w:space="0" w:color="auto"/>
              <w:right w:val="single" w:sz="4" w:space="0" w:color="auto"/>
            </w:tcBorders>
            <w:shd w:val="clear" w:color="000000" w:fill="FFFFFF"/>
            <w:vAlign w:val="center"/>
            <w:hideMark/>
          </w:tcPr>
          <w:p w14:paraId="14F2964E"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5</w:t>
            </w:r>
          </w:p>
        </w:tc>
      </w:tr>
      <w:tr w:rsidR="009606EF" w:rsidRPr="009606EF" w14:paraId="0C0988AD"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05B94835"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GB" w:eastAsia="en-US"/>
              </w:rPr>
              <w:t>Health financing</w:t>
            </w:r>
          </w:p>
        </w:tc>
        <w:tc>
          <w:tcPr>
            <w:tcW w:w="3921" w:type="dxa"/>
            <w:tcBorders>
              <w:top w:val="nil"/>
              <w:left w:val="nil"/>
              <w:bottom w:val="single" w:sz="4" w:space="0" w:color="auto"/>
              <w:right w:val="single" w:sz="4" w:space="0" w:color="auto"/>
            </w:tcBorders>
            <w:shd w:val="clear" w:color="000000" w:fill="FFFFFF"/>
            <w:vAlign w:val="center"/>
            <w:hideMark/>
          </w:tcPr>
          <w:p w14:paraId="3013BCFF"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Support the budgeting and targeting of domestic resources for immunization and/or primary healthcare (PHC) based on equity considerations</w:t>
            </w:r>
          </w:p>
        </w:tc>
        <w:tc>
          <w:tcPr>
            <w:tcW w:w="1584" w:type="dxa"/>
            <w:tcBorders>
              <w:top w:val="nil"/>
              <w:left w:val="nil"/>
              <w:bottom w:val="single" w:sz="4" w:space="0" w:color="auto"/>
              <w:right w:val="single" w:sz="4" w:space="0" w:color="auto"/>
            </w:tcBorders>
            <w:shd w:val="clear" w:color="000000" w:fill="FFFFFF"/>
            <w:vAlign w:val="center"/>
            <w:hideMark/>
          </w:tcPr>
          <w:p w14:paraId="00464EC5"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21,146</w:t>
            </w:r>
          </w:p>
        </w:tc>
        <w:tc>
          <w:tcPr>
            <w:tcW w:w="1168" w:type="dxa"/>
            <w:tcBorders>
              <w:top w:val="nil"/>
              <w:left w:val="nil"/>
              <w:bottom w:val="single" w:sz="4" w:space="0" w:color="auto"/>
              <w:right w:val="single" w:sz="4" w:space="0" w:color="auto"/>
            </w:tcBorders>
            <w:shd w:val="clear" w:color="000000" w:fill="FFFFFF"/>
            <w:vAlign w:val="center"/>
            <w:hideMark/>
          </w:tcPr>
          <w:p w14:paraId="24487DA9"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3</w:t>
            </w:r>
          </w:p>
        </w:tc>
      </w:tr>
      <w:tr w:rsidR="009606EF" w:rsidRPr="009606EF" w14:paraId="2DAC5356"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64CD1343"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GB" w:eastAsia="en-US"/>
              </w:rPr>
              <w:t>Health financing</w:t>
            </w:r>
          </w:p>
        </w:tc>
        <w:tc>
          <w:tcPr>
            <w:tcW w:w="3921" w:type="dxa"/>
            <w:tcBorders>
              <w:top w:val="nil"/>
              <w:left w:val="nil"/>
              <w:bottom w:val="single" w:sz="4" w:space="0" w:color="auto"/>
              <w:right w:val="single" w:sz="4" w:space="0" w:color="auto"/>
            </w:tcBorders>
            <w:shd w:val="clear" w:color="000000" w:fill="FFFFFF"/>
            <w:vAlign w:val="center"/>
            <w:hideMark/>
          </w:tcPr>
          <w:p w14:paraId="2A68D6F2"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Support the planning of Gavi and non-Gavi-supported vaccine procurement costs based on quality vaccine forecasts as part of national and subnational health budgets.</w:t>
            </w:r>
          </w:p>
        </w:tc>
        <w:tc>
          <w:tcPr>
            <w:tcW w:w="1584" w:type="dxa"/>
            <w:tcBorders>
              <w:top w:val="nil"/>
              <w:left w:val="nil"/>
              <w:bottom w:val="single" w:sz="4" w:space="0" w:color="auto"/>
              <w:right w:val="single" w:sz="4" w:space="0" w:color="auto"/>
            </w:tcBorders>
            <w:shd w:val="clear" w:color="000000" w:fill="FFFFFF"/>
            <w:vAlign w:val="center"/>
            <w:hideMark/>
          </w:tcPr>
          <w:p w14:paraId="130AC115"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140,976</w:t>
            </w:r>
          </w:p>
        </w:tc>
        <w:tc>
          <w:tcPr>
            <w:tcW w:w="1168" w:type="dxa"/>
            <w:tcBorders>
              <w:top w:val="nil"/>
              <w:left w:val="nil"/>
              <w:bottom w:val="single" w:sz="4" w:space="0" w:color="auto"/>
              <w:right w:val="single" w:sz="4" w:space="0" w:color="auto"/>
            </w:tcBorders>
            <w:shd w:val="clear" w:color="000000" w:fill="FFFFFF"/>
            <w:vAlign w:val="center"/>
            <w:hideMark/>
          </w:tcPr>
          <w:p w14:paraId="1E9DFAD4"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20</w:t>
            </w:r>
          </w:p>
        </w:tc>
      </w:tr>
      <w:tr w:rsidR="009606EF" w:rsidRPr="009606EF" w14:paraId="28D9171C" w14:textId="77777777" w:rsidTr="009606EF">
        <w:trPr>
          <w:gridAfter w:val="1"/>
          <w:wAfter w:w="17" w:type="dxa"/>
          <w:trHeight w:val="20"/>
        </w:trPr>
        <w:tc>
          <w:tcPr>
            <w:tcW w:w="6412" w:type="dxa"/>
            <w:gridSpan w:val="2"/>
            <w:tcBorders>
              <w:top w:val="single" w:sz="4" w:space="0" w:color="auto"/>
              <w:left w:val="single" w:sz="4" w:space="0" w:color="auto"/>
              <w:bottom w:val="single" w:sz="4" w:space="0" w:color="auto"/>
              <w:right w:val="single" w:sz="4" w:space="0" w:color="auto"/>
            </w:tcBorders>
            <w:shd w:val="clear" w:color="000000" w:fill="E2EFD9"/>
            <w:vAlign w:val="center"/>
            <w:hideMark/>
          </w:tcPr>
          <w:p w14:paraId="4705C62F" w14:textId="77777777" w:rsidR="009606EF" w:rsidRPr="009606EF" w:rsidRDefault="009606EF" w:rsidP="009606EF">
            <w:pPr>
              <w:spacing w:line="240" w:lineRule="auto"/>
              <w:jc w:val="right"/>
              <w:rPr>
                <w:rFonts w:eastAsia="Times New Roman"/>
                <w:b/>
                <w:bCs/>
                <w:color w:val="000000"/>
                <w:lang w:val="en-US" w:eastAsia="en-US"/>
              </w:rPr>
            </w:pPr>
            <w:r w:rsidRPr="009606EF">
              <w:rPr>
                <w:rFonts w:eastAsia="Times New Roman"/>
                <w:b/>
                <w:bCs/>
                <w:color w:val="000000"/>
                <w:lang w:val="en-GB" w:eastAsia="en-US"/>
              </w:rPr>
              <w:t>2024</w:t>
            </w:r>
          </w:p>
        </w:tc>
        <w:tc>
          <w:tcPr>
            <w:tcW w:w="1584" w:type="dxa"/>
            <w:tcBorders>
              <w:top w:val="nil"/>
              <w:left w:val="nil"/>
              <w:bottom w:val="single" w:sz="4" w:space="0" w:color="auto"/>
              <w:right w:val="single" w:sz="4" w:space="0" w:color="auto"/>
            </w:tcBorders>
            <w:shd w:val="clear" w:color="000000" w:fill="E2EFD9"/>
            <w:vAlign w:val="center"/>
            <w:hideMark/>
          </w:tcPr>
          <w:p w14:paraId="4390DEE7" w14:textId="77777777" w:rsidR="009606EF" w:rsidRPr="009606EF" w:rsidRDefault="009606EF" w:rsidP="009606EF">
            <w:pPr>
              <w:spacing w:line="240" w:lineRule="auto"/>
              <w:jc w:val="right"/>
              <w:rPr>
                <w:rFonts w:eastAsia="Times New Roman"/>
                <w:b/>
                <w:bCs/>
                <w:color w:val="000000"/>
                <w:lang w:val="en-US" w:eastAsia="en-US"/>
              </w:rPr>
            </w:pPr>
            <w:r w:rsidRPr="009606EF">
              <w:rPr>
                <w:rFonts w:eastAsia="Times New Roman"/>
                <w:b/>
                <w:bCs/>
                <w:color w:val="000000"/>
                <w:lang w:val="en-GB" w:eastAsia="en-US"/>
              </w:rPr>
              <w:t> </w:t>
            </w:r>
          </w:p>
        </w:tc>
        <w:tc>
          <w:tcPr>
            <w:tcW w:w="1168" w:type="dxa"/>
            <w:tcBorders>
              <w:top w:val="nil"/>
              <w:left w:val="nil"/>
              <w:bottom w:val="single" w:sz="4" w:space="0" w:color="auto"/>
              <w:right w:val="single" w:sz="4" w:space="0" w:color="auto"/>
            </w:tcBorders>
            <w:shd w:val="clear" w:color="000000" w:fill="E2EFD9"/>
            <w:vAlign w:val="center"/>
            <w:hideMark/>
          </w:tcPr>
          <w:p w14:paraId="27C417FD" w14:textId="77777777" w:rsidR="009606EF" w:rsidRPr="009606EF" w:rsidRDefault="009606EF" w:rsidP="009606EF">
            <w:pPr>
              <w:spacing w:line="240" w:lineRule="auto"/>
              <w:jc w:val="right"/>
              <w:rPr>
                <w:rFonts w:eastAsia="Times New Roman"/>
                <w:b/>
                <w:bCs/>
                <w:color w:val="000000"/>
                <w:lang w:val="en-US" w:eastAsia="en-US"/>
              </w:rPr>
            </w:pPr>
            <w:r w:rsidRPr="009606EF">
              <w:rPr>
                <w:rFonts w:eastAsia="Times New Roman"/>
                <w:b/>
                <w:bCs/>
                <w:color w:val="000000"/>
                <w:lang w:val="en-GB" w:eastAsia="en-US"/>
              </w:rPr>
              <w:t> </w:t>
            </w:r>
          </w:p>
        </w:tc>
      </w:tr>
      <w:tr w:rsidR="009606EF" w:rsidRPr="009606EF" w14:paraId="6EB98409"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2B584A9D"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GB" w:eastAsia="en-US"/>
              </w:rPr>
              <w:t>Service delivery</w:t>
            </w:r>
          </w:p>
        </w:tc>
        <w:tc>
          <w:tcPr>
            <w:tcW w:w="3921" w:type="dxa"/>
            <w:tcBorders>
              <w:top w:val="nil"/>
              <w:left w:val="nil"/>
              <w:bottom w:val="single" w:sz="4" w:space="0" w:color="auto"/>
              <w:right w:val="single" w:sz="4" w:space="0" w:color="auto"/>
            </w:tcBorders>
            <w:shd w:val="clear" w:color="000000" w:fill="FFFFFF"/>
            <w:vAlign w:val="center"/>
            <w:hideMark/>
          </w:tcPr>
          <w:p w14:paraId="753340C6"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 xml:space="preserve">Extend immunization services to reach zero-dose, </w:t>
            </w:r>
            <w:proofErr w:type="spellStart"/>
            <w:r w:rsidRPr="009606EF">
              <w:rPr>
                <w:rFonts w:eastAsia="Times New Roman"/>
                <w:color w:val="808080"/>
                <w:lang w:val="en-US" w:eastAsia="en-US"/>
              </w:rPr>
              <w:t>underimmunised</w:t>
            </w:r>
            <w:proofErr w:type="spellEnd"/>
            <w:r w:rsidRPr="009606EF">
              <w:rPr>
                <w:rFonts w:eastAsia="Times New Roman"/>
                <w:color w:val="808080"/>
                <w:lang w:val="en-US" w:eastAsia="en-US"/>
              </w:rPr>
              <w:t xml:space="preserve"> children and missed communities</w:t>
            </w:r>
          </w:p>
        </w:tc>
        <w:tc>
          <w:tcPr>
            <w:tcW w:w="1584" w:type="dxa"/>
            <w:tcBorders>
              <w:top w:val="nil"/>
              <w:left w:val="nil"/>
              <w:bottom w:val="single" w:sz="4" w:space="0" w:color="auto"/>
              <w:right w:val="single" w:sz="4" w:space="0" w:color="auto"/>
            </w:tcBorders>
            <w:shd w:val="clear" w:color="000000" w:fill="FFFFFF"/>
            <w:vAlign w:val="center"/>
            <w:hideMark/>
          </w:tcPr>
          <w:p w14:paraId="4A48E0AB"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100,798</w:t>
            </w:r>
          </w:p>
        </w:tc>
        <w:tc>
          <w:tcPr>
            <w:tcW w:w="1168" w:type="dxa"/>
            <w:tcBorders>
              <w:top w:val="nil"/>
              <w:left w:val="nil"/>
              <w:bottom w:val="single" w:sz="4" w:space="0" w:color="auto"/>
              <w:right w:val="single" w:sz="4" w:space="0" w:color="auto"/>
            </w:tcBorders>
            <w:shd w:val="clear" w:color="000000" w:fill="FFFFFF"/>
            <w:vAlign w:val="center"/>
            <w:hideMark/>
          </w:tcPr>
          <w:p w14:paraId="68DFD9F5"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14.3</w:t>
            </w:r>
          </w:p>
        </w:tc>
      </w:tr>
      <w:tr w:rsidR="009606EF" w:rsidRPr="009606EF" w14:paraId="12E1817A"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5E0B4D05"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Service delivery</w:t>
            </w:r>
          </w:p>
        </w:tc>
        <w:tc>
          <w:tcPr>
            <w:tcW w:w="3921" w:type="dxa"/>
            <w:tcBorders>
              <w:top w:val="nil"/>
              <w:left w:val="nil"/>
              <w:bottom w:val="single" w:sz="4" w:space="0" w:color="auto"/>
              <w:right w:val="single" w:sz="4" w:space="0" w:color="auto"/>
            </w:tcBorders>
            <w:shd w:val="clear" w:color="000000" w:fill="FFFFFF"/>
            <w:vAlign w:val="center"/>
            <w:hideMark/>
          </w:tcPr>
          <w:p w14:paraId="7296AD7A"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 xml:space="preserve">Design and implement life-course immunization approaches relevant to Gavi-supported vaccine programmes </w:t>
            </w:r>
          </w:p>
        </w:tc>
        <w:tc>
          <w:tcPr>
            <w:tcW w:w="1584" w:type="dxa"/>
            <w:tcBorders>
              <w:top w:val="nil"/>
              <w:left w:val="nil"/>
              <w:bottom w:val="single" w:sz="4" w:space="0" w:color="auto"/>
              <w:right w:val="single" w:sz="4" w:space="0" w:color="auto"/>
            </w:tcBorders>
            <w:shd w:val="clear" w:color="000000" w:fill="FFFFFF"/>
            <w:vAlign w:val="center"/>
            <w:hideMark/>
          </w:tcPr>
          <w:p w14:paraId="198A1A68"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70,488</w:t>
            </w:r>
          </w:p>
        </w:tc>
        <w:tc>
          <w:tcPr>
            <w:tcW w:w="1168" w:type="dxa"/>
            <w:tcBorders>
              <w:top w:val="nil"/>
              <w:left w:val="nil"/>
              <w:bottom w:val="single" w:sz="4" w:space="0" w:color="auto"/>
              <w:right w:val="single" w:sz="4" w:space="0" w:color="auto"/>
            </w:tcBorders>
            <w:shd w:val="clear" w:color="000000" w:fill="FFFFFF"/>
            <w:vAlign w:val="center"/>
            <w:hideMark/>
          </w:tcPr>
          <w:p w14:paraId="6223CFA3"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10</w:t>
            </w:r>
          </w:p>
        </w:tc>
      </w:tr>
      <w:tr w:rsidR="009606EF" w:rsidRPr="009606EF" w14:paraId="70CC1BB3"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7030CFF4"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Human resources for health</w:t>
            </w:r>
          </w:p>
        </w:tc>
        <w:tc>
          <w:tcPr>
            <w:tcW w:w="3921" w:type="dxa"/>
            <w:tcBorders>
              <w:top w:val="nil"/>
              <w:left w:val="nil"/>
              <w:bottom w:val="single" w:sz="4" w:space="0" w:color="auto"/>
              <w:right w:val="single" w:sz="4" w:space="0" w:color="auto"/>
            </w:tcBorders>
            <w:shd w:val="clear" w:color="000000" w:fill="FFFFFF"/>
            <w:vAlign w:val="center"/>
            <w:hideMark/>
          </w:tcPr>
          <w:p w14:paraId="1BA6AB0B"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Improve the quality of immunization-related pre-service training among physicians, midwives and nurses for immunization</w:t>
            </w:r>
          </w:p>
        </w:tc>
        <w:tc>
          <w:tcPr>
            <w:tcW w:w="1584" w:type="dxa"/>
            <w:tcBorders>
              <w:top w:val="nil"/>
              <w:left w:val="nil"/>
              <w:bottom w:val="single" w:sz="4" w:space="0" w:color="auto"/>
              <w:right w:val="single" w:sz="4" w:space="0" w:color="auto"/>
            </w:tcBorders>
            <w:shd w:val="clear" w:color="000000" w:fill="FFFFFF"/>
            <w:vAlign w:val="center"/>
            <w:hideMark/>
          </w:tcPr>
          <w:p w14:paraId="63FC91F2"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70,488</w:t>
            </w:r>
          </w:p>
        </w:tc>
        <w:tc>
          <w:tcPr>
            <w:tcW w:w="1168" w:type="dxa"/>
            <w:tcBorders>
              <w:top w:val="nil"/>
              <w:left w:val="nil"/>
              <w:bottom w:val="single" w:sz="4" w:space="0" w:color="auto"/>
              <w:right w:val="single" w:sz="4" w:space="0" w:color="auto"/>
            </w:tcBorders>
            <w:shd w:val="clear" w:color="000000" w:fill="FFFFFF"/>
            <w:vAlign w:val="center"/>
            <w:hideMark/>
          </w:tcPr>
          <w:p w14:paraId="6B77DFA8"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10</w:t>
            </w:r>
          </w:p>
        </w:tc>
      </w:tr>
      <w:tr w:rsidR="009606EF" w:rsidRPr="009606EF" w14:paraId="4F1237C2"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614FA2FA"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Supply chain</w:t>
            </w:r>
          </w:p>
        </w:tc>
        <w:tc>
          <w:tcPr>
            <w:tcW w:w="3921" w:type="dxa"/>
            <w:tcBorders>
              <w:top w:val="nil"/>
              <w:left w:val="nil"/>
              <w:bottom w:val="single" w:sz="4" w:space="0" w:color="auto"/>
              <w:right w:val="single" w:sz="4" w:space="0" w:color="auto"/>
            </w:tcBorders>
            <w:shd w:val="clear" w:color="000000" w:fill="FFFFFF"/>
            <w:vAlign w:val="center"/>
            <w:hideMark/>
          </w:tcPr>
          <w:p w14:paraId="472C41E3"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Improve the design of the immunization supply chain (</w:t>
            </w:r>
            <w:proofErr w:type="spellStart"/>
            <w:r w:rsidRPr="009606EF">
              <w:rPr>
                <w:rFonts w:eastAsia="Times New Roman"/>
                <w:color w:val="808080"/>
                <w:lang w:val="en-US" w:eastAsia="en-US"/>
              </w:rPr>
              <w:t>iSC</w:t>
            </w:r>
            <w:proofErr w:type="spellEnd"/>
            <w:r w:rsidRPr="009606EF">
              <w:rPr>
                <w:rFonts w:eastAsia="Times New Roman"/>
                <w:color w:val="808080"/>
                <w:lang w:val="en-US" w:eastAsia="en-US"/>
              </w:rPr>
              <w:t>) system to improve efficiency and vaccine availability, especially in the last mile</w:t>
            </w:r>
          </w:p>
        </w:tc>
        <w:tc>
          <w:tcPr>
            <w:tcW w:w="1584" w:type="dxa"/>
            <w:tcBorders>
              <w:top w:val="nil"/>
              <w:left w:val="nil"/>
              <w:bottom w:val="single" w:sz="4" w:space="0" w:color="auto"/>
              <w:right w:val="single" w:sz="4" w:space="0" w:color="auto"/>
            </w:tcBorders>
            <w:shd w:val="clear" w:color="000000" w:fill="FFFFFF"/>
            <w:vAlign w:val="center"/>
            <w:hideMark/>
          </w:tcPr>
          <w:p w14:paraId="07E87EFB"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37,359</w:t>
            </w:r>
          </w:p>
        </w:tc>
        <w:tc>
          <w:tcPr>
            <w:tcW w:w="1168" w:type="dxa"/>
            <w:tcBorders>
              <w:top w:val="nil"/>
              <w:left w:val="nil"/>
              <w:bottom w:val="single" w:sz="4" w:space="0" w:color="auto"/>
              <w:right w:val="single" w:sz="4" w:space="0" w:color="auto"/>
            </w:tcBorders>
            <w:shd w:val="clear" w:color="000000" w:fill="FFFFFF"/>
            <w:vAlign w:val="center"/>
            <w:hideMark/>
          </w:tcPr>
          <w:p w14:paraId="7D5C0AAB"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5.3</w:t>
            </w:r>
          </w:p>
        </w:tc>
      </w:tr>
      <w:tr w:rsidR="009606EF" w:rsidRPr="009606EF" w14:paraId="4E5124C6"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08F1EE36"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Supply chain</w:t>
            </w:r>
          </w:p>
        </w:tc>
        <w:tc>
          <w:tcPr>
            <w:tcW w:w="3921" w:type="dxa"/>
            <w:tcBorders>
              <w:top w:val="nil"/>
              <w:left w:val="nil"/>
              <w:bottom w:val="single" w:sz="4" w:space="0" w:color="auto"/>
              <w:right w:val="single" w:sz="4" w:space="0" w:color="auto"/>
            </w:tcBorders>
            <w:shd w:val="clear" w:color="000000" w:fill="FFFFFF"/>
            <w:vAlign w:val="center"/>
            <w:hideMark/>
          </w:tcPr>
          <w:p w14:paraId="444C5433"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Strengthen waste management to reduce infection risk and/or environmental impact</w:t>
            </w:r>
          </w:p>
        </w:tc>
        <w:tc>
          <w:tcPr>
            <w:tcW w:w="1584" w:type="dxa"/>
            <w:tcBorders>
              <w:top w:val="nil"/>
              <w:left w:val="nil"/>
              <w:bottom w:val="single" w:sz="4" w:space="0" w:color="auto"/>
              <w:right w:val="single" w:sz="4" w:space="0" w:color="auto"/>
            </w:tcBorders>
            <w:shd w:val="clear" w:color="000000" w:fill="FFFFFF"/>
            <w:vAlign w:val="center"/>
            <w:hideMark/>
          </w:tcPr>
          <w:p w14:paraId="3F47066A"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56,390</w:t>
            </w:r>
          </w:p>
        </w:tc>
        <w:tc>
          <w:tcPr>
            <w:tcW w:w="1168" w:type="dxa"/>
            <w:tcBorders>
              <w:top w:val="nil"/>
              <w:left w:val="nil"/>
              <w:bottom w:val="single" w:sz="4" w:space="0" w:color="auto"/>
              <w:right w:val="single" w:sz="4" w:space="0" w:color="auto"/>
            </w:tcBorders>
            <w:shd w:val="clear" w:color="000000" w:fill="FFFFFF"/>
            <w:vAlign w:val="center"/>
            <w:hideMark/>
          </w:tcPr>
          <w:p w14:paraId="22CDDAD7"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8</w:t>
            </w:r>
          </w:p>
        </w:tc>
      </w:tr>
      <w:tr w:rsidR="009606EF" w:rsidRPr="009606EF" w14:paraId="06CCDAF8"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19FCA263"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Vaccine-preventable diseases surveillance</w:t>
            </w:r>
          </w:p>
        </w:tc>
        <w:tc>
          <w:tcPr>
            <w:tcW w:w="3921" w:type="dxa"/>
            <w:tcBorders>
              <w:top w:val="nil"/>
              <w:left w:val="nil"/>
              <w:bottom w:val="single" w:sz="4" w:space="0" w:color="auto"/>
              <w:right w:val="single" w:sz="4" w:space="0" w:color="auto"/>
            </w:tcBorders>
            <w:shd w:val="clear" w:color="000000" w:fill="FFFFFF"/>
            <w:vAlign w:val="center"/>
            <w:hideMark/>
          </w:tcPr>
          <w:p w14:paraId="0BEE7D5F"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Improve the availability and use of timely and accurate data for decisions on vaccine introduction and preventive campaign targeting</w:t>
            </w:r>
          </w:p>
        </w:tc>
        <w:tc>
          <w:tcPr>
            <w:tcW w:w="1584" w:type="dxa"/>
            <w:tcBorders>
              <w:top w:val="nil"/>
              <w:left w:val="nil"/>
              <w:bottom w:val="single" w:sz="4" w:space="0" w:color="auto"/>
              <w:right w:val="single" w:sz="4" w:space="0" w:color="auto"/>
            </w:tcBorders>
            <w:shd w:val="clear" w:color="000000" w:fill="FFFFFF"/>
            <w:vAlign w:val="center"/>
            <w:hideMark/>
          </w:tcPr>
          <w:p w14:paraId="574C4AFA"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105,732</w:t>
            </w:r>
          </w:p>
        </w:tc>
        <w:tc>
          <w:tcPr>
            <w:tcW w:w="1168" w:type="dxa"/>
            <w:tcBorders>
              <w:top w:val="nil"/>
              <w:left w:val="nil"/>
              <w:bottom w:val="single" w:sz="4" w:space="0" w:color="auto"/>
              <w:right w:val="single" w:sz="4" w:space="0" w:color="auto"/>
            </w:tcBorders>
            <w:shd w:val="clear" w:color="000000" w:fill="FFFFFF"/>
            <w:vAlign w:val="center"/>
            <w:hideMark/>
          </w:tcPr>
          <w:p w14:paraId="24E52BC5"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15</w:t>
            </w:r>
          </w:p>
        </w:tc>
      </w:tr>
      <w:tr w:rsidR="009606EF" w:rsidRPr="009606EF" w14:paraId="41B63C8A"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7BF90A9F"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GB" w:eastAsia="en-US"/>
              </w:rPr>
              <w:t>Demand generation and community engagement</w:t>
            </w:r>
          </w:p>
        </w:tc>
        <w:tc>
          <w:tcPr>
            <w:tcW w:w="3921" w:type="dxa"/>
            <w:tcBorders>
              <w:top w:val="nil"/>
              <w:left w:val="nil"/>
              <w:bottom w:val="single" w:sz="4" w:space="0" w:color="auto"/>
              <w:right w:val="single" w:sz="4" w:space="0" w:color="auto"/>
            </w:tcBorders>
            <w:shd w:val="clear" w:color="000000" w:fill="FFFFFF"/>
            <w:vAlign w:val="center"/>
            <w:hideMark/>
          </w:tcPr>
          <w:p w14:paraId="1C196E40"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Design and implement social and behaviour change interventions</w:t>
            </w:r>
          </w:p>
        </w:tc>
        <w:tc>
          <w:tcPr>
            <w:tcW w:w="1584" w:type="dxa"/>
            <w:tcBorders>
              <w:top w:val="nil"/>
              <w:left w:val="nil"/>
              <w:bottom w:val="single" w:sz="4" w:space="0" w:color="auto"/>
              <w:right w:val="single" w:sz="4" w:space="0" w:color="auto"/>
            </w:tcBorders>
            <w:shd w:val="clear" w:color="000000" w:fill="FFFFFF"/>
            <w:vAlign w:val="center"/>
            <w:hideMark/>
          </w:tcPr>
          <w:p w14:paraId="16A743BA"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94,454</w:t>
            </w:r>
          </w:p>
        </w:tc>
        <w:tc>
          <w:tcPr>
            <w:tcW w:w="1168" w:type="dxa"/>
            <w:tcBorders>
              <w:top w:val="nil"/>
              <w:left w:val="nil"/>
              <w:bottom w:val="single" w:sz="4" w:space="0" w:color="auto"/>
              <w:right w:val="single" w:sz="4" w:space="0" w:color="auto"/>
            </w:tcBorders>
            <w:shd w:val="clear" w:color="000000" w:fill="FFFFFF"/>
            <w:vAlign w:val="center"/>
            <w:hideMark/>
          </w:tcPr>
          <w:p w14:paraId="29DDEC12"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13.4</w:t>
            </w:r>
          </w:p>
        </w:tc>
      </w:tr>
      <w:tr w:rsidR="009606EF" w:rsidRPr="009606EF" w14:paraId="3414E797"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073D5759"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Governance, policy, strategic planning and programme management</w:t>
            </w:r>
          </w:p>
        </w:tc>
        <w:tc>
          <w:tcPr>
            <w:tcW w:w="3921" w:type="dxa"/>
            <w:tcBorders>
              <w:top w:val="nil"/>
              <w:left w:val="nil"/>
              <w:bottom w:val="single" w:sz="4" w:space="0" w:color="auto"/>
              <w:right w:val="single" w:sz="4" w:space="0" w:color="auto"/>
            </w:tcBorders>
            <w:shd w:val="clear" w:color="000000" w:fill="FFFFFF"/>
            <w:vAlign w:val="center"/>
            <w:hideMark/>
          </w:tcPr>
          <w:p w14:paraId="574CA34F"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Strengthen programme performance monitoring and management systems at all levels</w:t>
            </w:r>
          </w:p>
        </w:tc>
        <w:tc>
          <w:tcPr>
            <w:tcW w:w="1584" w:type="dxa"/>
            <w:tcBorders>
              <w:top w:val="nil"/>
              <w:left w:val="nil"/>
              <w:bottom w:val="single" w:sz="4" w:space="0" w:color="auto"/>
              <w:right w:val="single" w:sz="4" w:space="0" w:color="auto"/>
            </w:tcBorders>
            <w:shd w:val="clear" w:color="000000" w:fill="FFFFFF"/>
            <w:vAlign w:val="center"/>
            <w:hideMark/>
          </w:tcPr>
          <w:p w14:paraId="3221ED75"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35,244</w:t>
            </w:r>
          </w:p>
        </w:tc>
        <w:tc>
          <w:tcPr>
            <w:tcW w:w="1168" w:type="dxa"/>
            <w:tcBorders>
              <w:top w:val="nil"/>
              <w:left w:val="nil"/>
              <w:bottom w:val="single" w:sz="4" w:space="0" w:color="auto"/>
              <w:right w:val="single" w:sz="4" w:space="0" w:color="auto"/>
            </w:tcBorders>
            <w:shd w:val="clear" w:color="000000" w:fill="FFFFFF"/>
            <w:vAlign w:val="center"/>
            <w:hideMark/>
          </w:tcPr>
          <w:p w14:paraId="5A9F8096"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5</w:t>
            </w:r>
          </w:p>
        </w:tc>
      </w:tr>
      <w:tr w:rsidR="009606EF" w:rsidRPr="009606EF" w14:paraId="76021EA6"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21055151"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GB" w:eastAsia="en-US"/>
              </w:rPr>
              <w:lastRenderedPageBreak/>
              <w:t>Health financing</w:t>
            </w:r>
          </w:p>
        </w:tc>
        <w:tc>
          <w:tcPr>
            <w:tcW w:w="3921" w:type="dxa"/>
            <w:tcBorders>
              <w:top w:val="nil"/>
              <w:left w:val="nil"/>
              <w:bottom w:val="single" w:sz="4" w:space="0" w:color="auto"/>
              <w:right w:val="single" w:sz="4" w:space="0" w:color="auto"/>
            </w:tcBorders>
            <w:shd w:val="clear" w:color="000000" w:fill="FFFFFF"/>
            <w:vAlign w:val="center"/>
            <w:hideMark/>
          </w:tcPr>
          <w:p w14:paraId="640D5283"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Support the budgeting and targeting of domestic resources for immunization and/or primary healthcare (PHC) based on equity considerations</w:t>
            </w:r>
          </w:p>
        </w:tc>
        <w:tc>
          <w:tcPr>
            <w:tcW w:w="1584" w:type="dxa"/>
            <w:tcBorders>
              <w:top w:val="nil"/>
              <w:left w:val="nil"/>
              <w:bottom w:val="single" w:sz="4" w:space="0" w:color="auto"/>
              <w:right w:val="single" w:sz="4" w:space="0" w:color="auto"/>
            </w:tcBorders>
            <w:shd w:val="clear" w:color="000000" w:fill="FFFFFF"/>
            <w:vAlign w:val="center"/>
            <w:hideMark/>
          </w:tcPr>
          <w:p w14:paraId="6E234D5E"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35,244</w:t>
            </w:r>
          </w:p>
        </w:tc>
        <w:tc>
          <w:tcPr>
            <w:tcW w:w="1168" w:type="dxa"/>
            <w:tcBorders>
              <w:top w:val="nil"/>
              <w:left w:val="nil"/>
              <w:bottom w:val="single" w:sz="4" w:space="0" w:color="auto"/>
              <w:right w:val="single" w:sz="4" w:space="0" w:color="auto"/>
            </w:tcBorders>
            <w:shd w:val="clear" w:color="000000" w:fill="FFFFFF"/>
            <w:vAlign w:val="center"/>
            <w:hideMark/>
          </w:tcPr>
          <w:p w14:paraId="5B5C10EC"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5</w:t>
            </w:r>
          </w:p>
        </w:tc>
      </w:tr>
      <w:tr w:rsidR="009606EF" w:rsidRPr="009606EF" w14:paraId="35580BAF"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4A5EBC3E"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GB" w:eastAsia="en-US"/>
              </w:rPr>
              <w:t>Health financing</w:t>
            </w:r>
          </w:p>
        </w:tc>
        <w:tc>
          <w:tcPr>
            <w:tcW w:w="3921" w:type="dxa"/>
            <w:tcBorders>
              <w:top w:val="nil"/>
              <w:left w:val="nil"/>
              <w:bottom w:val="single" w:sz="4" w:space="0" w:color="auto"/>
              <w:right w:val="single" w:sz="4" w:space="0" w:color="auto"/>
            </w:tcBorders>
            <w:shd w:val="clear" w:color="000000" w:fill="FFFFFF"/>
            <w:vAlign w:val="center"/>
            <w:hideMark/>
          </w:tcPr>
          <w:p w14:paraId="2F686CC4"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Support the planning of Gavi and non-Gavi-supported vaccine procurement costs based on quality vaccine forecasts as part of national and subnational health budgets.</w:t>
            </w:r>
          </w:p>
        </w:tc>
        <w:tc>
          <w:tcPr>
            <w:tcW w:w="1584" w:type="dxa"/>
            <w:tcBorders>
              <w:top w:val="nil"/>
              <w:left w:val="nil"/>
              <w:bottom w:val="single" w:sz="4" w:space="0" w:color="auto"/>
              <w:right w:val="single" w:sz="4" w:space="0" w:color="auto"/>
            </w:tcBorders>
            <w:shd w:val="clear" w:color="000000" w:fill="FFFFFF"/>
            <w:vAlign w:val="center"/>
            <w:hideMark/>
          </w:tcPr>
          <w:p w14:paraId="542177AA"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98,683</w:t>
            </w:r>
          </w:p>
        </w:tc>
        <w:tc>
          <w:tcPr>
            <w:tcW w:w="1168" w:type="dxa"/>
            <w:tcBorders>
              <w:top w:val="nil"/>
              <w:left w:val="nil"/>
              <w:bottom w:val="single" w:sz="4" w:space="0" w:color="auto"/>
              <w:right w:val="single" w:sz="4" w:space="0" w:color="auto"/>
            </w:tcBorders>
            <w:shd w:val="clear" w:color="000000" w:fill="FFFFFF"/>
            <w:vAlign w:val="center"/>
            <w:hideMark/>
          </w:tcPr>
          <w:p w14:paraId="22F89425"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GB" w:eastAsia="en-US"/>
              </w:rPr>
              <w:t>14</w:t>
            </w:r>
          </w:p>
        </w:tc>
      </w:tr>
      <w:tr w:rsidR="009606EF" w:rsidRPr="009606EF" w14:paraId="5C99BB97" w14:textId="77777777" w:rsidTr="009606EF">
        <w:trPr>
          <w:trHeight w:val="20"/>
        </w:trPr>
        <w:tc>
          <w:tcPr>
            <w:tcW w:w="9181" w:type="dxa"/>
            <w:gridSpan w:val="5"/>
            <w:tcBorders>
              <w:top w:val="single" w:sz="4" w:space="0" w:color="auto"/>
              <w:left w:val="single" w:sz="4" w:space="0" w:color="auto"/>
              <w:bottom w:val="single" w:sz="4" w:space="0" w:color="auto"/>
              <w:right w:val="single" w:sz="4" w:space="0" w:color="auto"/>
            </w:tcBorders>
            <w:shd w:val="clear" w:color="000000" w:fill="E2EFD9"/>
            <w:vAlign w:val="center"/>
            <w:hideMark/>
          </w:tcPr>
          <w:p w14:paraId="0DC513EA" w14:textId="77777777" w:rsidR="009606EF" w:rsidRPr="009606EF" w:rsidRDefault="009606EF" w:rsidP="009606EF">
            <w:pPr>
              <w:spacing w:line="240" w:lineRule="auto"/>
              <w:jc w:val="center"/>
              <w:rPr>
                <w:rFonts w:eastAsia="Times New Roman"/>
                <w:b/>
                <w:bCs/>
                <w:color w:val="000000"/>
                <w:lang w:val="en-US" w:eastAsia="en-US"/>
              </w:rPr>
            </w:pPr>
            <w:r w:rsidRPr="009606EF">
              <w:rPr>
                <w:rFonts w:eastAsia="Times New Roman"/>
                <w:b/>
                <w:bCs/>
                <w:color w:val="000000"/>
                <w:lang w:val="en-GB" w:eastAsia="en-US"/>
              </w:rPr>
              <w:t>2025</w:t>
            </w:r>
            <w:r w:rsidRPr="009606EF">
              <w:rPr>
                <w:rFonts w:eastAsia="Times New Roman"/>
                <w:color w:val="000000"/>
                <w:sz w:val="16"/>
                <w:szCs w:val="16"/>
                <w:lang w:val="en-GB" w:eastAsia="en-US"/>
              </w:rPr>
              <w:t> </w:t>
            </w:r>
          </w:p>
        </w:tc>
      </w:tr>
      <w:tr w:rsidR="009606EF" w:rsidRPr="009606EF" w14:paraId="49BBD78F"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10BE89EB"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Service delivery</w:t>
            </w:r>
          </w:p>
        </w:tc>
        <w:tc>
          <w:tcPr>
            <w:tcW w:w="3921" w:type="dxa"/>
            <w:tcBorders>
              <w:top w:val="nil"/>
              <w:left w:val="nil"/>
              <w:bottom w:val="single" w:sz="4" w:space="0" w:color="auto"/>
              <w:right w:val="single" w:sz="4" w:space="0" w:color="auto"/>
            </w:tcBorders>
            <w:shd w:val="clear" w:color="000000" w:fill="FFFFFF"/>
            <w:vAlign w:val="center"/>
            <w:hideMark/>
          </w:tcPr>
          <w:p w14:paraId="78BDABB9"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 xml:space="preserve">Design and implement life-course immunization approaches relevant to Gavi-supported vaccine programmes </w:t>
            </w:r>
          </w:p>
        </w:tc>
        <w:tc>
          <w:tcPr>
            <w:tcW w:w="1584" w:type="dxa"/>
            <w:tcBorders>
              <w:top w:val="nil"/>
              <w:left w:val="nil"/>
              <w:bottom w:val="single" w:sz="4" w:space="0" w:color="auto"/>
              <w:right w:val="single" w:sz="4" w:space="0" w:color="auto"/>
            </w:tcBorders>
            <w:shd w:val="clear" w:color="000000" w:fill="FFFFFF"/>
            <w:vAlign w:val="center"/>
            <w:hideMark/>
          </w:tcPr>
          <w:p w14:paraId="1F71D09E"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70,488</w:t>
            </w:r>
          </w:p>
        </w:tc>
        <w:tc>
          <w:tcPr>
            <w:tcW w:w="1168" w:type="dxa"/>
            <w:tcBorders>
              <w:top w:val="nil"/>
              <w:left w:val="nil"/>
              <w:bottom w:val="single" w:sz="4" w:space="0" w:color="auto"/>
              <w:right w:val="single" w:sz="4" w:space="0" w:color="auto"/>
            </w:tcBorders>
            <w:shd w:val="clear" w:color="000000" w:fill="FFFFFF"/>
            <w:vAlign w:val="center"/>
            <w:hideMark/>
          </w:tcPr>
          <w:p w14:paraId="6C5D1357"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10</w:t>
            </w:r>
          </w:p>
        </w:tc>
      </w:tr>
      <w:tr w:rsidR="009606EF" w:rsidRPr="009606EF" w14:paraId="1F8783E9"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4649529B"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Human resources for health</w:t>
            </w:r>
          </w:p>
        </w:tc>
        <w:tc>
          <w:tcPr>
            <w:tcW w:w="3921" w:type="dxa"/>
            <w:tcBorders>
              <w:top w:val="nil"/>
              <w:left w:val="nil"/>
              <w:bottom w:val="single" w:sz="4" w:space="0" w:color="auto"/>
              <w:right w:val="single" w:sz="4" w:space="0" w:color="auto"/>
            </w:tcBorders>
            <w:shd w:val="clear" w:color="000000" w:fill="FFFFFF"/>
            <w:vAlign w:val="center"/>
            <w:hideMark/>
          </w:tcPr>
          <w:p w14:paraId="05F2CCFE"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Improve the quality of immunization-related pre-service training among physicians, midwives and nurses for immunization</w:t>
            </w:r>
          </w:p>
        </w:tc>
        <w:tc>
          <w:tcPr>
            <w:tcW w:w="1584" w:type="dxa"/>
            <w:tcBorders>
              <w:top w:val="nil"/>
              <w:left w:val="nil"/>
              <w:bottom w:val="single" w:sz="4" w:space="0" w:color="auto"/>
              <w:right w:val="single" w:sz="4" w:space="0" w:color="auto"/>
            </w:tcBorders>
            <w:shd w:val="clear" w:color="000000" w:fill="FFFFFF"/>
            <w:vAlign w:val="center"/>
            <w:hideMark/>
          </w:tcPr>
          <w:p w14:paraId="4EAEE717"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146,615</w:t>
            </w:r>
          </w:p>
        </w:tc>
        <w:tc>
          <w:tcPr>
            <w:tcW w:w="1168" w:type="dxa"/>
            <w:tcBorders>
              <w:top w:val="nil"/>
              <w:left w:val="nil"/>
              <w:bottom w:val="single" w:sz="4" w:space="0" w:color="auto"/>
              <w:right w:val="single" w:sz="4" w:space="0" w:color="auto"/>
            </w:tcBorders>
            <w:shd w:val="clear" w:color="000000" w:fill="FFFFFF"/>
            <w:vAlign w:val="center"/>
            <w:hideMark/>
          </w:tcPr>
          <w:p w14:paraId="26E44DC0"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20.8</w:t>
            </w:r>
          </w:p>
        </w:tc>
      </w:tr>
      <w:tr w:rsidR="009606EF" w:rsidRPr="009606EF" w14:paraId="2154FA9F"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2CDC4E39"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Supply chain</w:t>
            </w:r>
          </w:p>
        </w:tc>
        <w:tc>
          <w:tcPr>
            <w:tcW w:w="3921" w:type="dxa"/>
            <w:tcBorders>
              <w:top w:val="nil"/>
              <w:left w:val="nil"/>
              <w:bottom w:val="single" w:sz="4" w:space="0" w:color="auto"/>
              <w:right w:val="single" w:sz="4" w:space="0" w:color="auto"/>
            </w:tcBorders>
            <w:shd w:val="clear" w:color="000000" w:fill="FFFFFF"/>
            <w:vAlign w:val="center"/>
            <w:hideMark/>
          </w:tcPr>
          <w:p w14:paraId="1AB1AC9D"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Improve the design of the immunization supply chain (</w:t>
            </w:r>
            <w:proofErr w:type="spellStart"/>
            <w:r w:rsidRPr="009606EF">
              <w:rPr>
                <w:rFonts w:eastAsia="Times New Roman"/>
                <w:color w:val="808080"/>
                <w:lang w:val="en-US" w:eastAsia="en-US"/>
              </w:rPr>
              <w:t>iSC</w:t>
            </w:r>
            <w:proofErr w:type="spellEnd"/>
            <w:r w:rsidRPr="009606EF">
              <w:rPr>
                <w:rFonts w:eastAsia="Times New Roman"/>
                <w:color w:val="808080"/>
                <w:lang w:val="en-US" w:eastAsia="en-US"/>
              </w:rPr>
              <w:t>) system to improve efficiency and vaccine availability, especially in the last mile</w:t>
            </w:r>
          </w:p>
        </w:tc>
        <w:tc>
          <w:tcPr>
            <w:tcW w:w="1584" w:type="dxa"/>
            <w:tcBorders>
              <w:top w:val="nil"/>
              <w:left w:val="nil"/>
              <w:bottom w:val="single" w:sz="4" w:space="0" w:color="auto"/>
              <w:right w:val="single" w:sz="4" w:space="0" w:color="auto"/>
            </w:tcBorders>
            <w:shd w:val="clear" w:color="000000" w:fill="FFFFFF"/>
            <w:vAlign w:val="center"/>
            <w:hideMark/>
          </w:tcPr>
          <w:p w14:paraId="2D37B696"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57,800</w:t>
            </w:r>
          </w:p>
        </w:tc>
        <w:tc>
          <w:tcPr>
            <w:tcW w:w="1168" w:type="dxa"/>
            <w:tcBorders>
              <w:top w:val="nil"/>
              <w:left w:val="nil"/>
              <w:bottom w:val="single" w:sz="4" w:space="0" w:color="auto"/>
              <w:right w:val="single" w:sz="4" w:space="0" w:color="auto"/>
            </w:tcBorders>
            <w:shd w:val="clear" w:color="000000" w:fill="FFFFFF"/>
            <w:vAlign w:val="center"/>
            <w:hideMark/>
          </w:tcPr>
          <w:p w14:paraId="4D647122"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8.2</w:t>
            </w:r>
          </w:p>
        </w:tc>
      </w:tr>
      <w:tr w:rsidR="009606EF" w:rsidRPr="009606EF" w14:paraId="48644013"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541F745C"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Vaccine-preventable diseases surveillance</w:t>
            </w:r>
          </w:p>
        </w:tc>
        <w:tc>
          <w:tcPr>
            <w:tcW w:w="3921" w:type="dxa"/>
            <w:tcBorders>
              <w:top w:val="nil"/>
              <w:left w:val="nil"/>
              <w:bottom w:val="single" w:sz="4" w:space="0" w:color="auto"/>
              <w:right w:val="single" w:sz="4" w:space="0" w:color="auto"/>
            </w:tcBorders>
            <w:shd w:val="clear" w:color="000000" w:fill="FFFFFF"/>
            <w:vAlign w:val="center"/>
            <w:hideMark/>
          </w:tcPr>
          <w:p w14:paraId="55BFDC04"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Improve the availability and use of timely and accurate data for decisions on vaccine introduction and preventive campaign targeting</w:t>
            </w:r>
          </w:p>
        </w:tc>
        <w:tc>
          <w:tcPr>
            <w:tcW w:w="1584" w:type="dxa"/>
            <w:tcBorders>
              <w:top w:val="nil"/>
              <w:left w:val="nil"/>
              <w:bottom w:val="single" w:sz="4" w:space="0" w:color="auto"/>
              <w:right w:val="single" w:sz="4" w:space="0" w:color="auto"/>
            </w:tcBorders>
            <w:shd w:val="clear" w:color="000000" w:fill="FFFFFF"/>
            <w:vAlign w:val="center"/>
            <w:hideMark/>
          </w:tcPr>
          <w:p w14:paraId="3C686330"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70,488</w:t>
            </w:r>
          </w:p>
        </w:tc>
        <w:tc>
          <w:tcPr>
            <w:tcW w:w="1168" w:type="dxa"/>
            <w:tcBorders>
              <w:top w:val="nil"/>
              <w:left w:val="nil"/>
              <w:bottom w:val="single" w:sz="4" w:space="0" w:color="auto"/>
              <w:right w:val="single" w:sz="4" w:space="0" w:color="auto"/>
            </w:tcBorders>
            <w:shd w:val="clear" w:color="000000" w:fill="FFFFFF"/>
            <w:vAlign w:val="center"/>
            <w:hideMark/>
          </w:tcPr>
          <w:p w14:paraId="0BB20B32"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10</w:t>
            </w:r>
          </w:p>
        </w:tc>
      </w:tr>
      <w:tr w:rsidR="009606EF" w:rsidRPr="009606EF" w14:paraId="6B9743A2"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48FAFA9C"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GB" w:eastAsia="en-US"/>
              </w:rPr>
              <w:t>Demand generation and community engagement</w:t>
            </w:r>
          </w:p>
        </w:tc>
        <w:tc>
          <w:tcPr>
            <w:tcW w:w="3921" w:type="dxa"/>
            <w:tcBorders>
              <w:top w:val="nil"/>
              <w:left w:val="nil"/>
              <w:bottom w:val="single" w:sz="4" w:space="0" w:color="auto"/>
              <w:right w:val="single" w:sz="4" w:space="0" w:color="auto"/>
            </w:tcBorders>
            <w:shd w:val="clear" w:color="000000" w:fill="FFFFFF"/>
            <w:vAlign w:val="center"/>
            <w:hideMark/>
          </w:tcPr>
          <w:p w14:paraId="5F6D071D"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Design and implement social and behaviour change interventions</w:t>
            </w:r>
          </w:p>
        </w:tc>
        <w:tc>
          <w:tcPr>
            <w:tcW w:w="1584" w:type="dxa"/>
            <w:tcBorders>
              <w:top w:val="nil"/>
              <w:left w:val="nil"/>
              <w:bottom w:val="single" w:sz="4" w:space="0" w:color="auto"/>
              <w:right w:val="single" w:sz="4" w:space="0" w:color="auto"/>
            </w:tcBorders>
            <w:shd w:val="clear" w:color="000000" w:fill="FFFFFF"/>
            <w:vAlign w:val="center"/>
            <w:hideMark/>
          </w:tcPr>
          <w:p w14:paraId="74B6D892"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144,501</w:t>
            </w:r>
          </w:p>
        </w:tc>
        <w:tc>
          <w:tcPr>
            <w:tcW w:w="1168" w:type="dxa"/>
            <w:tcBorders>
              <w:top w:val="nil"/>
              <w:left w:val="nil"/>
              <w:bottom w:val="single" w:sz="4" w:space="0" w:color="auto"/>
              <w:right w:val="single" w:sz="4" w:space="0" w:color="auto"/>
            </w:tcBorders>
            <w:shd w:val="clear" w:color="000000" w:fill="FFFFFF"/>
            <w:vAlign w:val="center"/>
            <w:hideMark/>
          </w:tcPr>
          <w:p w14:paraId="259F4E9A"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20.5</w:t>
            </w:r>
          </w:p>
        </w:tc>
      </w:tr>
      <w:tr w:rsidR="009606EF" w:rsidRPr="009606EF" w14:paraId="18FECC47"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250A87F4"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Governance, policy, strategic planning and programme management</w:t>
            </w:r>
          </w:p>
        </w:tc>
        <w:tc>
          <w:tcPr>
            <w:tcW w:w="3921" w:type="dxa"/>
            <w:tcBorders>
              <w:top w:val="nil"/>
              <w:left w:val="nil"/>
              <w:bottom w:val="single" w:sz="4" w:space="0" w:color="auto"/>
              <w:right w:val="single" w:sz="4" w:space="0" w:color="auto"/>
            </w:tcBorders>
            <w:shd w:val="clear" w:color="000000" w:fill="FFFFFF"/>
            <w:vAlign w:val="center"/>
            <w:hideMark/>
          </w:tcPr>
          <w:p w14:paraId="200E56E9"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Strengthen programme performance monitoring and management systems at all levels</w:t>
            </w:r>
          </w:p>
        </w:tc>
        <w:tc>
          <w:tcPr>
            <w:tcW w:w="1584" w:type="dxa"/>
            <w:tcBorders>
              <w:top w:val="nil"/>
              <w:left w:val="nil"/>
              <w:bottom w:val="single" w:sz="4" w:space="0" w:color="auto"/>
              <w:right w:val="single" w:sz="4" w:space="0" w:color="auto"/>
            </w:tcBorders>
            <w:shd w:val="clear" w:color="000000" w:fill="FFFFFF"/>
            <w:vAlign w:val="center"/>
            <w:hideMark/>
          </w:tcPr>
          <w:p w14:paraId="6128F61E"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70,488</w:t>
            </w:r>
          </w:p>
        </w:tc>
        <w:tc>
          <w:tcPr>
            <w:tcW w:w="1168" w:type="dxa"/>
            <w:tcBorders>
              <w:top w:val="nil"/>
              <w:left w:val="nil"/>
              <w:bottom w:val="single" w:sz="4" w:space="0" w:color="auto"/>
              <w:right w:val="single" w:sz="4" w:space="0" w:color="auto"/>
            </w:tcBorders>
            <w:shd w:val="clear" w:color="000000" w:fill="FFFFFF"/>
            <w:vAlign w:val="center"/>
            <w:hideMark/>
          </w:tcPr>
          <w:p w14:paraId="7B76D60E"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10</w:t>
            </w:r>
          </w:p>
        </w:tc>
      </w:tr>
      <w:tr w:rsidR="009606EF" w:rsidRPr="009606EF" w14:paraId="3669A9A3"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01EF7692"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GB" w:eastAsia="en-US"/>
              </w:rPr>
              <w:t>Health financing</w:t>
            </w:r>
          </w:p>
        </w:tc>
        <w:tc>
          <w:tcPr>
            <w:tcW w:w="3921" w:type="dxa"/>
            <w:tcBorders>
              <w:top w:val="nil"/>
              <w:left w:val="nil"/>
              <w:bottom w:val="single" w:sz="4" w:space="0" w:color="auto"/>
              <w:right w:val="single" w:sz="4" w:space="0" w:color="auto"/>
            </w:tcBorders>
            <w:shd w:val="clear" w:color="000000" w:fill="FFFFFF"/>
            <w:vAlign w:val="center"/>
            <w:hideMark/>
          </w:tcPr>
          <w:p w14:paraId="5AA46A0C"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Support the budgeting and targeting of domestic resources for immunization and/or primary healthcare (PHC) based on equity considerations</w:t>
            </w:r>
          </w:p>
        </w:tc>
        <w:tc>
          <w:tcPr>
            <w:tcW w:w="1584" w:type="dxa"/>
            <w:tcBorders>
              <w:top w:val="nil"/>
              <w:left w:val="nil"/>
              <w:bottom w:val="single" w:sz="4" w:space="0" w:color="auto"/>
              <w:right w:val="single" w:sz="4" w:space="0" w:color="auto"/>
            </w:tcBorders>
            <w:shd w:val="clear" w:color="000000" w:fill="FFFFFF"/>
            <w:vAlign w:val="center"/>
            <w:hideMark/>
          </w:tcPr>
          <w:p w14:paraId="7085323D"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74,013</w:t>
            </w:r>
          </w:p>
        </w:tc>
        <w:tc>
          <w:tcPr>
            <w:tcW w:w="1168" w:type="dxa"/>
            <w:tcBorders>
              <w:top w:val="nil"/>
              <w:left w:val="nil"/>
              <w:bottom w:val="single" w:sz="4" w:space="0" w:color="auto"/>
              <w:right w:val="single" w:sz="4" w:space="0" w:color="auto"/>
            </w:tcBorders>
            <w:shd w:val="clear" w:color="000000" w:fill="FFFFFF"/>
            <w:vAlign w:val="center"/>
            <w:hideMark/>
          </w:tcPr>
          <w:p w14:paraId="40E543DF"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10.5</w:t>
            </w:r>
          </w:p>
        </w:tc>
      </w:tr>
      <w:tr w:rsidR="009606EF" w:rsidRPr="009606EF" w14:paraId="1D416CB0" w14:textId="77777777" w:rsidTr="009606EF">
        <w:trPr>
          <w:gridAfter w:val="1"/>
          <w:wAfter w:w="18" w:type="dxa"/>
          <w:trHeight w:val="20"/>
        </w:trPr>
        <w:tc>
          <w:tcPr>
            <w:tcW w:w="2490" w:type="dxa"/>
            <w:tcBorders>
              <w:top w:val="nil"/>
              <w:left w:val="single" w:sz="4" w:space="0" w:color="auto"/>
              <w:bottom w:val="single" w:sz="4" w:space="0" w:color="auto"/>
              <w:right w:val="single" w:sz="4" w:space="0" w:color="auto"/>
            </w:tcBorders>
            <w:shd w:val="clear" w:color="000000" w:fill="FFFFFF"/>
            <w:vAlign w:val="center"/>
            <w:hideMark/>
          </w:tcPr>
          <w:p w14:paraId="0E9DB413"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GB" w:eastAsia="en-US"/>
              </w:rPr>
              <w:t>Health financing</w:t>
            </w:r>
          </w:p>
        </w:tc>
        <w:tc>
          <w:tcPr>
            <w:tcW w:w="3921" w:type="dxa"/>
            <w:tcBorders>
              <w:top w:val="nil"/>
              <w:left w:val="nil"/>
              <w:bottom w:val="single" w:sz="4" w:space="0" w:color="auto"/>
              <w:right w:val="single" w:sz="4" w:space="0" w:color="auto"/>
            </w:tcBorders>
            <w:shd w:val="clear" w:color="000000" w:fill="FFFFFF"/>
            <w:vAlign w:val="center"/>
            <w:hideMark/>
          </w:tcPr>
          <w:p w14:paraId="5311F8EB" w14:textId="77777777" w:rsidR="009606EF" w:rsidRPr="009606EF" w:rsidRDefault="009606EF" w:rsidP="009606EF">
            <w:pPr>
              <w:spacing w:line="240" w:lineRule="auto"/>
              <w:rPr>
                <w:rFonts w:eastAsia="Times New Roman"/>
                <w:color w:val="808080"/>
                <w:lang w:val="en-US" w:eastAsia="en-US"/>
              </w:rPr>
            </w:pPr>
            <w:r w:rsidRPr="009606EF">
              <w:rPr>
                <w:rFonts w:eastAsia="Times New Roman"/>
                <w:color w:val="808080"/>
                <w:lang w:val="en-US" w:eastAsia="en-US"/>
              </w:rPr>
              <w:t>Support the planning of Gavi and non-Gavi-supported vaccine procurement costs based on quality vaccine forecasts as part of national and subnational health budgets.</w:t>
            </w:r>
          </w:p>
        </w:tc>
        <w:tc>
          <w:tcPr>
            <w:tcW w:w="1584" w:type="dxa"/>
            <w:tcBorders>
              <w:top w:val="nil"/>
              <w:left w:val="nil"/>
              <w:bottom w:val="single" w:sz="4" w:space="0" w:color="auto"/>
              <w:right w:val="single" w:sz="4" w:space="0" w:color="auto"/>
            </w:tcBorders>
            <w:shd w:val="clear" w:color="000000" w:fill="FFFFFF"/>
            <w:vAlign w:val="center"/>
            <w:hideMark/>
          </w:tcPr>
          <w:p w14:paraId="73873C2A"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70,488</w:t>
            </w:r>
          </w:p>
        </w:tc>
        <w:tc>
          <w:tcPr>
            <w:tcW w:w="1168" w:type="dxa"/>
            <w:tcBorders>
              <w:top w:val="nil"/>
              <w:left w:val="nil"/>
              <w:bottom w:val="single" w:sz="4" w:space="0" w:color="auto"/>
              <w:right w:val="single" w:sz="4" w:space="0" w:color="auto"/>
            </w:tcBorders>
            <w:shd w:val="clear" w:color="000000" w:fill="FFFFFF"/>
            <w:vAlign w:val="center"/>
            <w:hideMark/>
          </w:tcPr>
          <w:p w14:paraId="261C0D92" w14:textId="77777777" w:rsidR="009606EF" w:rsidRPr="009606EF" w:rsidRDefault="009606EF" w:rsidP="009606EF">
            <w:pPr>
              <w:spacing w:line="240" w:lineRule="auto"/>
              <w:jc w:val="right"/>
              <w:rPr>
                <w:rFonts w:eastAsia="Times New Roman"/>
                <w:color w:val="808080"/>
                <w:lang w:val="en-US" w:eastAsia="en-US"/>
              </w:rPr>
            </w:pPr>
            <w:r w:rsidRPr="009606EF">
              <w:rPr>
                <w:rFonts w:eastAsia="Times New Roman"/>
                <w:color w:val="808080"/>
                <w:lang w:val="en-US" w:eastAsia="en-US"/>
              </w:rPr>
              <w:t>10</w:t>
            </w:r>
          </w:p>
        </w:tc>
      </w:tr>
    </w:tbl>
    <w:p w14:paraId="14F493EA" w14:textId="05DB3933" w:rsidR="009606EF" w:rsidRDefault="009606EF" w:rsidP="00372D1F">
      <w:pPr>
        <w:pStyle w:val="ListParagraph"/>
        <w:spacing w:line="300" w:lineRule="exact"/>
        <w:ind w:left="426"/>
        <w:rPr>
          <w:i/>
          <w:color w:val="808080" w:themeColor="background1" w:themeShade="80"/>
          <w:lang w:val="en-GB"/>
        </w:rPr>
      </w:pPr>
    </w:p>
    <w:p w14:paraId="462E0E0D" w14:textId="77777777" w:rsidR="009606EF" w:rsidRDefault="009606EF" w:rsidP="00372D1F">
      <w:pPr>
        <w:pStyle w:val="ListParagraph"/>
        <w:spacing w:line="300" w:lineRule="exact"/>
        <w:ind w:left="426"/>
        <w:rPr>
          <w:i/>
          <w:color w:val="808080" w:themeColor="background1" w:themeShade="80"/>
          <w:lang w:val="en-GB"/>
        </w:rPr>
      </w:pPr>
    </w:p>
    <w:p w14:paraId="4979184A" w14:textId="34305BAF" w:rsidR="000A5B9B" w:rsidRDefault="000A5B9B" w:rsidP="009606EF">
      <w:pPr>
        <w:jc w:val="right"/>
        <w:rPr>
          <w:i/>
          <w:color w:val="808080" w:themeColor="background1" w:themeShade="80"/>
          <w:lang w:val="en-GB"/>
        </w:rPr>
      </w:pPr>
      <w:r>
        <w:rPr>
          <w:i/>
          <w:color w:val="808080" w:themeColor="background1" w:themeShade="80"/>
          <w:lang w:val="en-GB"/>
        </w:rPr>
        <w:t xml:space="preserve"> </w:t>
      </w:r>
    </w:p>
    <w:p w14:paraId="12F19B54" w14:textId="59E0946B" w:rsidR="000A5B9B" w:rsidRDefault="000A5B9B" w:rsidP="00372D1F">
      <w:pPr>
        <w:pStyle w:val="ListParagraph"/>
        <w:spacing w:line="300" w:lineRule="exact"/>
        <w:ind w:left="426"/>
        <w:rPr>
          <w:i/>
          <w:color w:val="808080" w:themeColor="background1" w:themeShade="80"/>
          <w:lang w:val="en-GB"/>
        </w:rPr>
      </w:pPr>
    </w:p>
    <w:p w14:paraId="17AAC1D6" w14:textId="0CDAF6FA" w:rsidR="000A5B9B" w:rsidRDefault="000A5B9B" w:rsidP="00372D1F">
      <w:pPr>
        <w:pStyle w:val="ListParagraph"/>
        <w:spacing w:line="300" w:lineRule="exact"/>
        <w:ind w:left="426"/>
        <w:rPr>
          <w:i/>
          <w:color w:val="808080" w:themeColor="background1" w:themeShade="80"/>
          <w:lang w:val="en-GB"/>
        </w:rPr>
      </w:pPr>
    </w:p>
    <w:p w14:paraId="52D6E7EF" w14:textId="198C8A94" w:rsidR="000A5B9B" w:rsidRDefault="000A5B9B" w:rsidP="00372D1F">
      <w:pPr>
        <w:pStyle w:val="ListParagraph"/>
        <w:spacing w:line="300" w:lineRule="exact"/>
        <w:ind w:left="426"/>
        <w:rPr>
          <w:i/>
          <w:color w:val="808080" w:themeColor="background1" w:themeShade="80"/>
          <w:lang w:val="en-GB"/>
        </w:rPr>
      </w:pPr>
    </w:p>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372D1F" w14:paraId="42B6E5C8" w14:textId="77777777" w:rsidTr="1AE3B657">
        <w:tc>
          <w:tcPr>
            <w:tcW w:w="9192" w:type="dxa"/>
            <w:tcBorders>
              <w:bottom w:val="single" w:sz="4" w:space="0" w:color="auto"/>
            </w:tcBorders>
            <w:shd w:val="clear" w:color="auto" w:fill="F2F2F2" w:themeFill="background1" w:themeFillShade="F2"/>
          </w:tcPr>
          <w:p w14:paraId="5594A626" w14:textId="1A1B25E1" w:rsidR="00372D1F" w:rsidRPr="00B614D7" w:rsidRDefault="00372D1F" w:rsidP="00372D1F">
            <w:pPr>
              <w:spacing w:line="300" w:lineRule="exact"/>
              <w:rPr>
                <w:b/>
                <w:bCs/>
                <w:i/>
                <w:iCs/>
                <w:sz w:val="20"/>
                <w:szCs w:val="20"/>
              </w:rPr>
            </w:pPr>
            <w:r>
              <w:rPr>
                <w:b/>
                <w:bCs/>
                <w:i/>
                <w:iCs/>
                <w:sz w:val="20"/>
                <w:szCs w:val="20"/>
              </w:rPr>
              <w:t xml:space="preserve">2.1 </w:t>
            </w:r>
            <w:r w:rsidRPr="00B614D7">
              <w:rPr>
                <w:b/>
                <w:bCs/>
                <w:i/>
                <w:iCs/>
                <w:sz w:val="20"/>
                <w:szCs w:val="20"/>
              </w:rPr>
              <w:t xml:space="preserve">Please reflect and describe your </w:t>
            </w:r>
            <w:r w:rsidR="00ED107F">
              <w:rPr>
                <w:b/>
                <w:bCs/>
                <w:i/>
                <w:iCs/>
                <w:sz w:val="20"/>
                <w:szCs w:val="20"/>
              </w:rPr>
              <w:t>immunization</w:t>
            </w:r>
            <w:r w:rsidRPr="00B614D7">
              <w:rPr>
                <w:b/>
                <w:bCs/>
                <w:i/>
                <w:iCs/>
                <w:sz w:val="20"/>
                <w:szCs w:val="20"/>
              </w:rPr>
              <w:t xml:space="preserve"> system</w:t>
            </w:r>
            <w:r w:rsidR="008447E6">
              <w:rPr>
                <w:b/>
                <w:bCs/>
                <w:i/>
                <w:iCs/>
                <w:sz w:val="20"/>
                <w:szCs w:val="20"/>
              </w:rPr>
              <w:t>'</w:t>
            </w:r>
            <w:r w:rsidRPr="00B614D7">
              <w:rPr>
                <w:b/>
                <w:bCs/>
                <w:i/>
                <w:iCs/>
                <w:sz w:val="20"/>
                <w:szCs w:val="20"/>
              </w:rPr>
              <w:t>s current TA needs</w:t>
            </w:r>
            <w:r>
              <w:rPr>
                <w:b/>
                <w:bCs/>
                <w:i/>
                <w:iCs/>
                <w:sz w:val="20"/>
                <w:szCs w:val="20"/>
              </w:rPr>
              <w:t xml:space="preserve"> as they are</w:t>
            </w:r>
            <w:r w:rsidRPr="00B614D7">
              <w:rPr>
                <w:b/>
                <w:bCs/>
                <w:i/>
                <w:iCs/>
                <w:sz w:val="20"/>
                <w:szCs w:val="20"/>
              </w:rPr>
              <w:t xml:space="preserve"> aligned with investments made by Government, Gavi and bilateral/multilateral donors. Your answers shall provide the context of and rationale for </w:t>
            </w:r>
            <w:r w:rsidR="0076309A">
              <w:rPr>
                <w:b/>
                <w:bCs/>
                <w:i/>
                <w:iCs/>
                <w:sz w:val="20"/>
                <w:szCs w:val="20"/>
              </w:rPr>
              <w:t>the requeste</w:t>
            </w:r>
            <w:r w:rsidR="007203BA">
              <w:rPr>
                <w:b/>
                <w:bCs/>
                <w:i/>
                <w:iCs/>
                <w:sz w:val="20"/>
                <w:szCs w:val="20"/>
              </w:rPr>
              <w:t>d TCA support from Gavi.</w:t>
            </w:r>
            <w:r w:rsidRPr="00B614D7">
              <w:rPr>
                <w:b/>
                <w:bCs/>
                <w:sz w:val="20"/>
                <w:szCs w:val="20"/>
              </w:rPr>
              <w:t xml:space="preserve"> </w:t>
            </w:r>
            <w:r w:rsidRPr="00B614D7">
              <w:rPr>
                <w:b/>
                <w:bCs/>
                <w:i/>
                <w:iCs/>
                <w:sz w:val="20"/>
                <w:szCs w:val="20"/>
              </w:rPr>
              <w:t xml:space="preserve">Please explicitly note the duration of </w:t>
            </w:r>
            <w:r w:rsidR="007203BA">
              <w:rPr>
                <w:b/>
                <w:bCs/>
                <w:i/>
                <w:iCs/>
                <w:sz w:val="20"/>
                <w:szCs w:val="20"/>
              </w:rPr>
              <w:t>the requested support</w:t>
            </w:r>
            <w:r w:rsidRPr="00B614D7">
              <w:rPr>
                <w:b/>
                <w:bCs/>
                <w:i/>
                <w:iCs/>
                <w:sz w:val="20"/>
                <w:szCs w:val="20"/>
              </w:rPr>
              <w:t>.</w:t>
            </w:r>
          </w:p>
        </w:tc>
      </w:tr>
      <w:tr w:rsidR="00372D1F" w14:paraId="19BE42B7" w14:textId="77777777" w:rsidTr="1AE3B657">
        <w:tc>
          <w:tcPr>
            <w:tcW w:w="9192" w:type="dxa"/>
            <w:tcBorders>
              <w:top w:val="single" w:sz="4" w:space="0" w:color="auto"/>
              <w:left w:val="single" w:sz="4" w:space="0" w:color="auto"/>
              <w:bottom w:val="single" w:sz="4" w:space="0" w:color="auto"/>
              <w:right w:val="single" w:sz="4" w:space="0" w:color="auto"/>
            </w:tcBorders>
          </w:tcPr>
          <w:p w14:paraId="0589D501" w14:textId="4B0C06F1" w:rsidR="00E858B2" w:rsidRPr="001377C6" w:rsidRDefault="00E858B2" w:rsidP="001377C6">
            <w:pPr>
              <w:spacing w:line="300" w:lineRule="exact"/>
              <w:jc w:val="both"/>
              <w:rPr>
                <w:color w:val="4472C4" w:themeColor="accent1"/>
                <w:lang w:val="en-GB"/>
              </w:rPr>
            </w:pPr>
            <w:r w:rsidRPr="001377C6">
              <w:rPr>
                <w:color w:val="4472C4" w:themeColor="accent1"/>
                <w:lang w:val="en-GB"/>
              </w:rPr>
              <w:t>The Expanded Programme on Immunization has identified key issues within the immunization system which will require the provision of technical assistance. The need for technical partners to continuously provide assistance to the Programme is crucial as the Programme may not be able to undertake all planned activities</w:t>
            </w:r>
            <w:r w:rsidR="00ED107F">
              <w:rPr>
                <w:color w:val="4472C4" w:themeColor="accent1"/>
                <w:lang w:val="en-GB"/>
              </w:rPr>
              <w:t xml:space="preserve"> due to competing demands vis-à-vis limited technical staff</w:t>
            </w:r>
            <w:r w:rsidRPr="001377C6">
              <w:rPr>
                <w:color w:val="4472C4" w:themeColor="accent1"/>
                <w:lang w:val="en-GB"/>
              </w:rPr>
              <w:t xml:space="preserve">. </w:t>
            </w:r>
          </w:p>
          <w:p w14:paraId="1DE5E027" w14:textId="16D4EBF2" w:rsidR="00E858B2" w:rsidRPr="001377C6" w:rsidRDefault="00E858B2" w:rsidP="001377C6">
            <w:pPr>
              <w:spacing w:line="300" w:lineRule="exact"/>
              <w:jc w:val="both"/>
              <w:rPr>
                <w:color w:val="4472C4" w:themeColor="accent1"/>
                <w:lang w:val="en-GB"/>
              </w:rPr>
            </w:pPr>
          </w:p>
          <w:p w14:paraId="5F6B798B" w14:textId="1152C51F" w:rsidR="00372D1F" w:rsidRPr="001377C6" w:rsidRDefault="00E858B2" w:rsidP="001377C6">
            <w:pPr>
              <w:spacing w:line="300" w:lineRule="exact"/>
              <w:jc w:val="both"/>
              <w:rPr>
                <w:color w:val="4472C4" w:themeColor="accent1"/>
                <w:lang w:val="en-GB"/>
              </w:rPr>
            </w:pPr>
            <w:r w:rsidRPr="001377C6">
              <w:rPr>
                <w:color w:val="4472C4" w:themeColor="accent1"/>
                <w:lang w:val="en-GB"/>
              </w:rPr>
              <w:t xml:space="preserve">Though the country has achieved and sustained high immunization coverage rates over the years, there continue to be equity gaps in service delivery. There are </w:t>
            </w:r>
            <w:r w:rsidR="00ED107F" w:rsidRPr="001377C6">
              <w:rPr>
                <w:color w:val="4472C4" w:themeColor="accent1"/>
                <w:lang w:val="en-GB"/>
              </w:rPr>
              <w:t xml:space="preserve">under-served </w:t>
            </w:r>
            <w:r w:rsidRPr="001377C6">
              <w:rPr>
                <w:color w:val="4472C4" w:themeColor="accent1"/>
                <w:lang w:val="en-GB"/>
              </w:rPr>
              <w:t xml:space="preserve">communities, especially </w:t>
            </w:r>
            <w:r w:rsidR="00ED107F">
              <w:rPr>
                <w:color w:val="4472C4" w:themeColor="accent1"/>
                <w:lang w:val="en-GB"/>
              </w:rPr>
              <w:t xml:space="preserve">geographically and culturally </w:t>
            </w:r>
            <w:r w:rsidRPr="001377C6">
              <w:rPr>
                <w:color w:val="4472C4" w:themeColor="accent1"/>
                <w:lang w:val="en-GB"/>
              </w:rPr>
              <w:t>hard-to-reach communiti</w:t>
            </w:r>
            <w:r w:rsidR="00ED107F">
              <w:rPr>
                <w:color w:val="4472C4" w:themeColor="accent1"/>
                <w:lang w:val="en-GB"/>
              </w:rPr>
              <w:t>es</w:t>
            </w:r>
            <w:r w:rsidRPr="001377C6">
              <w:rPr>
                <w:color w:val="4472C4" w:themeColor="accent1"/>
                <w:lang w:val="en-GB"/>
              </w:rPr>
              <w:t xml:space="preserve">; there are also zero-dose children in these under-served communities. TA is </w:t>
            </w:r>
            <w:proofErr w:type="spellStart"/>
            <w:r w:rsidRPr="001377C6">
              <w:rPr>
                <w:color w:val="4472C4" w:themeColor="accent1"/>
                <w:lang w:val="en-GB"/>
              </w:rPr>
              <w:t>neded</w:t>
            </w:r>
            <w:proofErr w:type="spellEnd"/>
            <w:r w:rsidRPr="001377C6">
              <w:rPr>
                <w:color w:val="4472C4" w:themeColor="accent1"/>
                <w:lang w:val="en-GB"/>
              </w:rPr>
              <w:t xml:space="preserve"> to d</w:t>
            </w:r>
            <w:r w:rsidR="00C767E5" w:rsidRPr="001377C6">
              <w:rPr>
                <w:color w:val="4472C4" w:themeColor="accent1"/>
                <w:lang w:val="en-GB"/>
              </w:rPr>
              <w:t>evelop strategies to reach under-served communities and zero-dose children</w:t>
            </w:r>
            <w:r w:rsidRPr="001377C6">
              <w:rPr>
                <w:color w:val="4472C4" w:themeColor="accent1"/>
                <w:lang w:val="en-GB"/>
              </w:rPr>
              <w:t xml:space="preserve">. TA will be needed to conduct </w:t>
            </w:r>
            <w:r w:rsidR="00C767E5" w:rsidRPr="001377C6">
              <w:rPr>
                <w:color w:val="4472C4" w:themeColor="accent1"/>
                <w:lang w:val="en-GB"/>
              </w:rPr>
              <w:t>targeted immunization coverage surveys</w:t>
            </w:r>
            <w:r w:rsidRPr="001377C6">
              <w:rPr>
                <w:color w:val="4472C4" w:themeColor="accent1"/>
                <w:lang w:val="en-GB"/>
              </w:rPr>
              <w:t xml:space="preserve"> to established poorly covered areas for targeted support. </w:t>
            </w:r>
          </w:p>
          <w:p w14:paraId="2370474F" w14:textId="256C54F4" w:rsidR="00E858B2" w:rsidRPr="001377C6" w:rsidRDefault="00E858B2" w:rsidP="001377C6">
            <w:pPr>
              <w:spacing w:line="300" w:lineRule="exact"/>
              <w:jc w:val="both"/>
              <w:rPr>
                <w:color w:val="4472C4" w:themeColor="accent1"/>
                <w:lang w:val="en-GB"/>
              </w:rPr>
            </w:pPr>
          </w:p>
          <w:p w14:paraId="1EBE3811" w14:textId="0CDE1C34" w:rsidR="00F14D4C" w:rsidRPr="001377C6" w:rsidRDefault="00E858B2" w:rsidP="001377C6">
            <w:pPr>
              <w:spacing w:line="300" w:lineRule="exact"/>
              <w:jc w:val="both"/>
              <w:rPr>
                <w:color w:val="4472C4" w:themeColor="accent1"/>
                <w:lang w:val="en-GB"/>
              </w:rPr>
            </w:pPr>
            <w:r w:rsidRPr="001377C6">
              <w:rPr>
                <w:color w:val="4472C4" w:themeColor="accent1"/>
                <w:lang w:val="en-GB"/>
              </w:rPr>
              <w:t xml:space="preserve">Ghana </w:t>
            </w:r>
            <w:r w:rsidR="00ED107F">
              <w:rPr>
                <w:color w:val="4472C4" w:themeColor="accent1"/>
                <w:lang w:val="en-GB"/>
              </w:rPr>
              <w:t>plans to</w:t>
            </w:r>
            <w:r w:rsidRPr="001377C6">
              <w:rPr>
                <w:color w:val="4472C4" w:themeColor="accent1"/>
                <w:lang w:val="en-GB"/>
              </w:rPr>
              <w:t xml:space="preserve"> introduce </w:t>
            </w:r>
            <w:r w:rsidR="00C767E5" w:rsidRPr="001377C6">
              <w:rPr>
                <w:color w:val="4472C4" w:themeColor="accent1"/>
                <w:lang w:val="en-GB"/>
              </w:rPr>
              <w:t>IPV2 into routine immunization</w:t>
            </w:r>
            <w:r w:rsidRPr="001377C6">
              <w:rPr>
                <w:color w:val="4472C4" w:themeColor="accent1"/>
                <w:lang w:val="en-GB"/>
              </w:rPr>
              <w:t xml:space="preserve"> in 2023</w:t>
            </w:r>
            <w:r w:rsidR="00F14D4C" w:rsidRPr="001377C6">
              <w:rPr>
                <w:color w:val="4472C4" w:themeColor="accent1"/>
                <w:lang w:val="en-GB"/>
              </w:rPr>
              <w:t xml:space="preserve">. The introduction of new vaccines </w:t>
            </w:r>
            <w:proofErr w:type="gramStart"/>
            <w:r w:rsidR="00F14D4C" w:rsidRPr="001377C6">
              <w:rPr>
                <w:color w:val="4472C4" w:themeColor="accent1"/>
                <w:lang w:val="en-GB"/>
              </w:rPr>
              <w:t>require</w:t>
            </w:r>
            <w:proofErr w:type="gramEnd"/>
            <w:r w:rsidR="00F14D4C" w:rsidRPr="001377C6">
              <w:rPr>
                <w:color w:val="4472C4" w:themeColor="accent1"/>
                <w:lang w:val="en-GB"/>
              </w:rPr>
              <w:t xml:space="preserve"> careful planning and implementation and support would be needed from local partners. They will also be needed to support</w:t>
            </w:r>
            <w:r w:rsidR="005B2A80" w:rsidRPr="001377C6">
              <w:rPr>
                <w:color w:val="4472C4" w:themeColor="accent1"/>
                <w:lang w:val="en-GB"/>
              </w:rPr>
              <w:t xml:space="preserve"> post-introduction evaluation</w:t>
            </w:r>
            <w:r w:rsidR="00F14D4C" w:rsidRPr="001377C6">
              <w:rPr>
                <w:color w:val="4472C4" w:themeColor="accent1"/>
                <w:lang w:val="en-GB"/>
              </w:rPr>
              <w:t>. Similarly, support will be needed for the implementation of Measles-Rubella Follow-up Campaign as well as the post-campaign coverage survey</w:t>
            </w:r>
            <w:r w:rsidR="00A9730E">
              <w:rPr>
                <w:color w:val="4472C4" w:themeColor="accent1"/>
                <w:lang w:val="en-GB"/>
              </w:rPr>
              <w:t xml:space="preserve"> in 2023 as per the country’s</w:t>
            </w:r>
            <w:r w:rsidR="004A4DEF">
              <w:rPr>
                <w:color w:val="4472C4" w:themeColor="accent1"/>
                <w:lang w:val="en-GB"/>
              </w:rPr>
              <w:t xml:space="preserve"> </w:t>
            </w:r>
            <w:r w:rsidR="00A9730E">
              <w:rPr>
                <w:color w:val="4472C4" w:themeColor="accent1"/>
                <w:lang w:val="en-GB"/>
              </w:rPr>
              <w:t>plan</w:t>
            </w:r>
            <w:r w:rsidR="00F14D4C" w:rsidRPr="001377C6">
              <w:rPr>
                <w:color w:val="4472C4" w:themeColor="accent1"/>
                <w:lang w:val="en-GB"/>
              </w:rPr>
              <w:t>.</w:t>
            </w:r>
          </w:p>
          <w:p w14:paraId="4DD54436" w14:textId="09A6A5D6" w:rsidR="00F14D4C" w:rsidRPr="001377C6" w:rsidRDefault="00F14D4C" w:rsidP="001377C6">
            <w:pPr>
              <w:spacing w:line="300" w:lineRule="exact"/>
              <w:jc w:val="both"/>
              <w:rPr>
                <w:color w:val="4472C4" w:themeColor="accent1"/>
                <w:lang w:val="en-GB"/>
              </w:rPr>
            </w:pPr>
          </w:p>
          <w:p w14:paraId="5934AA87" w14:textId="39E41CF3" w:rsidR="00F14D4C" w:rsidRPr="001377C6" w:rsidRDefault="00F14D4C" w:rsidP="001377C6">
            <w:pPr>
              <w:spacing w:line="300" w:lineRule="exact"/>
              <w:jc w:val="both"/>
              <w:rPr>
                <w:color w:val="4472C4" w:themeColor="accent1"/>
                <w:lang w:val="en-GB"/>
              </w:rPr>
            </w:pPr>
            <w:r w:rsidRPr="001377C6">
              <w:rPr>
                <w:color w:val="4472C4" w:themeColor="accent1"/>
                <w:lang w:val="en-GB"/>
              </w:rPr>
              <w:t xml:space="preserve">Capacity gap, especially </w:t>
            </w:r>
            <w:r w:rsidR="00A9730E">
              <w:rPr>
                <w:color w:val="4472C4" w:themeColor="accent1"/>
                <w:lang w:val="en-GB"/>
              </w:rPr>
              <w:t>at</w:t>
            </w:r>
            <w:r w:rsidRPr="001377C6">
              <w:rPr>
                <w:color w:val="4472C4" w:themeColor="accent1"/>
                <w:lang w:val="en-GB"/>
              </w:rPr>
              <w:t xml:space="preserve"> the peripheral level, was one of the key findings during the comprehensive review of the EPI Programme. With the support of partners, training would be roll-out using innovative approaches to build the capacity of staff. Training will cover both pre-service and in-service staff. Support will also be needed to institute continuous development programme for staff which would be used as part of the appraisal process.</w:t>
            </w:r>
          </w:p>
          <w:p w14:paraId="0AE2485A" w14:textId="02799735" w:rsidR="00C767E5" w:rsidRPr="001377C6" w:rsidRDefault="00C767E5" w:rsidP="001377C6">
            <w:pPr>
              <w:spacing w:line="300" w:lineRule="exact"/>
              <w:jc w:val="both"/>
              <w:rPr>
                <w:color w:val="4472C4" w:themeColor="accent1"/>
                <w:lang w:val="en-GB"/>
              </w:rPr>
            </w:pPr>
          </w:p>
          <w:p w14:paraId="7961D04F" w14:textId="56003D9D" w:rsidR="005B2A80" w:rsidRPr="001377C6" w:rsidRDefault="00F14D4C" w:rsidP="001377C6">
            <w:pPr>
              <w:spacing w:line="300" w:lineRule="exact"/>
              <w:jc w:val="both"/>
              <w:rPr>
                <w:color w:val="4472C4" w:themeColor="accent1"/>
                <w:lang w:val="en-GB"/>
              </w:rPr>
            </w:pPr>
            <w:r w:rsidRPr="001377C6">
              <w:rPr>
                <w:color w:val="4472C4" w:themeColor="accent1"/>
                <w:lang w:val="en-GB"/>
              </w:rPr>
              <w:t>Within the implementation period of this TCA, there will be a m</w:t>
            </w:r>
            <w:r w:rsidR="005B2A80" w:rsidRPr="001377C6">
              <w:rPr>
                <w:color w:val="4472C4" w:themeColor="accent1"/>
                <w:lang w:val="en-GB"/>
              </w:rPr>
              <w:t xml:space="preserve">id-term review of the </w:t>
            </w:r>
            <w:r w:rsidR="00A9730E">
              <w:rPr>
                <w:color w:val="4472C4" w:themeColor="accent1"/>
                <w:lang w:val="en-GB"/>
              </w:rPr>
              <w:t>country’s Immunization comprehensive multi-year plan (</w:t>
            </w:r>
            <w:r w:rsidR="005B2A80" w:rsidRPr="001377C6">
              <w:rPr>
                <w:color w:val="4472C4" w:themeColor="accent1"/>
                <w:lang w:val="en-GB"/>
              </w:rPr>
              <w:t>cMYP</w:t>
            </w:r>
            <w:r w:rsidR="00A9730E">
              <w:rPr>
                <w:color w:val="4472C4" w:themeColor="accent1"/>
                <w:lang w:val="en-GB"/>
              </w:rPr>
              <w:t>)</w:t>
            </w:r>
            <w:r w:rsidRPr="001377C6">
              <w:rPr>
                <w:color w:val="4472C4" w:themeColor="accent1"/>
                <w:lang w:val="en-GB"/>
              </w:rPr>
              <w:t xml:space="preserve">. Multi-partner support would be required to undertake this activity. In the past years, partners have supported impact studies of vaccines introduced into the EPI Programme. This support is expected to continue for </w:t>
            </w:r>
            <w:r w:rsidR="005B2A80" w:rsidRPr="001377C6">
              <w:rPr>
                <w:color w:val="4472C4" w:themeColor="accent1"/>
                <w:lang w:val="en-GB"/>
              </w:rPr>
              <w:t xml:space="preserve">sentinel </w:t>
            </w:r>
            <w:r w:rsidR="00BC25B3">
              <w:rPr>
                <w:color w:val="4472C4" w:themeColor="accent1"/>
                <w:lang w:val="en-GB"/>
              </w:rPr>
              <w:t xml:space="preserve">disease </w:t>
            </w:r>
            <w:r w:rsidR="005B2A80" w:rsidRPr="001377C6">
              <w:rPr>
                <w:color w:val="4472C4" w:themeColor="accent1"/>
                <w:lang w:val="en-GB"/>
              </w:rPr>
              <w:t>surveillance for</w:t>
            </w:r>
            <w:r w:rsidR="00BC25B3">
              <w:rPr>
                <w:color w:val="4472C4" w:themeColor="accent1"/>
                <w:lang w:val="en-GB"/>
              </w:rPr>
              <w:t xml:space="preserve"> monitoring</w:t>
            </w:r>
            <w:r w:rsidR="005B2A80" w:rsidRPr="001377C6">
              <w:rPr>
                <w:color w:val="4472C4" w:themeColor="accent1"/>
                <w:lang w:val="en-GB"/>
              </w:rPr>
              <w:t xml:space="preserve"> new vaccines (Rota</w:t>
            </w:r>
            <w:r w:rsidR="00BC25B3">
              <w:rPr>
                <w:color w:val="4472C4" w:themeColor="accent1"/>
                <w:lang w:val="en-GB"/>
              </w:rPr>
              <w:t>virus</w:t>
            </w:r>
            <w:r w:rsidR="005B2A80" w:rsidRPr="001377C6">
              <w:rPr>
                <w:color w:val="4472C4" w:themeColor="accent1"/>
                <w:lang w:val="en-GB"/>
              </w:rPr>
              <w:t xml:space="preserve">, </w:t>
            </w:r>
            <w:proofErr w:type="spellStart"/>
            <w:r w:rsidR="005B2A80" w:rsidRPr="001377C6">
              <w:rPr>
                <w:color w:val="4472C4" w:themeColor="accent1"/>
                <w:lang w:val="en-GB"/>
              </w:rPr>
              <w:t>P</w:t>
            </w:r>
            <w:r w:rsidR="00BC25B3">
              <w:rPr>
                <w:color w:val="4472C4" w:themeColor="accent1"/>
                <w:lang w:val="en-GB"/>
              </w:rPr>
              <w:t>ediatric</w:t>
            </w:r>
            <w:proofErr w:type="spellEnd"/>
            <w:r w:rsidR="00BC25B3">
              <w:rPr>
                <w:color w:val="4472C4" w:themeColor="accent1"/>
                <w:lang w:val="en-GB"/>
              </w:rPr>
              <w:t xml:space="preserve"> </w:t>
            </w:r>
            <w:proofErr w:type="spellStart"/>
            <w:r w:rsidR="005B2A80" w:rsidRPr="001377C6">
              <w:rPr>
                <w:color w:val="4472C4" w:themeColor="accent1"/>
                <w:lang w:val="en-GB"/>
              </w:rPr>
              <w:t>B</w:t>
            </w:r>
            <w:r w:rsidR="00BC25B3">
              <w:rPr>
                <w:color w:val="4472C4" w:themeColor="accent1"/>
                <w:lang w:val="en-GB"/>
              </w:rPr>
              <w:t>acteria</w:t>
            </w:r>
            <w:proofErr w:type="spellEnd"/>
            <w:r w:rsidR="00BC25B3">
              <w:rPr>
                <w:color w:val="4472C4" w:themeColor="accent1"/>
                <w:lang w:val="en-GB"/>
              </w:rPr>
              <w:t xml:space="preserve"> </w:t>
            </w:r>
            <w:r w:rsidR="005B2A80" w:rsidRPr="001377C6">
              <w:rPr>
                <w:color w:val="4472C4" w:themeColor="accent1"/>
                <w:lang w:val="en-GB"/>
              </w:rPr>
              <w:t>M</w:t>
            </w:r>
            <w:r w:rsidR="00BC25B3">
              <w:rPr>
                <w:color w:val="4472C4" w:themeColor="accent1"/>
                <w:lang w:val="en-GB"/>
              </w:rPr>
              <w:t>eningitis</w:t>
            </w:r>
            <w:r w:rsidR="005B2A80" w:rsidRPr="001377C6">
              <w:rPr>
                <w:color w:val="4472C4" w:themeColor="accent1"/>
                <w:lang w:val="en-GB"/>
              </w:rPr>
              <w:t>, C</w:t>
            </w:r>
            <w:r w:rsidR="00BC25B3">
              <w:rPr>
                <w:color w:val="4472C4" w:themeColor="accent1"/>
                <w:lang w:val="en-GB"/>
              </w:rPr>
              <w:t xml:space="preserve">ongenital </w:t>
            </w:r>
            <w:r w:rsidR="005B2A80" w:rsidRPr="001377C6">
              <w:rPr>
                <w:color w:val="4472C4" w:themeColor="accent1"/>
                <w:lang w:val="en-GB"/>
              </w:rPr>
              <w:t>R</w:t>
            </w:r>
            <w:r w:rsidR="00BC25B3">
              <w:rPr>
                <w:color w:val="4472C4" w:themeColor="accent1"/>
                <w:lang w:val="en-GB"/>
              </w:rPr>
              <w:t xml:space="preserve">ubella </w:t>
            </w:r>
            <w:r w:rsidR="005B2A80" w:rsidRPr="001377C6">
              <w:rPr>
                <w:color w:val="4472C4" w:themeColor="accent1"/>
                <w:lang w:val="en-GB"/>
              </w:rPr>
              <w:t>S</w:t>
            </w:r>
            <w:r w:rsidR="00BC25B3">
              <w:rPr>
                <w:color w:val="4472C4" w:themeColor="accent1"/>
                <w:lang w:val="en-GB"/>
              </w:rPr>
              <w:t>yndrome</w:t>
            </w:r>
            <w:r w:rsidR="005B2A80" w:rsidRPr="001377C6">
              <w:rPr>
                <w:color w:val="4472C4" w:themeColor="accent1"/>
                <w:lang w:val="en-GB"/>
              </w:rPr>
              <w:t>)</w:t>
            </w:r>
            <w:r w:rsidRPr="001377C6">
              <w:rPr>
                <w:color w:val="4472C4" w:themeColor="accent1"/>
                <w:lang w:val="en-GB"/>
              </w:rPr>
              <w:t>.</w:t>
            </w:r>
            <w:r w:rsidR="00782DBB" w:rsidRPr="001377C6">
              <w:rPr>
                <w:color w:val="4472C4" w:themeColor="accent1"/>
                <w:lang w:val="en-GB"/>
              </w:rPr>
              <w:t xml:space="preserve"> TA would also be needed for continuous strengthening of EPI data systems including the use of digital technologies and innovations for efficient programme planning and implementation.</w:t>
            </w:r>
          </w:p>
          <w:p w14:paraId="55E29BF8" w14:textId="71866237" w:rsidR="00782DBB" w:rsidRPr="001377C6" w:rsidRDefault="00782DBB" w:rsidP="001377C6">
            <w:pPr>
              <w:spacing w:line="300" w:lineRule="exact"/>
              <w:jc w:val="both"/>
              <w:rPr>
                <w:color w:val="4472C4" w:themeColor="accent1"/>
                <w:lang w:val="en-GB"/>
              </w:rPr>
            </w:pPr>
          </w:p>
          <w:p w14:paraId="65576F09" w14:textId="4BD386F9" w:rsidR="00C767E5" w:rsidRPr="00BC25B3" w:rsidRDefault="00782DBB" w:rsidP="001377C6">
            <w:pPr>
              <w:spacing w:line="300" w:lineRule="exact"/>
              <w:jc w:val="both"/>
              <w:rPr>
                <w:color w:val="4472C4" w:themeColor="accent1"/>
                <w:lang w:val="en-GB"/>
              </w:rPr>
            </w:pPr>
            <w:r w:rsidRPr="001377C6">
              <w:rPr>
                <w:color w:val="4472C4" w:themeColor="accent1"/>
                <w:lang w:val="en-GB"/>
              </w:rPr>
              <w:t xml:space="preserve">Through TA, the EPI Programme hopes to improve the design of the </w:t>
            </w:r>
            <w:r w:rsidR="00ED107F">
              <w:rPr>
                <w:color w:val="4472C4" w:themeColor="accent1"/>
                <w:lang w:val="en-GB"/>
              </w:rPr>
              <w:t>immunization</w:t>
            </w:r>
            <w:r w:rsidRPr="001377C6">
              <w:rPr>
                <w:color w:val="4472C4" w:themeColor="accent1"/>
                <w:lang w:val="en-GB"/>
              </w:rPr>
              <w:t xml:space="preserve"> supply chain (</w:t>
            </w:r>
            <w:proofErr w:type="spellStart"/>
            <w:r w:rsidRPr="001377C6">
              <w:rPr>
                <w:color w:val="4472C4" w:themeColor="accent1"/>
                <w:lang w:val="en-GB"/>
              </w:rPr>
              <w:t>iSC</w:t>
            </w:r>
            <w:proofErr w:type="spellEnd"/>
            <w:r w:rsidRPr="001377C6">
              <w:rPr>
                <w:color w:val="4472C4" w:themeColor="accent1"/>
                <w:lang w:val="en-GB"/>
              </w:rPr>
              <w:t xml:space="preserve">) system, especially </w:t>
            </w:r>
            <w:r w:rsidR="00BC25B3">
              <w:rPr>
                <w:color w:val="4472C4" w:themeColor="accent1"/>
                <w:lang w:val="en-GB"/>
              </w:rPr>
              <w:t xml:space="preserve">for </w:t>
            </w:r>
            <w:r w:rsidRPr="001377C6">
              <w:rPr>
                <w:color w:val="4472C4" w:themeColor="accent1"/>
                <w:lang w:val="en-GB"/>
              </w:rPr>
              <w:t>last mile</w:t>
            </w:r>
            <w:r w:rsidR="00BC25B3">
              <w:rPr>
                <w:color w:val="4472C4" w:themeColor="accent1"/>
                <w:lang w:val="en-GB"/>
              </w:rPr>
              <w:t xml:space="preserve"> distribution</w:t>
            </w:r>
            <w:r w:rsidRPr="001377C6">
              <w:rPr>
                <w:color w:val="4472C4" w:themeColor="accent1"/>
                <w:lang w:val="en-GB"/>
              </w:rPr>
              <w:t>. TA would also be needed for the development and implementation of high-impact demand generation strategies to sustain demand for immunization services. G</w:t>
            </w:r>
            <w:r w:rsidR="00C767E5" w:rsidRPr="001377C6">
              <w:rPr>
                <w:color w:val="4472C4" w:themeColor="accent1"/>
                <w:lang w:val="en-GB"/>
              </w:rPr>
              <w:t>overnance systems</w:t>
            </w:r>
            <w:r w:rsidRPr="001377C6">
              <w:rPr>
                <w:color w:val="4472C4" w:themeColor="accent1"/>
                <w:lang w:val="en-GB"/>
              </w:rPr>
              <w:t xml:space="preserve">, including the ICC and NITAG will </w:t>
            </w:r>
            <w:r w:rsidRPr="001377C6">
              <w:rPr>
                <w:color w:val="4472C4" w:themeColor="accent1"/>
                <w:lang w:val="en-GB"/>
              </w:rPr>
              <w:lastRenderedPageBreak/>
              <w:t>be strengthened with</w:t>
            </w:r>
            <w:r w:rsidR="00BC25B3">
              <w:rPr>
                <w:color w:val="4472C4" w:themeColor="accent1"/>
                <w:lang w:val="en-GB"/>
              </w:rPr>
              <w:t>in</w:t>
            </w:r>
            <w:r w:rsidRPr="001377C6">
              <w:rPr>
                <w:color w:val="4472C4" w:themeColor="accent1"/>
                <w:lang w:val="en-GB"/>
              </w:rPr>
              <w:t xml:space="preserve"> the period to ensure high-level oversight. M</w:t>
            </w:r>
            <w:r w:rsidR="00C767E5" w:rsidRPr="001377C6">
              <w:rPr>
                <w:color w:val="4472C4" w:themeColor="accent1"/>
                <w:lang w:val="en-GB"/>
              </w:rPr>
              <w:t xml:space="preserve">anagement capacity </w:t>
            </w:r>
            <w:r w:rsidRPr="001377C6">
              <w:rPr>
                <w:color w:val="4472C4" w:themeColor="accent1"/>
                <w:lang w:val="en-GB"/>
              </w:rPr>
              <w:t xml:space="preserve">at the </w:t>
            </w:r>
            <w:r w:rsidRPr="00BC25B3">
              <w:rPr>
                <w:color w:val="4472C4" w:themeColor="accent1"/>
                <w:lang w:val="en-GB"/>
              </w:rPr>
              <w:t xml:space="preserve">national and regional levels would be strengthened, </w:t>
            </w:r>
            <w:r w:rsidR="00C767E5" w:rsidRPr="00BC25B3">
              <w:rPr>
                <w:color w:val="4472C4" w:themeColor="accent1"/>
                <w:lang w:val="en-GB"/>
              </w:rPr>
              <w:t>through</w:t>
            </w:r>
            <w:r w:rsidRPr="00BC25B3">
              <w:rPr>
                <w:color w:val="4472C4" w:themeColor="accent1"/>
                <w:lang w:val="en-GB"/>
              </w:rPr>
              <w:t xml:space="preserve"> TA, to</w:t>
            </w:r>
            <w:r w:rsidR="00C767E5" w:rsidRPr="00BC25B3">
              <w:rPr>
                <w:color w:val="4472C4" w:themeColor="accent1"/>
                <w:lang w:val="en-GB"/>
              </w:rPr>
              <w:t xml:space="preserve"> build </w:t>
            </w:r>
            <w:r w:rsidRPr="00BC25B3">
              <w:rPr>
                <w:color w:val="4472C4" w:themeColor="accent1"/>
                <w:lang w:val="en-GB"/>
              </w:rPr>
              <w:t xml:space="preserve">capacity of </w:t>
            </w:r>
            <w:r w:rsidR="00C767E5" w:rsidRPr="00BC25B3">
              <w:rPr>
                <w:color w:val="4472C4" w:themeColor="accent1"/>
                <w:lang w:val="en-GB"/>
              </w:rPr>
              <w:t>programme</w:t>
            </w:r>
            <w:r w:rsidRPr="00BC25B3">
              <w:rPr>
                <w:color w:val="4472C4" w:themeColor="accent1"/>
                <w:lang w:val="en-GB"/>
              </w:rPr>
              <w:t xml:space="preserve"> managers and technical officers.</w:t>
            </w:r>
          </w:p>
          <w:p w14:paraId="3216B068" w14:textId="77777777" w:rsidR="00C767E5" w:rsidRPr="00BC25B3" w:rsidRDefault="00C767E5" w:rsidP="00372D1F">
            <w:pPr>
              <w:spacing w:line="300" w:lineRule="exact"/>
              <w:rPr>
                <w:color w:val="4472C4" w:themeColor="accent1"/>
                <w:lang w:val="en-GB"/>
              </w:rPr>
            </w:pPr>
          </w:p>
          <w:p w14:paraId="7D9A0BA9" w14:textId="35B0966B" w:rsidR="00C767E5" w:rsidRDefault="589DA511" w:rsidP="00372D1F">
            <w:pPr>
              <w:spacing w:line="300" w:lineRule="exact"/>
              <w:rPr>
                <w:color w:val="92D050"/>
                <w:lang w:val="en-GB"/>
              </w:rPr>
            </w:pPr>
            <w:r w:rsidRPr="1AE3B657">
              <w:rPr>
                <w:color w:val="4472C4" w:themeColor="accent1"/>
                <w:lang w:val="en-GB"/>
              </w:rPr>
              <w:t xml:space="preserve">Most importantly, </w:t>
            </w:r>
            <w:r w:rsidR="46B966B6" w:rsidRPr="1AE3B657">
              <w:rPr>
                <w:color w:val="4472C4" w:themeColor="accent1"/>
                <w:lang w:val="en-GB"/>
              </w:rPr>
              <w:t xml:space="preserve">as </w:t>
            </w:r>
            <w:r w:rsidRPr="1AE3B657">
              <w:rPr>
                <w:color w:val="4472C4" w:themeColor="accent1"/>
                <w:lang w:val="en-GB"/>
              </w:rPr>
              <w:t>Ghana is expected to transition from Gavi support</w:t>
            </w:r>
            <w:r w:rsidR="46B966B6" w:rsidRPr="1AE3B657">
              <w:rPr>
                <w:color w:val="4472C4" w:themeColor="accent1"/>
                <w:lang w:val="en-GB"/>
              </w:rPr>
              <w:t>, t</w:t>
            </w:r>
            <w:r w:rsidRPr="1AE3B657">
              <w:rPr>
                <w:color w:val="4472C4" w:themeColor="accent1"/>
                <w:lang w:val="en-GB"/>
              </w:rPr>
              <w:t>here is a critical need for technical assistance to support the</w:t>
            </w:r>
            <w:r w:rsidR="46B966B6" w:rsidRPr="1AE3B657">
              <w:rPr>
                <w:color w:val="4472C4" w:themeColor="accent1"/>
                <w:lang w:val="en-GB"/>
              </w:rPr>
              <w:t xml:space="preserve"> </w:t>
            </w:r>
            <w:r w:rsidRPr="1AE3B657">
              <w:rPr>
                <w:color w:val="4472C4" w:themeColor="accent1"/>
                <w:lang w:val="en-GB"/>
              </w:rPr>
              <w:t>dev</w:t>
            </w:r>
            <w:r w:rsidR="46B966B6" w:rsidRPr="1AE3B657">
              <w:rPr>
                <w:color w:val="4472C4" w:themeColor="accent1"/>
                <w:lang w:val="en-GB"/>
              </w:rPr>
              <w:t>e</w:t>
            </w:r>
            <w:r w:rsidRPr="1AE3B657">
              <w:rPr>
                <w:color w:val="4472C4" w:themeColor="accent1"/>
                <w:lang w:val="en-GB"/>
              </w:rPr>
              <w:t xml:space="preserve">lopment of multi-year budgets for the EPI Programme in the context of the overall health system </w:t>
            </w:r>
            <w:r w:rsidR="46B966B6" w:rsidRPr="1AE3B657">
              <w:rPr>
                <w:color w:val="4472C4" w:themeColor="accent1"/>
                <w:lang w:val="en-GB"/>
              </w:rPr>
              <w:t xml:space="preserve">as well as </w:t>
            </w:r>
            <w:r w:rsidRPr="1AE3B657">
              <w:rPr>
                <w:color w:val="4472C4" w:themeColor="accent1"/>
                <w:lang w:val="en-GB"/>
              </w:rPr>
              <w:t>support l</w:t>
            </w:r>
            <w:r w:rsidR="24604DC5" w:rsidRPr="1AE3B657">
              <w:rPr>
                <w:color w:val="4472C4" w:themeColor="accent1"/>
                <w:lang w:val="en-GB"/>
              </w:rPr>
              <w:t xml:space="preserve">ocal resource mobilization </w:t>
            </w:r>
            <w:r w:rsidRPr="1AE3B657">
              <w:rPr>
                <w:color w:val="4472C4" w:themeColor="accent1"/>
                <w:lang w:val="en-GB"/>
              </w:rPr>
              <w:t xml:space="preserve">efforts to ensure the gains made are </w:t>
            </w:r>
            <w:r w:rsidR="69078B8D" w:rsidRPr="1AE3B657">
              <w:rPr>
                <w:color w:val="4472C4" w:themeColor="accent1"/>
                <w:lang w:val="en-GB"/>
              </w:rPr>
              <w:t>sustai</w:t>
            </w:r>
            <w:r w:rsidRPr="1AE3B657">
              <w:rPr>
                <w:color w:val="4472C4" w:themeColor="accent1"/>
                <w:lang w:val="en-GB"/>
              </w:rPr>
              <w:t>ned.</w:t>
            </w:r>
          </w:p>
        </w:tc>
      </w:tr>
      <w:tr w:rsidR="0071439C" w14:paraId="0D9AF231" w14:textId="77777777" w:rsidTr="1AE3B657">
        <w:tc>
          <w:tcPr>
            <w:tcW w:w="9192" w:type="dxa"/>
            <w:tcBorders>
              <w:top w:val="single" w:sz="4" w:space="0" w:color="auto"/>
              <w:bottom w:val="single" w:sz="4" w:space="0" w:color="auto"/>
            </w:tcBorders>
            <w:shd w:val="clear" w:color="auto" w:fill="F2F2F2" w:themeFill="background1" w:themeFillShade="F2"/>
          </w:tcPr>
          <w:p w14:paraId="14533925" w14:textId="50C71BD7" w:rsidR="00E165B4" w:rsidRDefault="0071439C" w:rsidP="00CE1F57">
            <w:pPr>
              <w:pStyle w:val="ListParagraph"/>
              <w:numPr>
                <w:ilvl w:val="1"/>
                <w:numId w:val="5"/>
              </w:numPr>
              <w:spacing w:line="300" w:lineRule="exact"/>
              <w:ind w:left="316" w:hanging="316"/>
              <w:rPr>
                <w:b/>
                <w:bCs/>
                <w:i/>
                <w:iCs/>
                <w:sz w:val="20"/>
                <w:szCs w:val="20"/>
              </w:rPr>
            </w:pPr>
            <w:r w:rsidRPr="00CF3BC4">
              <w:rPr>
                <w:b/>
                <w:bCs/>
                <w:i/>
                <w:iCs/>
                <w:sz w:val="20"/>
                <w:szCs w:val="20"/>
              </w:rPr>
              <w:lastRenderedPageBreak/>
              <w:t xml:space="preserve">How </w:t>
            </w:r>
            <w:r w:rsidR="00BE4270">
              <w:rPr>
                <w:b/>
                <w:bCs/>
                <w:i/>
                <w:iCs/>
                <w:sz w:val="20"/>
                <w:szCs w:val="20"/>
              </w:rPr>
              <w:t xml:space="preserve">will </w:t>
            </w:r>
            <w:r w:rsidR="00120AAE">
              <w:rPr>
                <w:b/>
                <w:bCs/>
                <w:i/>
                <w:iCs/>
                <w:sz w:val="20"/>
                <w:szCs w:val="20"/>
              </w:rPr>
              <w:t>the requested TCA support advance</w:t>
            </w:r>
            <w:r w:rsidR="00257A1B">
              <w:rPr>
                <w:b/>
                <w:bCs/>
                <w:i/>
                <w:iCs/>
                <w:sz w:val="20"/>
                <w:szCs w:val="20"/>
              </w:rPr>
              <w:t xml:space="preserve"> </w:t>
            </w:r>
            <w:r w:rsidR="00393D45" w:rsidRPr="00393D45">
              <w:rPr>
                <w:b/>
                <w:bCs/>
                <w:i/>
                <w:iCs/>
                <w:sz w:val="20"/>
                <w:szCs w:val="20"/>
              </w:rPr>
              <w:t xml:space="preserve">Gavi's 5.0 mission </w:t>
            </w:r>
            <w:r w:rsidR="00A95F01">
              <w:rPr>
                <w:b/>
                <w:bCs/>
                <w:i/>
                <w:iCs/>
                <w:sz w:val="20"/>
                <w:szCs w:val="20"/>
              </w:rPr>
              <w:t>per the</w:t>
            </w:r>
            <w:r w:rsidR="00A95F01" w:rsidRPr="00393D45">
              <w:rPr>
                <w:b/>
                <w:bCs/>
                <w:i/>
                <w:iCs/>
                <w:sz w:val="20"/>
                <w:szCs w:val="20"/>
              </w:rPr>
              <w:t xml:space="preserve"> country</w:t>
            </w:r>
            <w:r w:rsidR="008447E6">
              <w:rPr>
                <w:b/>
                <w:bCs/>
                <w:i/>
                <w:iCs/>
                <w:sz w:val="20"/>
                <w:szCs w:val="20"/>
              </w:rPr>
              <w:t>'</w:t>
            </w:r>
            <w:r w:rsidR="00A95F01" w:rsidRPr="00393D45">
              <w:rPr>
                <w:b/>
                <w:bCs/>
                <w:i/>
                <w:iCs/>
                <w:sz w:val="20"/>
                <w:szCs w:val="20"/>
              </w:rPr>
              <w:t xml:space="preserve">s context </w:t>
            </w:r>
            <w:r w:rsidR="00296E78">
              <w:rPr>
                <w:b/>
                <w:bCs/>
                <w:i/>
                <w:iCs/>
                <w:sz w:val="20"/>
                <w:szCs w:val="20"/>
              </w:rPr>
              <w:t>with focus</w:t>
            </w:r>
            <w:r w:rsidR="004435AF">
              <w:rPr>
                <w:b/>
                <w:bCs/>
                <w:i/>
                <w:iCs/>
                <w:sz w:val="20"/>
                <w:szCs w:val="20"/>
              </w:rPr>
              <w:t xml:space="preserve"> on</w:t>
            </w:r>
            <w:r w:rsidR="00E165B4">
              <w:rPr>
                <w:b/>
                <w:bCs/>
                <w:i/>
                <w:iCs/>
                <w:sz w:val="20"/>
                <w:szCs w:val="20"/>
              </w:rPr>
              <w:t>:</w:t>
            </w:r>
          </w:p>
          <w:p w14:paraId="2112DA8C" w14:textId="427D12AB" w:rsidR="00544D9B" w:rsidRPr="00544D9B" w:rsidRDefault="00544D9B" w:rsidP="00CE1F57">
            <w:pPr>
              <w:pStyle w:val="ListParagraph"/>
              <w:numPr>
                <w:ilvl w:val="0"/>
                <w:numId w:val="6"/>
              </w:numPr>
              <w:spacing w:line="300" w:lineRule="exact"/>
              <w:ind w:left="741"/>
              <w:rPr>
                <w:b/>
                <w:bCs/>
                <w:i/>
                <w:iCs/>
                <w:sz w:val="20"/>
                <w:szCs w:val="20"/>
              </w:rPr>
            </w:pPr>
            <w:r w:rsidRPr="00544D9B">
              <w:rPr>
                <w:b/>
                <w:bCs/>
                <w:i/>
                <w:iCs/>
                <w:sz w:val="20"/>
                <w:szCs w:val="20"/>
              </w:rPr>
              <w:t xml:space="preserve">identifying </w:t>
            </w:r>
            <w:r w:rsidR="00393D45" w:rsidRPr="00393D45">
              <w:rPr>
                <w:b/>
                <w:bCs/>
                <w:i/>
                <w:iCs/>
                <w:sz w:val="20"/>
                <w:szCs w:val="20"/>
              </w:rPr>
              <w:t xml:space="preserve">and reaching zero-dose </w:t>
            </w:r>
            <w:r w:rsidR="00A95F01" w:rsidRPr="00CF3BC4">
              <w:rPr>
                <w:b/>
                <w:bCs/>
                <w:i/>
                <w:iCs/>
                <w:sz w:val="20"/>
                <w:szCs w:val="20"/>
              </w:rPr>
              <w:t xml:space="preserve">and </w:t>
            </w:r>
            <w:r w:rsidRPr="00544D9B">
              <w:rPr>
                <w:b/>
                <w:bCs/>
                <w:i/>
                <w:iCs/>
                <w:sz w:val="20"/>
                <w:szCs w:val="20"/>
              </w:rPr>
              <w:t xml:space="preserve">consistently </w:t>
            </w:r>
            <w:r w:rsidR="00A95F01" w:rsidRPr="00CF3BC4">
              <w:rPr>
                <w:b/>
                <w:bCs/>
                <w:i/>
                <w:iCs/>
                <w:sz w:val="20"/>
                <w:szCs w:val="20"/>
              </w:rPr>
              <w:t xml:space="preserve">missed </w:t>
            </w:r>
            <w:r w:rsidRPr="00544D9B">
              <w:rPr>
                <w:b/>
                <w:bCs/>
                <w:i/>
                <w:iCs/>
                <w:sz w:val="20"/>
                <w:szCs w:val="20"/>
              </w:rPr>
              <w:t xml:space="preserve">children </w:t>
            </w:r>
            <w:r w:rsidR="002C0185">
              <w:rPr>
                <w:b/>
                <w:bCs/>
                <w:i/>
                <w:iCs/>
                <w:sz w:val="20"/>
                <w:szCs w:val="20"/>
              </w:rPr>
              <w:t>and communities</w:t>
            </w:r>
            <w:r w:rsidRPr="00544D9B">
              <w:rPr>
                <w:b/>
                <w:bCs/>
                <w:i/>
                <w:iCs/>
                <w:sz w:val="20"/>
                <w:szCs w:val="20"/>
              </w:rPr>
              <w:t>;</w:t>
            </w:r>
          </w:p>
          <w:p w14:paraId="6B56EB6C" w14:textId="77777777" w:rsidR="00544D9B" w:rsidRPr="00544D9B" w:rsidRDefault="00544D9B" w:rsidP="00CE1F57">
            <w:pPr>
              <w:pStyle w:val="ListParagraph"/>
              <w:numPr>
                <w:ilvl w:val="0"/>
                <w:numId w:val="6"/>
              </w:numPr>
              <w:spacing w:line="300" w:lineRule="exact"/>
              <w:ind w:left="741"/>
              <w:rPr>
                <w:b/>
                <w:bCs/>
                <w:i/>
                <w:iCs/>
                <w:sz w:val="20"/>
                <w:szCs w:val="20"/>
              </w:rPr>
            </w:pPr>
            <w:r w:rsidRPr="00544D9B">
              <w:rPr>
                <w:b/>
                <w:bCs/>
                <w:i/>
                <w:iCs/>
                <w:sz w:val="20"/>
                <w:szCs w:val="20"/>
              </w:rPr>
              <w:t>improving</w:t>
            </w:r>
            <w:r w:rsidR="001B19F2">
              <w:rPr>
                <w:b/>
                <w:bCs/>
                <w:i/>
                <w:iCs/>
                <w:sz w:val="20"/>
                <w:szCs w:val="20"/>
              </w:rPr>
              <w:t xml:space="preserve"> </w:t>
            </w:r>
            <w:r w:rsidR="00316DE0">
              <w:rPr>
                <w:b/>
                <w:bCs/>
                <w:i/>
                <w:iCs/>
                <w:sz w:val="20"/>
                <w:szCs w:val="20"/>
              </w:rPr>
              <w:t>stock reporting and vaccine management at sub-national level</w:t>
            </w:r>
            <w:r w:rsidRPr="00544D9B">
              <w:rPr>
                <w:b/>
                <w:bCs/>
                <w:i/>
                <w:iCs/>
                <w:sz w:val="20"/>
                <w:szCs w:val="20"/>
              </w:rPr>
              <w:t>;</w:t>
            </w:r>
          </w:p>
          <w:p w14:paraId="009281C7" w14:textId="77777777" w:rsidR="00544D9B" w:rsidRPr="00544D9B" w:rsidRDefault="00544D9B" w:rsidP="00CE1F57">
            <w:pPr>
              <w:pStyle w:val="ListParagraph"/>
              <w:numPr>
                <w:ilvl w:val="0"/>
                <w:numId w:val="6"/>
              </w:numPr>
              <w:spacing w:line="300" w:lineRule="exact"/>
              <w:ind w:left="741"/>
              <w:rPr>
                <w:b/>
                <w:bCs/>
                <w:i/>
                <w:iCs/>
                <w:sz w:val="20"/>
                <w:szCs w:val="20"/>
              </w:rPr>
            </w:pPr>
            <w:r w:rsidRPr="00544D9B">
              <w:rPr>
                <w:b/>
                <w:bCs/>
                <w:i/>
                <w:iCs/>
                <w:sz w:val="20"/>
                <w:szCs w:val="20"/>
              </w:rPr>
              <w:t>enhancing</w:t>
            </w:r>
            <w:r w:rsidR="00316DE0">
              <w:rPr>
                <w:b/>
                <w:bCs/>
                <w:i/>
                <w:iCs/>
                <w:sz w:val="20"/>
                <w:szCs w:val="20"/>
              </w:rPr>
              <w:t xml:space="preserve"> stron</w:t>
            </w:r>
            <w:r w:rsidR="00F45522">
              <w:rPr>
                <w:b/>
                <w:bCs/>
                <w:i/>
                <w:iCs/>
                <w:sz w:val="20"/>
                <w:szCs w:val="20"/>
              </w:rPr>
              <w:t>g leadership, management and coordination</w:t>
            </w:r>
            <w:r w:rsidRPr="00544D9B">
              <w:rPr>
                <w:b/>
                <w:bCs/>
                <w:i/>
                <w:iCs/>
                <w:sz w:val="20"/>
                <w:szCs w:val="20"/>
              </w:rPr>
              <w:t>, including use of data for decision-making;</w:t>
            </w:r>
          </w:p>
          <w:p w14:paraId="35EE3F38" w14:textId="52874DFA" w:rsidR="00532C23" w:rsidRPr="00532C23" w:rsidRDefault="009912B7" w:rsidP="00CE1F57">
            <w:pPr>
              <w:pStyle w:val="ListParagraph"/>
              <w:numPr>
                <w:ilvl w:val="0"/>
                <w:numId w:val="6"/>
              </w:numPr>
              <w:spacing w:line="300" w:lineRule="exact"/>
              <w:ind w:left="741"/>
              <w:rPr>
                <w:b/>
                <w:i/>
                <w:sz w:val="20"/>
                <w:szCs w:val="20"/>
              </w:rPr>
            </w:pPr>
            <w:r>
              <w:rPr>
                <w:b/>
                <w:bCs/>
                <w:i/>
                <w:iCs/>
                <w:sz w:val="20"/>
                <w:szCs w:val="20"/>
              </w:rPr>
              <w:t>introduction and scale up of</w:t>
            </w:r>
            <w:r w:rsidRPr="00544D9B">
              <w:rPr>
                <w:b/>
                <w:bCs/>
                <w:i/>
                <w:iCs/>
                <w:sz w:val="20"/>
                <w:szCs w:val="20"/>
              </w:rPr>
              <w:t xml:space="preserve"> </w:t>
            </w:r>
            <w:r w:rsidR="00544D9B" w:rsidRPr="00544D9B">
              <w:rPr>
                <w:b/>
                <w:bCs/>
                <w:i/>
                <w:iCs/>
                <w:sz w:val="20"/>
                <w:szCs w:val="20"/>
              </w:rPr>
              <w:t>vaccines</w:t>
            </w:r>
            <w:r w:rsidR="001708D2">
              <w:rPr>
                <w:b/>
                <w:bCs/>
                <w:i/>
                <w:iCs/>
                <w:sz w:val="20"/>
                <w:szCs w:val="20"/>
              </w:rPr>
              <w:t>;</w:t>
            </w:r>
          </w:p>
          <w:p w14:paraId="1DC79B3B" w14:textId="2E55360D" w:rsidR="0071439C" w:rsidRPr="00544D9B" w:rsidRDefault="00532C23" w:rsidP="00CE1F57">
            <w:pPr>
              <w:pStyle w:val="ListParagraph"/>
              <w:numPr>
                <w:ilvl w:val="0"/>
                <w:numId w:val="6"/>
              </w:numPr>
              <w:spacing w:line="300" w:lineRule="exact"/>
              <w:ind w:left="741"/>
              <w:rPr>
                <w:b/>
                <w:i/>
                <w:sz w:val="20"/>
                <w:szCs w:val="20"/>
              </w:rPr>
            </w:pPr>
            <w:r>
              <w:rPr>
                <w:b/>
                <w:bCs/>
                <w:i/>
                <w:iCs/>
                <w:sz w:val="20"/>
                <w:szCs w:val="20"/>
              </w:rPr>
              <w:t>programm</w:t>
            </w:r>
            <w:r w:rsidR="00D740FF">
              <w:rPr>
                <w:b/>
                <w:bCs/>
                <w:i/>
                <w:iCs/>
                <w:sz w:val="20"/>
                <w:szCs w:val="20"/>
              </w:rPr>
              <w:t>a</w:t>
            </w:r>
            <w:r w:rsidR="0034188F">
              <w:rPr>
                <w:b/>
                <w:bCs/>
                <w:i/>
                <w:iCs/>
                <w:sz w:val="20"/>
                <w:szCs w:val="20"/>
              </w:rPr>
              <w:t>tic sustainability</w:t>
            </w:r>
            <w:r w:rsidR="00544D9B" w:rsidRPr="00544D9B">
              <w:rPr>
                <w:b/>
                <w:bCs/>
                <w:i/>
                <w:iCs/>
                <w:sz w:val="20"/>
                <w:szCs w:val="20"/>
              </w:rPr>
              <w:t>.</w:t>
            </w:r>
          </w:p>
        </w:tc>
      </w:tr>
      <w:tr w:rsidR="0071439C" w:rsidRPr="006A272B" w14:paraId="0A3FAE65" w14:textId="77777777" w:rsidTr="00BD5170">
        <w:trPr>
          <w:trHeight w:val="4515"/>
        </w:trPr>
        <w:tc>
          <w:tcPr>
            <w:tcW w:w="9192" w:type="dxa"/>
            <w:tcBorders>
              <w:top w:val="single" w:sz="4" w:space="0" w:color="auto"/>
              <w:left w:val="single" w:sz="4" w:space="0" w:color="auto"/>
              <w:bottom w:val="single" w:sz="4" w:space="0" w:color="auto"/>
              <w:right w:val="single" w:sz="4" w:space="0" w:color="auto"/>
            </w:tcBorders>
          </w:tcPr>
          <w:p w14:paraId="353D3DEB" w14:textId="3C73C032" w:rsidR="0071439C" w:rsidRPr="006A272B" w:rsidRDefault="0BC9F3B8" w:rsidP="1AE3B657">
            <w:pPr>
              <w:spacing w:line="300" w:lineRule="exact"/>
              <w:jc w:val="both"/>
              <w:rPr>
                <w:lang w:val="en-GB"/>
              </w:rPr>
            </w:pPr>
            <w:r w:rsidRPr="1AE3B657">
              <w:rPr>
                <w:color w:val="4472C4" w:themeColor="accent1"/>
                <w:lang w:val="en-GB"/>
              </w:rPr>
              <w:t>As outlined in Section 2.1,</w:t>
            </w:r>
            <w:r w:rsidR="3BEB3A70" w:rsidRPr="1AE3B657">
              <w:rPr>
                <w:color w:val="4472C4" w:themeColor="accent1"/>
                <w:lang w:val="en-GB"/>
              </w:rPr>
              <w:t xml:space="preserve"> strategies to reach under-served communities and zero-dose children is one of the key activities for which TA would be required. Through this TA, strategies will be developed and activities will be implemented to reach zero-dose children in line with Gavi 5.0 and Immunization Agenda 2030 (IA 2030). TA should support to provide a costed plan to reach the zero dose children. TA will also be provided to strengthen stock management including quantification, requisition and reporting across all levels. Through TA, EPI officers will undergo management and technical capacity building programmes to improve their management and coordination skills. Data triangulation and use of data for decision making is also a key component of the outlined </w:t>
            </w:r>
            <w:proofErr w:type="spellStart"/>
            <w:r w:rsidR="3BEB3A70" w:rsidRPr="1AE3B657">
              <w:rPr>
                <w:color w:val="4472C4" w:themeColor="accent1"/>
                <w:lang w:val="en-GB"/>
              </w:rPr>
              <w:t>TAs.</w:t>
            </w:r>
            <w:proofErr w:type="spellEnd"/>
            <w:r w:rsidR="3BEB3A70" w:rsidRPr="1AE3B657">
              <w:rPr>
                <w:color w:val="4472C4" w:themeColor="accent1"/>
                <w:lang w:val="en-GB"/>
              </w:rPr>
              <w:t xml:space="preserve"> Technical partners will provide support for the introduction of IPV2 as well as roll-out of Measles-Rubella Follow-up campaign. Partners will have review and finalize the Gavi Transition Plan, support the development of </w:t>
            </w:r>
            <w:proofErr w:type="spellStart"/>
            <w:r w:rsidR="3BEB3A70" w:rsidRPr="1AE3B657">
              <w:rPr>
                <w:color w:val="4472C4" w:themeColor="accent1"/>
                <w:lang w:val="en-GB"/>
              </w:rPr>
              <w:t>mult</w:t>
            </w:r>
            <w:proofErr w:type="spellEnd"/>
            <w:r w:rsidR="3BEB3A70" w:rsidRPr="1AE3B657">
              <w:rPr>
                <w:color w:val="4472C4" w:themeColor="accent1"/>
                <w:lang w:val="en-GB"/>
              </w:rPr>
              <w:t xml:space="preserve">-year budget for EPI and </w:t>
            </w:r>
            <w:r w:rsidR="661AE9F4" w:rsidRPr="1AE3B657">
              <w:rPr>
                <w:color w:val="4472C4" w:themeColor="accent1"/>
                <w:lang w:val="en-GB"/>
              </w:rPr>
              <w:t>local resource mobilization to ensure sustainability of immunization services.</w:t>
            </w:r>
            <w:r w:rsidR="00BD5170">
              <w:rPr>
                <w:color w:val="4472C4" w:themeColor="accent1"/>
                <w:lang w:val="en-GB"/>
              </w:rPr>
              <w:t xml:space="preserve"> </w:t>
            </w:r>
          </w:p>
          <w:p w14:paraId="66F0CC49" w14:textId="7AC84600" w:rsidR="0071439C" w:rsidRPr="006A272B" w:rsidRDefault="0071439C" w:rsidP="1AE3B657">
            <w:pPr>
              <w:spacing w:line="300" w:lineRule="exact"/>
              <w:jc w:val="both"/>
              <w:rPr>
                <w:color w:val="4472C4" w:themeColor="accent1"/>
                <w:lang w:val="en-GB"/>
              </w:rPr>
            </w:pPr>
          </w:p>
          <w:p w14:paraId="0C49E76B" w14:textId="6190419F" w:rsidR="0071439C" w:rsidRPr="006A272B" w:rsidRDefault="1AE3B657" w:rsidP="00BD5170">
            <w:pPr>
              <w:spacing w:line="300" w:lineRule="exact"/>
              <w:jc w:val="both"/>
              <w:rPr>
                <w:color w:val="4472C4" w:themeColor="accent1"/>
                <w:lang w:val="en-GB"/>
              </w:rPr>
            </w:pPr>
            <w:r w:rsidRPr="1AE3B657">
              <w:rPr>
                <w:color w:val="4472C4" w:themeColor="accent1"/>
                <w:lang w:val="en-GB"/>
              </w:rPr>
              <w:t>To support financial and programmatic sustainability of the programme, activities for</w:t>
            </w:r>
            <w:r w:rsidRPr="00BD5170">
              <w:rPr>
                <w:color w:val="4472C4" w:themeColor="accent1"/>
                <w:lang w:val="en-GB"/>
              </w:rPr>
              <w:t xml:space="preserve"> health financing will be explored: 1) Support annual planning and budgeting </w:t>
            </w:r>
            <w:r w:rsidRPr="1AE3B657">
              <w:rPr>
                <w:color w:val="4472C4" w:themeColor="accent1"/>
                <w:lang w:val="en-GB"/>
              </w:rPr>
              <w:t xml:space="preserve">for vaccines </w:t>
            </w:r>
            <w:r w:rsidRPr="00BD5170">
              <w:rPr>
                <w:color w:val="4472C4" w:themeColor="accent1"/>
                <w:lang w:val="en-GB"/>
              </w:rPr>
              <w:t>and skill transfer 2) Support domestic resource mobilisation (fiscal space analysis for NVI, advocacy strategy for immunisation and primary health care financing implemented with CSO support etc) 3) Value for money and resource tracking exercises including MYP immunisations, health financing strategy (which will focus on immunisation and PHC)</w:t>
            </w:r>
            <w:r w:rsidRPr="1AE3B657">
              <w:rPr>
                <w:color w:val="4472C4" w:themeColor="accent1"/>
                <w:lang w:val="en-GB"/>
              </w:rPr>
              <w:t>.</w:t>
            </w:r>
          </w:p>
        </w:tc>
      </w:tr>
      <w:tr w:rsidR="002E0882" w14:paraId="733DCE72" w14:textId="77777777" w:rsidTr="1AE3B657">
        <w:tc>
          <w:tcPr>
            <w:tcW w:w="9192" w:type="dxa"/>
            <w:tcBorders>
              <w:top w:val="single" w:sz="4" w:space="0" w:color="auto"/>
              <w:bottom w:val="single" w:sz="4" w:space="0" w:color="auto"/>
            </w:tcBorders>
            <w:shd w:val="clear" w:color="auto" w:fill="F2F2F2" w:themeFill="background1" w:themeFillShade="F2"/>
          </w:tcPr>
          <w:p w14:paraId="39970F96" w14:textId="5B7ADA76" w:rsidR="002E0882" w:rsidRPr="00CF3BC4" w:rsidRDefault="002E0882" w:rsidP="007B53D1">
            <w:pPr>
              <w:pStyle w:val="ListParagraph"/>
              <w:spacing w:line="300" w:lineRule="exact"/>
              <w:ind w:left="0"/>
              <w:rPr>
                <w:b/>
                <w:bCs/>
                <w:i/>
                <w:iCs/>
                <w:color w:val="000000" w:themeColor="text1"/>
                <w:sz w:val="20"/>
                <w:szCs w:val="20"/>
              </w:rPr>
            </w:pPr>
            <w:r>
              <w:rPr>
                <w:b/>
                <w:bCs/>
                <w:i/>
                <w:iCs/>
                <w:sz w:val="20"/>
                <w:szCs w:val="20"/>
              </w:rPr>
              <w:t xml:space="preserve">2.3 </w:t>
            </w:r>
            <w:r w:rsidRPr="00CF3BC4">
              <w:rPr>
                <w:b/>
                <w:bCs/>
                <w:i/>
                <w:iCs/>
                <w:sz w:val="20"/>
                <w:szCs w:val="20"/>
              </w:rPr>
              <w:t xml:space="preserve">How will you use new vaccine introductions and campaigns planned during this period to further </w:t>
            </w:r>
            <w:r w:rsidR="00BE66F8">
              <w:rPr>
                <w:b/>
                <w:bCs/>
                <w:i/>
                <w:iCs/>
                <w:sz w:val="20"/>
                <w:szCs w:val="20"/>
              </w:rPr>
              <w:t>stre</w:t>
            </w:r>
            <w:r w:rsidR="00AF4BE7">
              <w:rPr>
                <w:b/>
                <w:bCs/>
                <w:i/>
                <w:iCs/>
                <w:sz w:val="20"/>
                <w:szCs w:val="20"/>
              </w:rPr>
              <w:t>ngthen the areas indicated under question 2.2?</w:t>
            </w:r>
            <w:r w:rsidR="00BE66F8">
              <w:rPr>
                <w:b/>
                <w:bCs/>
                <w:i/>
                <w:iCs/>
                <w:sz w:val="20"/>
                <w:szCs w:val="20"/>
              </w:rPr>
              <w:t xml:space="preserve"> </w:t>
            </w:r>
          </w:p>
        </w:tc>
      </w:tr>
      <w:tr w:rsidR="002E0882" w:rsidRPr="006A272B" w14:paraId="3B0C1B4D" w14:textId="77777777" w:rsidTr="1AE3B657">
        <w:tc>
          <w:tcPr>
            <w:tcW w:w="9192" w:type="dxa"/>
            <w:tcBorders>
              <w:top w:val="single" w:sz="4" w:space="0" w:color="auto"/>
              <w:left w:val="single" w:sz="4" w:space="0" w:color="auto"/>
              <w:bottom w:val="single" w:sz="4" w:space="0" w:color="auto"/>
              <w:right w:val="single" w:sz="4" w:space="0" w:color="auto"/>
            </w:tcBorders>
          </w:tcPr>
          <w:p w14:paraId="22D23021" w14:textId="18BF4C68" w:rsidR="00CB4B42" w:rsidRPr="00100C34" w:rsidRDefault="00CB4B42" w:rsidP="00100C34">
            <w:pPr>
              <w:spacing w:line="300" w:lineRule="exact"/>
              <w:jc w:val="both"/>
              <w:rPr>
                <w:color w:val="4472C4" w:themeColor="accent1"/>
                <w:lang w:val="en-GB"/>
              </w:rPr>
            </w:pPr>
            <w:r w:rsidRPr="00100C34">
              <w:rPr>
                <w:color w:val="4472C4" w:themeColor="accent1"/>
                <w:lang w:val="en-GB"/>
              </w:rPr>
              <w:t>New vaccine introductions and mass vaccine campaigns provide an opportunity to strengthen the health system in general and the immunization system in particular. Ghana has used previous vaccine introduction and mass campaigns to improve routine systems and same will be done for the planned introductions</w:t>
            </w:r>
            <w:r w:rsidR="00070CF8" w:rsidRPr="00100C34">
              <w:rPr>
                <w:color w:val="4472C4" w:themeColor="accent1"/>
                <w:lang w:val="en-GB"/>
              </w:rPr>
              <w:t xml:space="preserve"> and</w:t>
            </w:r>
            <w:r w:rsidRPr="00100C34">
              <w:rPr>
                <w:color w:val="4472C4" w:themeColor="accent1"/>
                <w:lang w:val="en-GB"/>
              </w:rPr>
              <w:t>/</w:t>
            </w:r>
            <w:r w:rsidR="00070CF8" w:rsidRPr="00100C34">
              <w:rPr>
                <w:color w:val="4472C4" w:themeColor="accent1"/>
                <w:lang w:val="en-GB"/>
              </w:rPr>
              <w:t xml:space="preserve"> or </w:t>
            </w:r>
            <w:r w:rsidRPr="00100C34">
              <w:rPr>
                <w:color w:val="4472C4" w:themeColor="accent1"/>
                <w:lang w:val="en-GB"/>
              </w:rPr>
              <w:t>campaigns.</w:t>
            </w:r>
          </w:p>
          <w:p w14:paraId="35D22BD6" w14:textId="5AE88BEE" w:rsidR="00CB4B42" w:rsidRPr="00100C34" w:rsidRDefault="00CB4B42" w:rsidP="00100C34">
            <w:pPr>
              <w:spacing w:line="300" w:lineRule="exact"/>
              <w:jc w:val="both"/>
              <w:rPr>
                <w:color w:val="4472C4" w:themeColor="accent1"/>
                <w:lang w:val="en-GB"/>
              </w:rPr>
            </w:pPr>
          </w:p>
          <w:p w14:paraId="264D057A" w14:textId="35ACFA1E" w:rsidR="00CB4B42" w:rsidRPr="00100C34" w:rsidRDefault="00EE19A4" w:rsidP="00100C34">
            <w:pPr>
              <w:spacing w:line="300" w:lineRule="exact"/>
              <w:jc w:val="both"/>
              <w:rPr>
                <w:color w:val="4472C4" w:themeColor="accent1"/>
                <w:lang w:val="en-GB"/>
              </w:rPr>
            </w:pPr>
            <w:r w:rsidRPr="00100C34">
              <w:rPr>
                <w:color w:val="4472C4" w:themeColor="accent1"/>
                <w:lang w:val="en-GB"/>
              </w:rPr>
              <w:lastRenderedPageBreak/>
              <w:t>The planning for the IPV2 introduction into routine immunization and the Measles-Rubella Follow-up campaign would largely be informed by the Reaching Every District (RED) strategy. Planning and training will be conducted nationwide from the national level to the periphery. These training and planning sessions will present an opportunity for staff to be orientated</w:t>
            </w:r>
            <w:r w:rsidR="00100C34" w:rsidRPr="00100C34">
              <w:rPr>
                <w:color w:val="4472C4" w:themeColor="accent1"/>
                <w:lang w:val="en-GB"/>
              </w:rPr>
              <w:t xml:space="preserve"> or re-orientated on</w:t>
            </w:r>
            <w:r w:rsidRPr="00100C34">
              <w:rPr>
                <w:color w:val="4472C4" w:themeColor="accent1"/>
                <w:lang w:val="en-GB"/>
              </w:rPr>
              <w:t xml:space="preserve"> RED and microplanning.</w:t>
            </w:r>
          </w:p>
          <w:p w14:paraId="3B616D1E" w14:textId="23A3DF4F" w:rsidR="00EE19A4" w:rsidRPr="00100C34" w:rsidRDefault="00EE19A4" w:rsidP="00100C34">
            <w:pPr>
              <w:spacing w:line="300" w:lineRule="exact"/>
              <w:jc w:val="both"/>
              <w:rPr>
                <w:color w:val="4472C4" w:themeColor="accent1"/>
                <w:lang w:val="en-GB"/>
              </w:rPr>
            </w:pPr>
          </w:p>
          <w:p w14:paraId="60BA9125" w14:textId="0CA19C6F" w:rsidR="00EE19A4" w:rsidRPr="00100C34" w:rsidRDefault="00EE19A4" w:rsidP="00100C34">
            <w:pPr>
              <w:spacing w:line="300" w:lineRule="exact"/>
              <w:jc w:val="both"/>
              <w:rPr>
                <w:color w:val="4472C4" w:themeColor="accent1"/>
                <w:lang w:val="en-GB"/>
              </w:rPr>
            </w:pPr>
            <w:r w:rsidRPr="00100C34">
              <w:rPr>
                <w:color w:val="4472C4" w:themeColor="accent1"/>
                <w:lang w:val="en-GB"/>
              </w:rPr>
              <w:t>Demand generation activities that usually pre</w:t>
            </w:r>
            <w:r w:rsidR="00AA1C27">
              <w:rPr>
                <w:color w:val="4472C4" w:themeColor="accent1"/>
                <w:lang w:val="en-GB"/>
              </w:rPr>
              <w:t>c</w:t>
            </w:r>
            <w:r w:rsidRPr="00100C34">
              <w:rPr>
                <w:color w:val="4472C4" w:themeColor="accent1"/>
                <w:lang w:val="en-GB"/>
              </w:rPr>
              <w:t>ede such introductions would include messages on the need for caregivers to ensure their children are fully vaccinated</w:t>
            </w:r>
            <w:r w:rsidR="00EE25B4" w:rsidRPr="00100C34">
              <w:rPr>
                <w:color w:val="4472C4" w:themeColor="accent1"/>
                <w:lang w:val="en-GB"/>
              </w:rPr>
              <w:t xml:space="preserve">. For the measles-rubella campaign, vaccination teams that will move from house-to-house will specifically provide key messages on routine immunization. This will </w:t>
            </w:r>
            <w:r w:rsidR="00AA1C27">
              <w:rPr>
                <w:color w:val="4472C4" w:themeColor="accent1"/>
                <w:lang w:val="en-GB"/>
              </w:rPr>
              <w:t>assist in</w:t>
            </w:r>
            <w:r w:rsidR="00EE25B4" w:rsidRPr="00100C34">
              <w:rPr>
                <w:color w:val="4472C4" w:themeColor="accent1"/>
                <w:lang w:val="en-GB"/>
              </w:rPr>
              <w:t xml:space="preserve"> heighten</w:t>
            </w:r>
            <w:r w:rsidR="00AA1C27">
              <w:rPr>
                <w:color w:val="4472C4" w:themeColor="accent1"/>
                <w:lang w:val="en-GB"/>
              </w:rPr>
              <w:t>ing</w:t>
            </w:r>
            <w:r w:rsidR="00EE25B4" w:rsidRPr="00100C34">
              <w:rPr>
                <w:color w:val="4472C4" w:themeColor="accent1"/>
                <w:lang w:val="en-GB"/>
              </w:rPr>
              <w:t xml:space="preserve"> awareness and increas</w:t>
            </w:r>
            <w:r w:rsidR="00AA1C27">
              <w:rPr>
                <w:color w:val="4472C4" w:themeColor="accent1"/>
                <w:lang w:val="en-GB"/>
              </w:rPr>
              <w:t>ing</w:t>
            </w:r>
            <w:r w:rsidR="00EE25B4" w:rsidRPr="00100C34">
              <w:rPr>
                <w:color w:val="4472C4" w:themeColor="accent1"/>
                <w:lang w:val="en-GB"/>
              </w:rPr>
              <w:t xml:space="preserve"> demand.</w:t>
            </w:r>
            <w:r w:rsidR="00BD5170">
              <w:rPr>
                <w:color w:val="4472C4" w:themeColor="accent1"/>
                <w:lang w:val="en-GB"/>
              </w:rPr>
              <w:t xml:space="preserve"> The campaign will provide a second opportunity for children who have missed MR vaccination to be vaccinated. It will also be used to catch-up missed and </w:t>
            </w:r>
            <w:proofErr w:type="spellStart"/>
            <w:r w:rsidR="00BD5170">
              <w:rPr>
                <w:color w:val="4472C4" w:themeColor="accent1"/>
                <w:lang w:val="en-GB"/>
              </w:rPr>
              <w:t>underimmunized</w:t>
            </w:r>
            <w:proofErr w:type="spellEnd"/>
            <w:r w:rsidR="00BD5170">
              <w:rPr>
                <w:color w:val="4472C4" w:themeColor="accent1"/>
                <w:lang w:val="en-GB"/>
              </w:rPr>
              <w:t xml:space="preserve"> children. Vaccination teams will therefore be orientated on the Catch-up Schedule for Routine Immunization.</w:t>
            </w:r>
          </w:p>
          <w:p w14:paraId="61A1EAC8" w14:textId="1BB8DC97" w:rsidR="00685678" w:rsidRPr="00100C34" w:rsidRDefault="00685678" w:rsidP="00100C34">
            <w:pPr>
              <w:spacing w:line="300" w:lineRule="exact"/>
              <w:jc w:val="both"/>
              <w:rPr>
                <w:color w:val="4472C4" w:themeColor="accent1"/>
                <w:lang w:val="en-GB"/>
              </w:rPr>
            </w:pPr>
          </w:p>
          <w:p w14:paraId="1DF34FD8" w14:textId="0A2B80CB" w:rsidR="00685678" w:rsidRPr="00100C34" w:rsidRDefault="00685678" w:rsidP="00100C34">
            <w:pPr>
              <w:spacing w:line="300" w:lineRule="exact"/>
              <w:jc w:val="both"/>
              <w:rPr>
                <w:color w:val="4472C4" w:themeColor="accent1"/>
                <w:lang w:val="en-GB"/>
              </w:rPr>
            </w:pPr>
            <w:r w:rsidRPr="00100C34">
              <w:rPr>
                <w:color w:val="4472C4" w:themeColor="accent1"/>
                <w:lang w:val="en-GB"/>
              </w:rPr>
              <w:t xml:space="preserve">Both IPV2 introduction and the MR campaigns will come with investments in cold chain in particular and the supply chain </w:t>
            </w:r>
            <w:proofErr w:type="spellStart"/>
            <w:r w:rsidRPr="00100C34">
              <w:rPr>
                <w:color w:val="4472C4" w:themeColor="accent1"/>
                <w:lang w:val="en-GB"/>
              </w:rPr>
              <w:t>chain</w:t>
            </w:r>
            <w:proofErr w:type="spellEnd"/>
            <w:r w:rsidRPr="00100C34">
              <w:rPr>
                <w:color w:val="4472C4" w:themeColor="accent1"/>
                <w:lang w:val="en-GB"/>
              </w:rPr>
              <w:t xml:space="preserve"> in general. These investments will strengthen the overall</w:t>
            </w:r>
            <w:r w:rsidR="0048528A" w:rsidRPr="00100C34">
              <w:rPr>
                <w:color w:val="4472C4" w:themeColor="accent1"/>
                <w:lang w:val="en-GB"/>
              </w:rPr>
              <w:t xml:space="preserve"> supply chain system as the country strives to streamline the system to improve efficiency and vaccine availability, especially </w:t>
            </w:r>
            <w:r w:rsidR="00AA1C27">
              <w:rPr>
                <w:color w:val="4472C4" w:themeColor="accent1"/>
                <w:lang w:val="en-GB"/>
              </w:rPr>
              <w:t>at</w:t>
            </w:r>
            <w:r w:rsidR="0048528A" w:rsidRPr="00100C34">
              <w:rPr>
                <w:color w:val="4472C4" w:themeColor="accent1"/>
                <w:lang w:val="en-GB"/>
              </w:rPr>
              <w:t xml:space="preserve"> the last mile.</w:t>
            </w:r>
          </w:p>
          <w:p w14:paraId="66A223B0" w14:textId="609AFBD0" w:rsidR="00CB4B42" w:rsidRPr="00100C34" w:rsidRDefault="00CB4B42" w:rsidP="00100C34">
            <w:pPr>
              <w:spacing w:line="300" w:lineRule="exact"/>
              <w:jc w:val="both"/>
              <w:rPr>
                <w:color w:val="4472C4" w:themeColor="accent1"/>
                <w:lang w:val="en-GB"/>
              </w:rPr>
            </w:pPr>
          </w:p>
          <w:p w14:paraId="4B40DCBB" w14:textId="6DDC853F" w:rsidR="00842B17" w:rsidRPr="00100C34" w:rsidRDefault="005B6E75" w:rsidP="00100C34">
            <w:pPr>
              <w:spacing w:line="300" w:lineRule="exact"/>
              <w:jc w:val="both"/>
              <w:rPr>
                <w:color w:val="4472C4" w:themeColor="accent1"/>
                <w:lang w:val="en-GB"/>
              </w:rPr>
            </w:pPr>
            <w:r w:rsidRPr="00100C34">
              <w:rPr>
                <w:color w:val="4472C4" w:themeColor="accent1"/>
                <w:lang w:val="en-GB"/>
              </w:rPr>
              <w:t>Experience and lessons learnt from the</w:t>
            </w:r>
            <w:r w:rsidR="0048528A" w:rsidRPr="00100C34">
              <w:rPr>
                <w:color w:val="4472C4" w:themeColor="accent1"/>
                <w:lang w:val="en-GB"/>
              </w:rPr>
              <w:t xml:space="preserve"> COVID-19 vaccine</w:t>
            </w:r>
            <w:r w:rsidRPr="00100C34">
              <w:rPr>
                <w:color w:val="4472C4" w:themeColor="accent1"/>
                <w:lang w:val="en-GB"/>
              </w:rPr>
              <w:t xml:space="preserve"> deployment have helped build capacity and systems to commence vaccination registry for routine immunization</w:t>
            </w:r>
            <w:r w:rsidR="00842B17" w:rsidRPr="00100C34">
              <w:rPr>
                <w:color w:val="4472C4" w:themeColor="accent1"/>
                <w:lang w:val="en-GB"/>
              </w:rPr>
              <w:t xml:space="preserve"> where individual level data would be collected. Whil</w:t>
            </w:r>
            <w:r w:rsidR="00AA1C27">
              <w:rPr>
                <w:color w:val="4472C4" w:themeColor="accent1"/>
                <w:lang w:val="en-GB"/>
              </w:rPr>
              <w:t>e</w:t>
            </w:r>
            <w:r w:rsidR="00842B17" w:rsidRPr="00100C34">
              <w:rPr>
                <w:color w:val="4472C4" w:themeColor="accent1"/>
                <w:lang w:val="en-GB"/>
              </w:rPr>
              <w:t xml:space="preserve"> resources are being mobilized to kick-start this idea, the country will deploy th</w:t>
            </w:r>
            <w:r w:rsidR="00AA1C27">
              <w:rPr>
                <w:color w:val="4472C4" w:themeColor="accent1"/>
                <w:lang w:val="en-GB"/>
              </w:rPr>
              <w:t>e</w:t>
            </w:r>
            <w:r w:rsidR="00842B17" w:rsidRPr="00100C34">
              <w:rPr>
                <w:color w:val="4472C4" w:themeColor="accent1"/>
                <w:lang w:val="en-GB"/>
              </w:rPr>
              <w:t>s</w:t>
            </w:r>
            <w:r w:rsidR="00AA1C27">
              <w:rPr>
                <w:color w:val="4472C4" w:themeColor="accent1"/>
                <w:lang w:val="en-GB"/>
              </w:rPr>
              <w:t>e</w:t>
            </w:r>
            <w:r w:rsidR="00842B17" w:rsidRPr="00100C34">
              <w:rPr>
                <w:color w:val="4472C4" w:themeColor="accent1"/>
                <w:lang w:val="en-GB"/>
              </w:rPr>
              <w:t xml:space="preserve"> tools for the Measles-Rubella Campaign. This will further help to strengthen the system in terms of capacity building and infrastructure</w:t>
            </w:r>
            <w:r w:rsidRPr="00100C34">
              <w:rPr>
                <w:color w:val="4472C4" w:themeColor="accent1"/>
                <w:lang w:val="en-GB"/>
              </w:rPr>
              <w:t xml:space="preserve">. </w:t>
            </w:r>
          </w:p>
          <w:p w14:paraId="2625C039" w14:textId="77777777" w:rsidR="00842B17" w:rsidRPr="00100C34" w:rsidRDefault="00842B17" w:rsidP="00100C34">
            <w:pPr>
              <w:spacing w:line="300" w:lineRule="exact"/>
              <w:jc w:val="both"/>
              <w:rPr>
                <w:color w:val="4472C4" w:themeColor="accent1"/>
                <w:lang w:val="en-GB"/>
              </w:rPr>
            </w:pPr>
          </w:p>
          <w:p w14:paraId="2525ED44" w14:textId="322C4618" w:rsidR="00AA1C27" w:rsidRPr="00100C34" w:rsidRDefault="005B6E75" w:rsidP="00437508">
            <w:pPr>
              <w:spacing w:line="300" w:lineRule="exact"/>
              <w:jc w:val="both"/>
              <w:rPr>
                <w:color w:val="4472C4" w:themeColor="accent1"/>
                <w:highlight w:val="yellow"/>
                <w:lang w:val="en-GB"/>
              </w:rPr>
            </w:pPr>
            <w:r w:rsidRPr="00100C34">
              <w:rPr>
                <w:color w:val="4472C4" w:themeColor="accent1"/>
                <w:lang w:val="en-GB"/>
              </w:rPr>
              <w:t>In the area of Surveillance, the Ghana Health Service is working with partners to strengthen electronic platforms for surveillance of VPDs including</w:t>
            </w:r>
            <w:r w:rsidR="00842B17" w:rsidRPr="00100C34">
              <w:rPr>
                <w:color w:val="4472C4" w:themeColor="accent1"/>
                <w:lang w:val="en-GB"/>
              </w:rPr>
              <w:t xml:space="preserve"> polio, measles and</w:t>
            </w:r>
            <w:r w:rsidRPr="00100C34">
              <w:rPr>
                <w:color w:val="4472C4" w:themeColor="accent1"/>
                <w:lang w:val="en-GB"/>
              </w:rPr>
              <w:t xml:space="preserve"> COVID-19. </w:t>
            </w:r>
            <w:r w:rsidR="00842B17" w:rsidRPr="00100C34">
              <w:rPr>
                <w:color w:val="4472C4" w:themeColor="accent1"/>
                <w:lang w:val="en-GB"/>
              </w:rPr>
              <w:t>The MR campaign will provide the opportunity for vaccination teams to conduct active case search as the</w:t>
            </w:r>
            <w:r w:rsidR="00AA1C27">
              <w:rPr>
                <w:color w:val="4472C4" w:themeColor="accent1"/>
                <w:lang w:val="en-GB"/>
              </w:rPr>
              <w:t>y</w:t>
            </w:r>
            <w:r w:rsidR="00842B17" w:rsidRPr="00100C34">
              <w:rPr>
                <w:color w:val="4472C4" w:themeColor="accent1"/>
                <w:lang w:val="en-GB"/>
              </w:rPr>
              <w:t xml:space="preserve"> move from one place to the other. Supervisors at all levels will also</w:t>
            </w:r>
            <w:r w:rsidR="00437508">
              <w:rPr>
                <w:color w:val="4472C4" w:themeColor="accent1"/>
                <w:lang w:val="en-GB"/>
              </w:rPr>
              <w:t xml:space="preserve"> be deployed to ensure programme quality and efficiency.</w:t>
            </w:r>
          </w:p>
        </w:tc>
      </w:tr>
      <w:tr w:rsidR="00D353AF" w14:paraId="124CC764" w14:textId="77777777" w:rsidTr="1AE3B657">
        <w:tc>
          <w:tcPr>
            <w:tcW w:w="9192" w:type="dxa"/>
            <w:tcBorders>
              <w:top w:val="single" w:sz="4" w:space="0" w:color="auto"/>
              <w:bottom w:val="single" w:sz="4" w:space="0" w:color="auto"/>
            </w:tcBorders>
            <w:shd w:val="clear" w:color="auto" w:fill="F2F2F2" w:themeFill="background1" w:themeFillShade="F2"/>
          </w:tcPr>
          <w:p w14:paraId="374B434F" w14:textId="1360952C" w:rsidR="00D353AF" w:rsidRDefault="00D353AF" w:rsidP="007B53D1">
            <w:pPr>
              <w:spacing w:line="300" w:lineRule="exact"/>
              <w:rPr>
                <w:b/>
                <w:i/>
                <w:iCs/>
                <w:color w:val="000000" w:themeColor="text1"/>
                <w:sz w:val="20"/>
                <w:szCs w:val="20"/>
                <w:lang w:val="en-GB"/>
              </w:rPr>
            </w:pPr>
            <w:r>
              <w:rPr>
                <w:b/>
                <w:i/>
                <w:iCs/>
                <w:color w:val="000000" w:themeColor="text1"/>
                <w:sz w:val="20"/>
                <w:szCs w:val="20"/>
                <w:lang w:val="en-GB"/>
              </w:rPr>
              <w:lastRenderedPageBreak/>
              <w:t xml:space="preserve">2.4 </w:t>
            </w:r>
            <w:r w:rsidRPr="00EC7215">
              <w:rPr>
                <w:b/>
                <w:i/>
                <w:iCs/>
                <w:color w:val="000000" w:themeColor="text1"/>
                <w:sz w:val="20"/>
                <w:szCs w:val="20"/>
                <w:lang w:val="en-GB"/>
              </w:rPr>
              <w:t>Describe how the T</w:t>
            </w:r>
            <w:r>
              <w:rPr>
                <w:b/>
                <w:i/>
                <w:iCs/>
                <w:color w:val="000000" w:themeColor="text1"/>
                <w:sz w:val="20"/>
                <w:szCs w:val="20"/>
                <w:lang w:val="en-GB"/>
              </w:rPr>
              <w:t>C</w:t>
            </w:r>
            <w:r w:rsidRPr="00EC7215">
              <w:rPr>
                <w:b/>
                <w:i/>
                <w:iCs/>
                <w:color w:val="000000" w:themeColor="text1"/>
                <w:sz w:val="20"/>
                <w:szCs w:val="20"/>
                <w:lang w:val="en-GB"/>
              </w:rPr>
              <w:t xml:space="preserve">A </w:t>
            </w:r>
            <w:r w:rsidR="00C21E0A">
              <w:rPr>
                <w:b/>
                <w:i/>
                <w:iCs/>
                <w:color w:val="000000" w:themeColor="text1"/>
                <w:sz w:val="20"/>
                <w:szCs w:val="20"/>
                <w:lang w:val="en-GB"/>
              </w:rPr>
              <w:t>support</w:t>
            </w:r>
            <w:r w:rsidRPr="00EC7215">
              <w:rPr>
                <w:b/>
                <w:i/>
                <w:iCs/>
                <w:color w:val="000000" w:themeColor="text1"/>
                <w:sz w:val="20"/>
                <w:szCs w:val="20"/>
                <w:lang w:val="en-GB"/>
              </w:rPr>
              <w:t xml:space="preserve"> will help re-establish routine </w:t>
            </w:r>
            <w:r w:rsidR="00ED107F">
              <w:rPr>
                <w:b/>
                <w:i/>
                <w:iCs/>
                <w:color w:val="000000" w:themeColor="text1"/>
                <w:sz w:val="20"/>
                <w:szCs w:val="20"/>
                <w:lang w:val="en-GB"/>
              </w:rPr>
              <w:t>immunization</w:t>
            </w:r>
            <w:r w:rsidRPr="00EC7215">
              <w:rPr>
                <w:b/>
                <w:i/>
                <w:iCs/>
                <w:color w:val="000000" w:themeColor="text1"/>
                <w:sz w:val="20"/>
                <w:szCs w:val="20"/>
                <w:lang w:val="en-GB"/>
              </w:rPr>
              <w:t xml:space="preserve"> services and any other COVID-19 related recovery activities. </w:t>
            </w:r>
          </w:p>
          <w:p w14:paraId="5D61F6FA" w14:textId="77777777" w:rsidR="00D353AF" w:rsidRPr="0041751A" w:rsidRDefault="00D353AF" w:rsidP="007B53D1">
            <w:pPr>
              <w:spacing w:line="300" w:lineRule="exact"/>
              <w:rPr>
                <w:b/>
                <w:bCs/>
                <w:i/>
                <w:iCs/>
                <w:color w:val="70AD47" w:themeColor="accent6"/>
                <w:sz w:val="20"/>
                <w:szCs w:val="20"/>
                <w:lang w:val="en-GB"/>
              </w:rPr>
            </w:pPr>
            <w:r w:rsidRPr="006C01EA">
              <w:rPr>
                <w:bCs/>
                <w:i/>
                <w:iCs/>
                <w:color w:val="000000" w:themeColor="text1"/>
                <w:sz w:val="20"/>
                <w:szCs w:val="20"/>
                <w:lang w:val="en-GB"/>
              </w:rPr>
              <w:t>P</w:t>
            </w:r>
            <w:r w:rsidRPr="006C01EA">
              <w:rPr>
                <w:bCs/>
                <w:i/>
                <w:iCs/>
                <w:sz w:val="20"/>
                <w:szCs w:val="20"/>
                <w:lang w:val="en-GB"/>
              </w:rPr>
              <w:t>lease indicate any COVID-19 related reallocation that may have occurred for previous TCA funds (if applicable); does this reallocation remain relevant for this proposal.</w:t>
            </w:r>
          </w:p>
        </w:tc>
      </w:tr>
      <w:tr w:rsidR="00D353AF" w14:paraId="14D7F47D" w14:textId="77777777" w:rsidTr="1AE3B657">
        <w:tc>
          <w:tcPr>
            <w:tcW w:w="9192" w:type="dxa"/>
            <w:tcBorders>
              <w:top w:val="single" w:sz="4" w:space="0" w:color="auto"/>
              <w:left w:val="single" w:sz="4" w:space="0" w:color="auto"/>
              <w:bottom w:val="single" w:sz="4" w:space="0" w:color="auto"/>
              <w:right w:val="single" w:sz="4" w:space="0" w:color="auto"/>
            </w:tcBorders>
          </w:tcPr>
          <w:p w14:paraId="2689F064" w14:textId="54EBACF9" w:rsidR="00D353AF" w:rsidRDefault="001308A7" w:rsidP="00437508">
            <w:pPr>
              <w:spacing w:line="300" w:lineRule="exact"/>
              <w:jc w:val="both"/>
              <w:rPr>
                <w:color w:val="92D050"/>
                <w:lang w:val="en-GB"/>
              </w:rPr>
            </w:pPr>
            <w:r w:rsidRPr="00437508">
              <w:rPr>
                <w:color w:val="4472C4" w:themeColor="accent1"/>
                <w:lang w:val="en-GB"/>
              </w:rPr>
              <w:t xml:space="preserve">One of the major objectives of the EPI Programme is to extend </w:t>
            </w:r>
            <w:r w:rsidR="00ED107F" w:rsidRPr="00437508">
              <w:rPr>
                <w:color w:val="4472C4" w:themeColor="accent1"/>
                <w:lang w:val="en-GB"/>
              </w:rPr>
              <w:t>immunization</w:t>
            </w:r>
            <w:r w:rsidRPr="00437508">
              <w:rPr>
                <w:color w:val="4472C4" w:themeColor="accent1"/>
                <w:lang w:val="en-GB"/>
              </w:rPr>
              <w:t xml:space="preserve"> services to reach zero-dose, </w:t>
            </w:r>
            <w:proofErr w:type="spellStart"/>
            <w:r w:rsidRPr="00437508">
              <w:rPr>
                <w:color w:val="4472C4" w:themeColor="accent1"/>
                <w:lang w:val="en-GB"/>
              </w:rPr>
              <w:t>underimmunised</w:t>
            </w:r>
            <w:proofErr w:type="spellEnd"/>
            <w:r w:rsidRPr="00437508">
              <w:rPr>
                <w:color w:val="4472C4" w:themeColor="accent1"/>
                <w:lang w:val="en-GB"/>
              </w:rPr>
              <w:t xml:space="preserve"> children and missed communities across the country using innovative strategies including digital microplanning. Through this activity</w:t>
            </w:r>
            <w:r w:rsidR="00437508">
              <w:rPr>
                <w:color w:val="4472C4" w:themeColor="accent1"/>
                <w:lang w:val="en-GB"/>
              </w:rPr>
              <w:t>,</w:t>
            </w:r>
            <w:r w:rsidRPr="00437508">
              <w:rPr>
                <w:color w:val="4472C4" w:themeColor="accent1"/>
                <w:lang w:val="en-GB"/>
              </w:rPr>
              <w:t xml:space="preserve"> under-served communities will be identified and subsequently, </w:t>
            </w:r>
            <w:r w:rsidR="00643B7C" w:rsidRPr="00437508">
              <w:rPr>
                <w:color w:val="4472C4" w:themeColor="accent1"/>
                <w:lang w:val="en-GB"/>
              </w:rPr>
              <w:t>new vaccination sites will be established. These newly established vaccination sites will be used to deploy routine EPI vaccines</w:t>
            </w:r>
            <w:r w:rsidR="00437508">
              <w:rPr>
                <w:color w:val="4472C4" w:themeColor="accent1"/>
                <w:lang w:val="en-GB"/>
              </w:rPr>
              <w:t xml:space="preserve"> and</w:t>
            </w:r>
            <w:r w:rsidR="00643B7C" w:rsidRPr="00437508">
              <w:rPr>
                <w:color w:val="4472C4" w:themeColor="accent1"/>
                <w:lang w:val="en-GB"/>
              </w:rPr>
              <w:t xml:space="preserve"> COVID-19 vaccines and will also serve as vaccination sites during the MR campaign.</w:t>
            </w:r>
            <w:r w:rsidRPr="00437508">
              <w:rPr>
                <w:color w:val="4472C4" w:themeColor="accent1"/>
                <w:lang w:val="en-GB"/>
              </w:rPr>
              <w:t xml:space="preserve"> </w:t>
            </w:r>
          </w:p>
        </w:tc>
      </w:tr>
      <w:tr w:rsidR="00D353AF" w14:paraId="7CB90E66" w14:textId="77777777" w:rsidTr="1AE3B657">
        <w:tc>
          <w:tcPr>
            <w:tcW w:w="9192" w:type="dxa"/>
            <w:tcBorders>
              <w:top w:val="single" w:sz="4" w:space="0" w:color="auto"/>
              <w:bottom w:val="single" w:sz="4" w:space="0" w:color="auto"/>
            </w:tcBorders>
            <w:shd w:val="clear" w:color="auto" w:fill="F2F2F2" w:themeFill="background1" w:themeFillShade="F2"/>
          </w:tcPr>
          <w:p w14:paraId="341DF7D2" w14:textId="1A038B0D" w:rsidR="00D353AF" w:rsidRPr="00777960" w:rsidRDefault="00D353AF" w:rsidP="007B53D1">
            <w:pPr>
              <w:spacing w:line="300" w:lineRule="exact"/>
              <w:rPr>
                <w:bCs/>
                <w:i/>
                <w:iCs/>
                <w:sz w:val="20"/>
                <w:szCs w:val="20"/>
                <w:lang w:val="en-GB"/>
              </w:rPr>
            </w:pPr>
            <w:r>
              <w:rPr>
                <w:b/>
                <w:i/>
                <w:iCs/>
                <w:color w:val="000000" w:themeColor="text1"/>
                <w:sz w:val="20"/>
                <w:szCs w:val="20"/>
                <w:lang w:val="en-GB"/>
              </w:rPr>
              <w:t xml:space="preserve">2.5 </w:t>
            </w:r>
            <w:r w:rsidRPr="00777960">
              <w:rPr>
                <w:b/>
                <w:i/>
                <w:iCs/>
                <w:color w:val="000000" w:themeColor="text1"/>
                <w:sz w:val="20"/>
                <w:szCs w:val="20"/>
                <w:lang w:val="en-GB"/>
              </w:rPr>
              <w:t xml:space="preserve">Describe how the </w:t>
            </w:r>
            <w:r>
              <w:rPr>
                <w:b/>
                <w:i/>
                <w:iCs/>
                <w:color w:val="000000" w:themeColor="text1"/>
                <w:sz w:val="20"/>
                <w:szCs w:val="20"/>
                <w:lang w:val="en-GB"/>
              </w:rPr>
              <w:t>TCA</w:t>
            </w:r>
            <w:r w:rsidRPr="00777960">
              <w:rPr>
                <w:b/>
                <w:i/>
                <w:iCs/>
                <w:color w:val="000000" w:themeColor="text1"/>
                <w:sz w:val="20"/>
                <w:szCs w:val="20"/>
                <w:lang w:val="en-GB"/>
              </w:rPr>
              <w:t xml:space="preserve"> </w:t>
            </w:r>
            <w:r w:rsidR="00630A26">
              <w:rPr>
                <w:b/>
                <w:i/>
                <w:iCs/>
                <w:color w:val="000000" w:themeColor="text1"/>
                <w:sz w:val="20"/>
                <w:szCs w:val="20"/>
                <w:lang w:val="en-GB"/>
              </w:rPr>
              <w:t>support will</w:t>
            </w:r>
            <w:r w:rsidRPr="00777960">
              <w:rPr>
                <w:b/>
                <w:i/>
                <w:iCs/>
                <w:color w:val="000000" w:themeColor="text1"/>
                <w:sz w:val="20"/>
                <w:szCs w:val="20"/>
                <w:lang w:val="en-GB"/>
              </w:rPr>
              <w:t xml:space="preserve"> identif</w:t>
            </w:r>
            <w:r w:rsidR="00630A26">
              <w:rPr>
                <w:b/>
                <w:i/>
                <w:iCs/>
                <w:color w:val="000000" w:themeColor="text1"/>
                <w:sz w:val="20"/>
                <w:szCs w:val="20"/>
                <w:lang w:val="en-GB"/>
              </w:rPr>
              <w:t>y</w:t>
            </w:r>
            <w:r w:rsidRPr="00777960">
              <w:rPr>
                <w:b/>
                <w:i/>
                <w:iCs/>
                <w:color w:val="000000" w:themeColor="text1"/>
                <w:sz w:val="20"/>
                <w:szCs w:val="20"/>
                <w:lang w:val="en-GB"/>
              </w:rPr>
              <w:t xml:space="preserve"> and/or overcome already known gender-related </w:t>
            </w:r>
            <w:r>
              <w:rPr>
                <w:b/>
                <w:i/>
                <w:iCs/>
                <w:color w:val="000000" w:themeColor="text1"/>
                <w:sz w:val="20"/>
                <w:szCs w:val="20"/>
                <w:lang w:val="en-GB"/>
              </w:rPr>
              <w:t xml:space="preserve">or other </w:t>
            </w:r>
            <w:r w:rsidRPr="00777960">
              <w:rPr>
                <w:b/>
                <w:i/>
                <w:iCs/>
                <w:color w:val="000000" w:themeColor="text1"/>
                <w:sz w:val="20"/>
                <w:szCs w:val="20"/>
                <w:lang w:val="en-GB"/>
              </w:rPr>
              <w:t xml:space="preserve">barriers to </w:t>
            </w:r>
            <w:r w:rsidR="00ED107F">
              <w:rPr>
                <w:b/>
                <w:i/>
                <w:iCs/>
                <w:color w:val="000000" w:themeColor="text1"/>
                <w:sz w:val="20"/>
                <w:szCs w:val="20"/>
                <w:lang w:val="en-GB"/>
              </w:rPr>
              <w:t>immunization</w:t>
            </w:r>
            <w:r w:rsidRPr="00777960">
              <w:rPr>
                <w:b/>
                <w:i/>
                <w:iCs/>
                <w:color w:val="000000" w:themeColor="text1"/>
                <w:sz w:val="20"/>
                <w:szCs w:val="20"/>
                <w:lang w:val="en-GB"/>
              </w:rPr>
              <w:t xml:space="preserve"> activities. Please respond </w:t>
            </w:r>
            <w:r w:rsidR="00A733BF">
              <w:rPr>
                <w:b/>
                <w:i/>
                <w:iCs/>
                <w:color w:val="000000" w:themeColor="text1"/>
                <w:sz w:val="20"/>
                <w:szCs w:val="20"/>
                <w:lang w:val="en-GB"/>
              </w:rPr>
              <w:t xml:space="preserve">to </w:t>
            </w:r>
            <w:r w:rsidRPr="00777960">
              <w:rPr>
                <w:b/>
                <w:i/>
                <w:iCs/>
                <w:color w:val="000000" w:themeColor="text1"/>
                <w:sz w:val="20"/>
                <w:szCs w:val="20"/>
                <w:lang w:val="en-GB"/>
              </w:rPr>
              <w:t>how each partner can help address this.</w:t>
            </w:r>
          </w:p>
        </w:tc>
      </w:tr>
      <w:tr w:rsidR="00D353AF" w14:paraId="251D4101" w14:textId="77777777" w:rsidTr="1AE3B657">
        <w:trPr>
          <w:trHeight w:val="103"/>
        </w:trPr>
        <w:tc>
          <w:tcPr>
            <w:tcW w:w="9192" w:type="dxa"/>
            <w:tcBorders>
              <w:top w:val="single" w:sz="4" w:space="0" w:color="auto"/>
              <w:left w:val="single" w:sz="4" w:space="0" w:color="auto"/>
              <w:bottom w:val="single" w:sz="4" w:space="0" w:color="auto"/>
              <w:right w:val="single" w:sz="4" w:space="0" w:color="auto"/>
            </w:tcBorders>
            <w:shd w:val="clear" w:color="auto" w:fill="auto"/>
          </w:tcPr>
          <w:p w14:paraId="54DCFCEC" w14:textId="0E0DAB7C" w:rsidR="00643B7C" w:rsidRPr="00437508" w:rsidRDefault="00C50BD5" w:rsidP="00437508">
            <w:pPr>
              <w:spacing w:line="300" w:lineRule="exact"/>
              <w:jc w:val="both"/>
              <w:rPr>
                <w:color w:val="4472C4" w:themeColor="accent1"/>
                <w:lang w:val="en-GB"/>
              </w:rPr>
            </w:pPr>
            <w:r w:rsidRPr="00437508">
              <w:rPr>
                <w:color w:val="4472C4" w:themeColor="accent1"/>
                <w:lang w:val="en-GB"/>
              </w:rPr>
              <w:lastRenderedPageBreak/>
              <w:t xml:space="preserve">This TCA will support address access and equity gaps through the development </w:t>
            </w:r>
            <w:r w:rsidR="00437508">
              <w:rPr>
                <w:color w:val="4472C4" w:themeColor="accent1"/>
                <w:lang w:val="en-GB"/>
              </w:rPr>
              <w:t xml:space="preserve">of </w:t>
            </w:r>
            <w:r w:rsidRPr="00437508">
              <w:rPr>
                <w:color w:val="4472C4" w:themeColor="accent1"/>
                <w:lang w:val="en-GB"/>
              </w:rPr>
              <w:t>strategies and implementation of activities to reach under-served and zero-dose children. This will be done by bringing immunization services to the door-step of such communities and reduce the financial burden to the client. Through this TCA, the country plans to embark on a major local resource mobilization strategy to establish a predictable and sustainable source of funding for immunization activities including cost of vaccines.</w:t>
            </w:r>
          </w:p>
          <w:p w14:paraId="716CB868" w14:textId="77777777" w:rsidR="00643B7C" w:rsidRPr="00437508" w:rsidRDefault="00643B7C" w:rsidP="00437508">
            <w:pPr>
              <w:spacing w:line="300" w:lineRule="exact"/>
              <w:jc w:val="both"/>
              <w:rPr>
                <w:color w:val="4472C4" w:themeColor="accent1"/>
                <w:lang w:val="en-GB"/>
              </w:rPr>
            </w:pPr>
          </w:p>
          <w:p w14:paraId="6F7AFBE4" w14:textId="77777777" w:rsidR="00D353AF" w:rsidRDefault="00643B7C" w:rsidP="00437508">
            <w:pPr>
              <w:spacing w:line="300" w:lineRule="exact"/>
              <w:jc w:val="both"/>
              <w:rPr>
                <w:color w:val="4472C4" w:themeColor="accent1"/>
                <w:lang w:val="en-GB"/>
              </w:rPr>
            </w:pPr>
            <w:r w:rsidRPr="00437508">
              <w:rPr>
                <w:color w:val="4472C4" w:themeColor="accent1"/>
                <w:lang w:val="en-GB"/>
              </w:rPr>
              <w:t>There are no known gender-related barriers to immunization in Ghana; be it routine or campaigns; in children and among adults/life-course.</w:t>
            </w:r>
            <w:r w:rsidR="00C50BD5" w:rsidRPr="00437508">
              <w:rPr>
                <w:color w:val="4472C4" w:themeColor="accent1"/>
                <w:lang w:val="en-GB"/>
              </w:rPr>
              <w:t xml:space="preserve"> Through targeted surveys, the country will continue to monitor gender-disaggregated data to identify any significant differences and take steps to address them.</w:t>
            </w:r>
          </w:p>
          <w:p w14:paraId="1162AE3F" w14:textId="77777777" w:rsidR="00BD5170" w:rsidRDefault="00BD5170" w:rsidP="00437508">
            <w:pPr>
              <w:spacing w:line="300" w:lineRule="exact"/>
              <w:jc w:val="both"/>
              <w:rPr>
                <w:b/>
                <w:bCs/>
                <w:i/>
                <w:iCs/>
                <w:color w:val="4472C4" w:themeColor="accent1"/>
                <w:lang w:val="en-GB"/>
              </w:rPr>
            </w:pPr>
          </w:p>
          <w:p w14:paraId="626A5A76" w14:textId="2681F1AE" w:rsidR="00BD5170" w:rsidRPr="00BD5170" w:rsidRDefault="00BD5170" w:rsidP="00437508">
            <w:pPr>
              <w:spacing w:line="300" w:lineRule="exact"/>
              <w:jc w:val="both"/>
              <w:rPr>
                <w:sz w:val="20"/>
                <w:szCs w:val="20"/>
              </w:rPr>
            </w:pPr>
            <w:r w:rsidRPr="00BD5170">
              <w:rPr>
                <w:color w:val="4472C4" w:themeColor="accent1"/>
                <w:lang w:val="en-GB"/>
              </w:rPr>
              <w:t>Gender-related activities will be mainly supported by WHO, UNICEF and PATH</w:t>
            </w:r>
          </w:p>
        </w:tc>
      </w:tr>
      <w:tr w:rsidR="00D353AF" w14:paraId="2605CFC3" w14:textId="77777777" w:rsidTr="1AE3B657">
        <w:tc>
          <w:tcPr>
            <w:tcW w:w="9192" w:type="dxa"/>
            <w:tcBorders>
              <w:top w:val="single" w:sz="4" w:space="0" w:color="auto"/>
              <w:bottom w:val="single" w:sz="4" w:space="0" w:color="auto"/>
            </w:tcBorders>
            <w:shd w:val="clear" w:color="auto" w:fill="F2F2F2" w:themeFill="background1" w:themeFillShade="F2"/>
          </w:tcPr>
          <w:p w14:paraId="71D225EC" w14:textId="23CD8FD6" w:rsidR="00D353AF" w:rsidRPr="008C7464" w:rsidRDefault="00D353AF" w:rsidP="007B53D1">
            <w:pPr>
              <w:spacing w:line="300" w:lineRule="exact"/>
              <w:rPr>
                <w:b/>
                <w:bCs/>
                <w:color w:val="92D050"/>
                <w:lang w:val="en-GB"/>
              </w:rPr>
            </w:pPr>
            <w:r>
              <w:rPr>
                <w:b/>
                <w:bCs/>
                <w:i/>
                <w:iCs/>
                <w:sz w:val="20"/>
                <w:szCs w:val="20"/>
              </w:rPr>
              <w:t xml:space="preserve">2.6 </w:t>
            </w:r>
            <w:r w:rsidRPr="00CF3BC4">
              <w:rPr>
                <w:b/>
                <w:bCs/>
                <w:i/>
                <w:iCs/>
                <w:sz w:val="20"/>
                <w:szCs w:val="20"/>
              </w:rPr>
              <w:t xml:space="preserve">Describe </w:t>
            </w:r>
            <w:r>
              <w:rPr>
                <w:b/>
                <w:bCs/>
                <w:i/>
                <w:iCs/>
                <w:sz w:val="20"/>
                <w:szCs w:val="20"/>
              </w:rPr>
              <w:t xml:space="preserve">how </w:t>
            </w:r>
            <w:r w:rsidRPr="00CF3BC4">
              <w:rPr>
                <w:b/>
                <w:bCs/>
                <w:i/>
                <w:iCs/>
                <w:sz w:val="20"/>
                <w:szCs w:val="20"/>
              </w:rPr>
              <w:t xml:space="preserve">you </w:t>
            </w:r>
            <w:proofErr w:type="spellStart"/>
            <w:r w:rsidRPr="00CF3BC4">
              <w:rPr>
                <w:b/>
                <w:bCs/>
                <w:i/>
                <w:iCs/>
                <w:sz w:val="20"/>
                <w:szCs w:val="20"/>
              </w:rPr>
              <w:t>prioritise</w:t>
            </w:r>
            <w:r>
              <w:rPr>
                <w:b/>
                <w:bCs/>
                <w:i/>
                <w:iCs/>
                <w:sz w:val="20"/>
                <w:szCs w:val="20"/>
              </w:rPr>
              <w:t>d</w:t>
            </w:r>
            <w:proofErr w:type="spellEnd"/>
            <w:r w:rsidRPr="00CF3BC4">
              <w:rPr>
                <w:b/>
                <w:bCs/>
                <w:i/>
                <w:iCs/>
                <w:sz w:val="20"/>
                <w:szCs w:val="20"/>
              </w:rPr>
              <w:t xml:space="preserve"> the interventions to be supported by Gavi</w:t>
            </w:r>
            <w:r w:rsidR="008839F8">
              <w:rPr>
                <w:b/>
                <w:bCs/>
                <w:i/>
                <w:iCs/>
                <w:sz w:val="20"/>
                <w:szCs w:val="20"/>
              </w:rPr>
              <w:t xml:space="preserve"> under requested TCA support</w:t>
            </w:r>
            <w:r>
              <w:rPr>
                <w:b/>
                <w:bCs/>
                <w:i/>
                <w:iCs/>
                <w:sz w:val="20"/>
                <w:szCs w:val="20"/>
              </w:rPr>
              <w:t>.</w:t>
            </w:r>
          </w:p>
        </w:tc>
      </w:tr>
      <w:tr w:rsidR="00D353AF" w14:paraId="4C4783D9" w14:textId="77777777" w:rsidTr="1AE3B657">
        <w:tc>
          <w:tcPr>
            <w:tcW w:w="9192" w:type="dxa"/>
            <w:tcBorders>
              <w:top w:val="single" w:sz="4" w:space="0" w:color="auto"/>
              <w:left w:val="single" w:sz="4" w:space="0" w:color="auto"/>
              <w:bottom w:val="single" w:sz="4" w:space="0" w:color="auto"/>
              <w:right w:val="single" w:sz="4" w:space="0" w:color="auto"/>
            </w:tcBorders>
          </w:tcPr>
          <w:p w14:paraId="3767EF04" w14:textId="5F38A0E6" w:rsidR="006C4035" w:rsidRPr="00437508" w:rsidRDefault="006C4035" w:rsidP="00437508">
            <w:pPr>
              <w:spacing w:line="300" w:lineRule="exact"/>
              <w:jc w:val="both"/>
              <w:rPr>
                <w:color w:val="4472C4" w:themeColor="accent1"/>
                <w:lang w:val="en-GB"/>
              </w:rPr>
            </w:pPr>
            <w:r w:rsidRPr="00437508">
              <w:rPr>
                <w:color w:val="4472C4" w:themeColor="accent1"/>
                <w:lang w:val="en-GB"/>
              </w:rPr>
              <w:t>The EPI Programme heavily relies on external support and Gavi has been the main financier</w:t>
            </w:r>
            <w:r w:rsidR="00497067" w:rsidRPr="00437508">
              <w:rPr>
                <w:color w:val="4472C4" w:themeColor="accent1"/>
                <w:lang w:val="en-GB"/>
              </w:rPr>
              <w:t xml:space="preserve">. Gavi provides funds for </w:t>
            </w:r>
            <w:r w:rsidRPr="00437508">
              <w:rPr>
                <w:color w:val="4472C4" w:themeColor="accent1"/>
                <w:lang w:val="en-GB"/>
              </w:rPr>
              <w:t>vaccines and devices under co-financing agreement</w:t>
            </w:r>
            <w:r w:rsidR="00497067" w:rsidRPr="00437508">
              <w:rPr>
                <w:color w:val="4472C4" w:themeColor="accent1"/>
                <w:lang w:val="en-GB"/>
              </w:rPr>
              <w:t>, n</w:t>
            </w:r>
            <w:r w:rsidRPr="00437508">
              <w:rPr>
                <w:color w:val="4472C4" w:themeColor="accent1"/>
                <w:lang w:val="en-GB"/>
              </w:rPr>
              <w:t>ew vaccine introduction grants</w:t>
            </w:r>
            <w:r w:rsidR="00497067" w:rsidRPr="00437508">
              <w:rPr>
                <w:color w:val="4472C4" w:themeColor="accent1"/>
                <w:lang w:val="en-GB"/>
              </w:rPr>
              <w:t>, o</w:t>
            </w:r>
            <w:r w:rsidRPr="00437508">
              <w:rPr>
                <w:color w:val="4472C4" w:themeColor="accent1"/>
                <w:lang w:val="en-GB"/>
              </w:rPr>
              <w:t>perational cost for campaigns</w:t>
            </w:r>
            <w:r w:rsidR="00497067" w:rsidRPr="00437508">
              <w:rPr>
                <w:color w:val="4472C4" w:themeColor="accent1"/>
                <w:lang w:val="en-GB"/>
              </w:rPr>
              <w:t xml:space="preserve"> and support to strengthen the h</w:t>
            </w:r>
            <w:r w:rsidRPr="00437508">
              <w:rPr>
                <w:color w:val="4472C4" w:themeColor="accent1"/>
                <w:lang w:val="en-GB"/>
              </w:rPr>
              <w:t xml:space="preserve">ealth </w:t>
            </w:r>
            <w:r w:rsidR="00497067" w:rsidRPr="00437508">
              <w:rPr>
                <w:color w:val="4472C4" w:themeColor="accent1"/>
                <w:lang w:val="en-GB"/>
              </w:rPr>
              <w:t>s</w:t>
            </w:r>
            <w:r w:rsidRPr="00437508">
              <w:rPr>
                <w:color w:val="4472C4" w:themeColor="accent1"/>
                <w:lang w:val="en-GB"/>
              </w:rPr>
              <w:t>ystem</w:t>
            </w:r>
            <w:r w:rsidR="00497067" w:rsidRPr="00437508">
              <w:rPr>
                <w:color w:val="4472C4" w:themeColor="accent1"/>
                <w:lang w:val="en-GB"/>
              </w:rPr>
              <w:t xml:space="preserve"> for effective and efficient service delivery.</w:t>
            </w:r>
          </w:p>
          <w:p w14:paraId="1A8186FA" w14:textId="7623DC1D" w:rsidR="00497067" w:rsidRPr="00437508" w:rsidRDefault="00497067" w:rsidP="00437508">
            <w:pPr>
              <w:spacing w:line="300" w:lineRule="exact"/>
              <w:jc w:val="both"/>
              <w:rPr>
                <w:color w:val="4472C4" w:themeColor="accent1"/>
                <w:lang w:val="en-GB"/>
              </w:rPr>
            </w:pPr>
          </w:p>
          <w:p w14:paraId="48003D96" w14:textId="4B0E89E0" w:rsidR="00D353AF" w:rsidRDefault="00497067" w:rsidP="00437508">
            <w:pPr>
              <w:spacing w:line="300" w:lineRule="exact"/>
              <w:jc w:val="both"/>
              <w:rPr>
                <w:color w:val="92D050"/>
                <w:lang w:val="en-GB"/>
              </w:rPr>
            </w:pPr>
            <w:r w:rsidRPr="00437508">
              <w:rPr>
                <w:color w:val="4472C4" w:themeColor="accent1"/>
                <w:lang w:val="en-GB"/>
              </w:rPr>
              <w:t xml:space="preserve">Gavi activities are always high on the priority list of the EPI Programme and these activities are mostly funded. TCA partners will also keep track of implementation of </w:t>
            </w:r>
            <w:r w:rsidR="006B4351" w:rsidRPr="00437508">
              <w:rPr>
                <w:color w:val="4472C4" w:themeColor="accent1"/>
                <w:lang w:val="en-GB"/>
              </w:rPr>
              <w:t>Gavi-funded activities through regular meetings.</w:t>
            </w:r>
          </w:p>
        </w:tc>
      </w:tr>
    </w:tbl>
    <w:p w14:paraId="4DAF51E8" w14:textId="0B86255A" w:rsidR="007172E8" w:rsidRDefault="007172E8"/>
    <w:p w14:paraId="058C1B7B" w14:textId="4CE56EFB" w:rsidR="007172E8" w:rsidRPr="00264FC1" w:rsidRDefault="007172E8" w:rsidP="00CE1F57">
      <w:pPr>
        <w:pStyle w:val="ListParagraph"/>
        <w:numPr>
          <w:ilvl w:val="0"/>
          <w:numId w:val="5"/>
        </w:numPr>
        <w:spacing w:line="300" w:lineRule="exact"/>
        <w:ind w:left="426"/>
        <w:rPr>
          <w:b/>
          <w:bCs/>
          <w:color w:val="70AD47" w:themeColor="accent6"/>
          <w:sz w:val="26"/>
          <w:szCs w:val="26"/>
          <w:lang w:val="en-GB"/>
        </w:rPr>
      </w:pPr>
      <w:r w:rsidRPr="00264FC1">
        <w:rPr>
          <w:b/>
          <w:bCs/>
          <w:color w:val="70AD47" w:themeColor="accent6"/>
          <w:sz w:val="26"/>
          <w:szCs w:val="26"/>
          <w:lang w:val="en-GB"/>
        </w:rPr>
        <w:t>Partner di</w:t>
      </w:r>
      <w:r w:rsidR="00067D86" w:rsidRPr="00264FC1">
        <w:rPr>
          <w:b/>
          <w:bCs/>
          <w:color w:val="70AD47" w:themeColor="accent6"/>
          <w:sz w:val="26"/>
          <w:szCs w:val="26"/>
          <w:lang w:val="en-GB"/>
        </w:rPr>
        <w:t>versification</w:t>
      </w:r>
      <w:r w:rsidR="0033192A">
        <w:rPr>
          <w:b/>
          <w:bCs/>
          <w:color w:val="70AD47" w:themeColor="accent6"/>
          <w:sz w:val="26"/>
          <w:szCs w:val="26"/>
          <w:lang w:val="en-GB"/>
        </w:rPr>
        <w:t xml:space="preserve"> (0.5 page)</w:t>
      </w:r>
    </w:p>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0"/>
        <w:gridCol w:w="22"/>
      </w:tblGrid>
      <w:tr w:rsidR="00E80A44" w14:paraId="3D086D68" w14:textId="77777777" w:rsidTr="1AE3B657">
        <w:trPr>
          <w:gridAfter w:val="1"/>
          <w:wAfter w:w="22" w:type="dxa"/>
          <w:trHeight w:val="846"/>
        </w:trPr>
        <w:tc>
          <w:tcPr>
            <w:tcW w:w="9170" w:type="dxa"/>
            <w:shd w:val="clear" w:color="auto" w:fill="F2F2F2" w:themeFill="background1" w:themeFillShade="F2"/>
          </w:tcPr>
          <w:p w14:paraId="642D6855" w14:textId="456E99CC" w:rsidR="00E80A44" w:rsidRDefault="006D3657" w:rsidP="00E80A44">
            <w:pPr>
              <w:spacing w:line="300" w:lineRule="exact"/>
              <w:rPr>
                <w:color w:val="92D050"/>
                <w:lang w:val="en-GB"/>
              </w:rPr>
            </w:pPr>
            <w:r>
              <w:rPr>
                <w:b/>
                <w:i/>
                <w:iCs/>
                <w:color w:val="000000" w:themeColor="text1"/>
                <w:sz w:val="20"/>
                <w:szCs w:val="20"/>
                <w:lang w:val="en-GB"/>
              </w:rPr>
              <w:t>3.1</w:t>
            </w:r>
            <w:r w:rsidR="00E80A44">
              <w:rPr>
                <w:b/>
                <w:i/>
                <w:iCs/>
                <w:color w:val="000000" w:themeColor="text1"/>
                <w:sz w:val="20"/>
                <w:szCs w:val="20"/>
                <w:lang w:val="en-GB"/>
              </w:rPr>
              <w:t xml:space="preserve"> </w:t>
            </w:r>
            <w:r w:rsidR="00E80A44" w:rsidRPr="0067359C">
              <w:rPr>
                <w:b/>
                <w:i/>
                <w:iCs/>
                <w:color w:val="000000" w:themeColor="text1"/>
                <w:sz w:val="20"/>
                <w:szCs w:val="20"/>
                <w:lang w:val="en-GB"/>
              </w:rPr>
              <w:t xml:space="preserve">Describe which partners you have already </w:t>
            </w:r>
            <w:r w:rsidR="005E728F">
              <w:rPr>
                <w:b/>
                <w:i/>
                <w:iCs/>
                <w:color w:val="000000" w:themeColor="text1"/>
                <w:sz w:val="20"/>
                <w:szCs w:val="20"/>
                <w:lang w:val="en-GB"/>
              </w:rPr>
              <w:t>mapped</w:t>
            </w:r>
            <w:r w:rsidR="00E80A44" w:rsidRPr="0067359C">
              <w:rPr>
                <w:b/>
                <w:i/>
                <w:iCs/>
                <w:color w:val="000000" w:themeColor="text1"/>
                <w:sz w:val="20"/>
                <w:szCs w:val="20"/>
                <w:lang w:val="en-GB"/>
              </w:rPr>
              <w:t xml:space="preserve">, including Alliance and </w:t>
            </w:r>
            <w:r w:rsidR="00E80A44" w:rsidRPr="57C08CD4">
              <w:rPr>
                <w:b/>
                <w:bCs/>
                <w:i/>
                <w:iCs/>
                <w:color w:val="000000" w:themeColor="text1"/>
                <w:sz w:val="20"/>
                <w:szCs w:val="20"/>
                <w:lang w:val="en-GB"/>
              </w:rPr>
              <w:t>Expanded</w:t>
            </w:r>
            <w:r w:rsidR="00E80A44" w:rsidRPr="0067359C">
              <w:rPr>
                <w:b/>
                <w:i/>
                <w:iCs/>
                <w:color w:val="000000" w:themeColor="text1"/>
                <w:sz w:val="20"/>
                <w:szCs w:val="20"/>
                <w:lang w:val="en-GB"/>
              </w:rPr>
              <w:t xml:space="preserve"> partners </w:t>
            </w:r>
            <w:r w:rsidR="00FD6F4C">
              <w:rPr>
                <w:b/>
                <w:bCs/>
                <w:i/>
                <w:iCs/>
                <w:color w:val="000000" w:themeColor="text1"/>
                <w:sz w:val="20"/>
                <w:szCs w:val="20"/>
                <w:lang w:val="en-GB"/>
              </w:rPr>
              <w:t xml:space="preserve">(including </w:t>
            </w:r>
            <w:r w:rsidR="009A2D50">
              <w:rPr>
                <w:b/>
                <w:bCs/>
                <w:i/>
                <w:iCs/>
                <w:color w:val="000000" w:themeColor="text1"/>
                <w:sz w:val="20"/>
                <w:szCs w:val="20"/>
                <w:lang w:val="en-GB"/>
              </w:rPr>
              <w:t>Global Partners,</w:t>
            </w:r>
            <w:r w:rsidR="00FD6F4C">
              <w:rPr>
                <w:b/>
                <w:bCs/>
                <w:i/>
                <w:iCs/>
                <w:color w:val="000000" w:themeColor="text1"/>
                <w:sz w:val="20"/>
                <w:szCs w:val="20"/>
                <w:lang w:val="en-GB"/>
              </w:rPr>
              <w:t xml:space="preserve"> </w:t>
            </w:r>
            <w:r w:rsidR="00E80A44" w:rsidRPr="57C08CD4">
              <w:rPr>
                <w:b/>
                <w:bCs/>
                <w:i/>
                <w:iCs/>
                <w:color w:val="000000" w:themeColor="text1"/>
                <w:sz w:val="20"/>
                <w:szCs w:val="20"/>
                <w:lang w:val="en-GB"/>
              </w:rPr>
              <w:t>Local Partners</w:t>
            </w:r>
            <w:r w:rsidR="00FD6F4C">
              <w:rPr>
                <w:b/>
                <w:bCs/>
                <w:i/>
                <w:iCs/>
                <w:color w:val="000000" w:themeColor="text1"/>
                <w:sz w:val="20"/>
                <w:szCs w:val="20"/>
                <w:lang w:val="en-GB"/>
              </w:rPr>
              <w:t xml:space="preserve"> and</w:t>
            </w:r>
            <w:r w:rsidR="00E80A44" w:rsidRPr="0067359C">
              <w:rPr>
                <w:b/>
                <w:i/>
                <w:iCs/>
                <w:color w:val="000000" w:themeColor="text1"/>
                <w:sz w:val="20"/>
                <w:szCs w:val="20"/>
                <w:lang w:val="en-GB"/>
              </w:rPr>
              <w:t xml:space="preserve"> CSOs</w:t>
            </w:r>
            <w:r w:rsidR="00FD6F4C">
              <w:rPr>
                <w:b/>
                <w:i/>
                <w:iCs/>
                <w:color w:val="000000" w:themeColor="text1"/>
                <w:sz w:val="20"/>
                <w:szCs w:val="20"/>
                <w:lang w:val="en-GB"/>
              </w:rPr>
              <w:t>)</w:t>
            </w:r>
            <w:r w:rsidR="00E80A44" w:rsidRPr="0067359C">
              <w:rPr>
                <w:b/>
                <w:i/>
                <w:iCs/>
                <w:color w:val="000000" w:themeColor="text1"/>
                <w:sz w:val="20"/>
                <w:szCs w:val="20"/>
                <w:lang w:val="en-GB"/>
              </w:rPr>
              <w:t xml:space="preserve"> to support the activit</w:t>
            </w:r>
            <w:r w:rsidR="00EB769C">
              <w:rPr>
                <w:b/>
                <w:i/>
                <w:iCs/>
                <w:color w:val="000000" w:themeColor="text1"/>
                <w:sz w:val="20"/>
                <w:szCs w:val="20"/>
                <w:lang w:val="en-GB"/>
              </w:rPr>
              <w:t>ies</w:t>
            </w:r>
            <w:r w:rsidR="00E80A44" w:rsidRPr="0067359C">
              <w:rPr>
                <w:b/>
                <w:i/>
                <w:iCs/>
                <w:color w:val="000000" w:themeColor="text1"/>
                <w:sz w:val="20"/>
                <w:szCs w:val="20"/>
                <w:lang w:val="en-GB"/>
              </w:rPr>
              <w:t xml:space="preserve"> implementation?</w:t>
            </w:r>
            <w:r w:rsidR="005D0F9E">
              <w:rPr>
                <w:b/>
                <w:bCs/>
                <w:i/>
                <w:iCs/>
                <w:sz w:val="20"/>
                <w:szCs w:val="20"/>
                <w:lang w:val="en-GB"/>
              </w:rPr>
              <w:t xml:space="preserve"> (Refer to the</w:t>
            </w:r>
            <w:r w:rsidR="007F2F8B">
              <w:rPr>
                <w:b/>
                <w:bCs/>
                <w:i/>
                <w:iCs/>
                <w:sz w:val="20"/>
                <w:szCs w:val="20"/>
                <w:lang w:val="en-GB"/>
              </w:rPr>
              <w:t xml:space="preserve"> </w:t>
            </w:r>
            <w:hyperlink r:id="rId14" w:history="1">
              <w:r w:rsidR="007F2F8B" w:rsidRPr="007F2F8B">
                <w:rPr>
                  <w:rStyle w:val="Hyperlink"/>
                  <w:b/>
                  <w:bCs/>
                  <w:i/>
                  <w:iCs/>
                  <w:sz w:val="20"/>
                  <w:szCs w:val="20"/>
                  <w:lang w:val="en-GB"/>
                </w:rPr>
                <w:t>PEF Targeted Country Assistance (TCA) Guidance for 2022-2025 Multi-Year Planning</w:t>
              </w:r>
            </w:hyperlink>
            <w:r w:rsidR="005D0F9E">
              <w:rPr>
                <w:b/>
                <w:bCs/>
                <w:i/>
                <w:iCs/>
                <w:sz w:val="20"/>
                <w:szCs w:val="20"/>
                <w:lang w:val="en-GB"/>
              </w:rPr>
              <w:t xml:space="preserve"> for the type of institutions considered global versus local partners and CSOs.)</w:t>
            </w:r>
          </w:p>
        </w:tc>
      </w:tr>
      <w:tr w:rsidR="00520598" w14:paraId="62BDF2A5" w14:textId="77777777" w:rsidTr="1AE3B657">
        <w:tc>
          <w:tcPr>
            <w:tcW w:w="9170" w:type="dxa"/>
            <w:gridSpan w:val="2"/>
            <w:tcBorders>
              <w:top w:val="single" w:sz="4" w:space="0" w:color="auto"/>
              <w:left w:val="single" w:sz="4" w:space="0" w:color="auto"/>
              <w:bottom w:val="single" w:sz="4" w:space="0" w:color="auto"/>
              <w:right w:val="single" w:sz="4" w:space="0" w:color="auto"/>
            </w:tcBorders>
          </w:tcPr>
          <w:p w14:paraId="16328A27" w14:textId="77777777" w:rsidR="00520598" w:rsidRPr="009B1D48" w:rsidRDefault="005E7DFC" w:rsidP="004B632A">
            <w:pPr>
              <w:spacing w:line="300" w:lineRule="exact"/>
              <w:rPr>
                <w:color w:val="4472C4" w:themeColor="accent1"/>
                <w:lang w:val="en-GB"/>
              </w:rPr>
            </w:pPr>
            <w:r w:rsidRPr="009B1D48">
              <w:rPr>
                <w:color w:val="4472C4" w:themeColor="accent1"/>
                <w:lang w:val="en-GB"/>
              </w:rPr>
              <w:t>The following partners have been mapped by the EPI Programme to provide technical assistance;</w:t>
            </w:r>
          </w:p>
          <w:p w14:paraId="230F3033" w14:textId="77777777" w:rsidR="005E7DFC" w:rsidRPr="009B1D48" w:rsidRDefault="005E7DFC" w:rsidP="005E7DFC">
            <w:pPr>
              <w:pStyle w:val="ListParagraph"/>
              <w:numPr>
                <w:ilvl w:val="0"/>
                <w:numId w:val="7"/>
              </w:numPr>
              <w:spacing w:line="300" w:lineRule="exact"/>
              <w:rPr>
                <w:color w:val="4472C4" w:themeColor="accent1"/>
                <w:lang w:val="en-GB"/>
              </w:rPr>
            </w:pPr>
            <w:r w:rsidRPr="009B1D48">
              <w:rPr>
                <w:color w:val="4472C4" w:themeColor="accent1"/>
                <w:lang w:val="en-GB"/>
              </w:rPr>
              <w:t xml:space="preserve">WHO – Alliance </w:t>
            </w:r>
            <w:proofErr w:type="gramStart"/>
            <w:r w:rsidRPr="009B1D48">
              <w:rPr>
                <w:color w:val="4472C4" w:themeColor="accent1"/>
                <w:lang w:val="en-GB"/>
              </w:rPr>
              <w:t>Partner</w:t>
            </w:r>
            <w:proofErr w:type="gramEnd"/>
          </w:p>
          <w:p w14:paraId="400D63C6" w14:textId="77777777" w:rsidR="005E7DFC" w:rsidRPr="009B1D48" w:rsidRDefault="005E7DFC" w:rsidP="005E7DFC">
            <w:pPr>
              <w:pStyle w:val="ListParagraph"/>
              <w:numPr>
                <w:ilvl w:val="0"/>
                <w:numId w:val="7"/>
              </w:numPr>
              <w:spacing w:line="300" w:lineRule="exact"/>
              <w:rPr>
                <w:color w:val="4472C4" w:themeColor="accent1"/>
                <w:lang w:val="en-GB"/>
              </w:rPr>
            </w:pPr>
            <w:r w:rsidRPr="009B1D48">
              <w:rPr>
                <w:color w:val="4472C4" w:themeColor="accent1"/>
                <w:lang w:val="en-GB"/>
              </w:rPr>
              <w:t>UNICEF – Alliance Partner</w:t>
            </w:r>
          </w:p>
          <w:p w14:paraId="6DFD9A36" w14:textId="1C2C1EAC" w:rsidR="005E7DFC" w:rsidRPr="009B1D48" w:rsidRDefault="005E7DFC" w:rsidP="005E7DFC">
            <w:pPr>
              <w:pStyle w:val="ListParagraph"/>
              <w:numPr>
                <w:ilvl w:val="0"/>
                <w:numId w:val="7"/>
              </w:numPr>
              <w:spacing w:line="300" w:lineRule="exact"/>
              <w:rPr>
                <w:color w:val="4472C4" w:themeColor="accent1"/>
                <w:lang w:val="en-GB"/>
              </w:rPr>
            </w:pPr>
            <w:r w:rsidRPr="009B1D48">
              <w:rPr>
                <w:color w:val="4472C4" w:themeColor="accent1"/>
                <w:lang w:val="en-GB"/>
              </w:rPr>
              <w:t>PATH – E</w:t>
            </w:r>
            <w:r w:rsidR="009B1D48">
              <w:rPr>
                <w:color w:val="4472C4" w:themeColor="accent1"/>
                <w:lang w:val="en-GB"/>
              </w:rPr>
              <w:t>xpanded</w:t>
            </w:r>
            <w:r w:rsidRPr="009B1D48">
              <w:rPr>
                <w:color w:val="4472C4" w:themeColor="accent1"/>
                <w:lang w:val="en-GB"/>
              </w:rPr>
              <w:t xml:space="preserve"> Partner</w:t>
            </w:r>
          </w:p>
          <w:p w14:paraId="69AA3FB8" w14:textId="389EF2C4" w:rsidR="005E7DFC" w:rsidRPr="009B1D48" w:rsidRDefault="005E7DFC" w:rsidP="005E7DFC">
            <w:pPr>
              <w:pStyle w:val="ListParagraph"/>
              <w:numPr>
                <w:ilvl w:val="0"/>
                <w:numId w:val="7"/>
              </w:numPr>
              <w:spacing w:line="300" w:lineRule="exact"/>
              <w:rPr>
                <w:color w:val="4472C4" w:themeColor="accent1"/>
                <w:lang w:val="en-GB"/>
              </w:rPr>
            </w:pPr>
            <w:r w:rsidRPr="009B1D48">
              <w:rPr>
                <w:color w:val="4472C4" w:themeColor="accent1"/>
                <w:lang w:val="en-GB"/>
              </w:rPr>
              <w:t>JSI – Ex</w:t>
            </w:r>
            <w:r w:rsidR="009B1D48">
              <w:rPr>
                <w:color w:val="4472C4" w:themeColor="accent1"/>
                <w:lang w:val="en-GB"/>
              </w:rPr>
              <w:t>panded</w:t>
            </w:r>
            <w:r w:rsidRPr="009B1D48">
              <w:rPr>
                <w:color w:val="4472C4" w:themeColor="accent1"/>
                <w:lang w:val="en-GB"/>
              </w:rPr>
              <w:t xml:space="preserve"> Partner</w:t>
            </w:r>
          </w:p>
          <w:p w14:paraId="08363A67" w14:textId="3838CCCB" w:rsidR="005E7DFC" w:rsidRPr="009B1D48" w:rsidRDefault="001B39FD" w:rsidP="005E7DFC">
            <w:pPr>
              <w:pStyle w:val="ListParagraph"/>
              <w:numPr>
                <w:ilvl w:val="0"/>
                <w:numId w:val="7"/>
              </w:numPr>
              <w:spacing w:line="300" w:lineRule="exact"/>
              <w:rPr>
                <w:color w:val="4472C4" w:themeColor="accent1"/>
                <w:lang w:val="en-GB"/>
              </w:rPr>
            </w:pPr>
            <w:r w:rsidRPr="009B1D48">
              <w:rPr>
                <w:color w:val="4472C4" w:themeColor="accent1"/>
                <w:lang w:val="en-GB"/>
              </w:rPr>
              <w:t>J</w:t>
            </w:r>
            <w:r w:rsidR="00531EFE">
              <w:rPr>
                <w:color w:val="4472C4" w:themeColor="accent1"/>
                <w:lang w:val="en-GB"/>
              </w:rPr>
              <w:t>H</w:t>
            </w:r>
            <w:r w:rsidRPr="009B1D48">
              <w:rPr>
                <w:color w:val="4472C4" w:themeColor="accent1"/>
                <w:lang w:val="en-GB"/>
              </w:rPr>
              <w:t>PIEGO – Ex</w:t>
            </w:r>
            <w:r w:rsidR="009B1D48">
              <w:rPr>
                <w:color w:val="4472C4" w:themeColor="accent1"/>
                <w:lang w:val="en-GB"/>
              </w:rPr>
              <w:t xml:space="preserve">panded </w:t>
            </w:r>
            <w:r w:rsidRPr="009B1D48">
              <w:rPr>
                <w:color w:val="4472C4" w:themeColor="accent1"/>
                <w:lang w:val="en-GB"/>
              </w:rPr>
              <w:t>Partner</w:t>
            </w:r>
          </w:p>
          <w:p w14:paraId="613C9E9A" w14:textId="434D7355" w:rsidR="001B39FD" w:rsidRPr="005E7DFC" w:rsidRDefault="16FAEC06" w:rsidP="1AE3B657">
            <w:pPr>
              <w:pStyle w:val="ListParagraph"/>
              <w:numPr>
                <w:ilvl w:val="0"/>
                <w:numId w:val="7"/>
              </w:numPr>
              <w:spacing w:line="300" w:lineRule="exact"/>
              <w:rPr>
                <w:color w:val="4472C4" w:themeColor="accent1"/>
                <w:lang w:val="en-GB"/>
              </w:rPr>
            </w:pPr>
            <w:r w:rsidRPr="1AE3B657">
              <w:rPr>
                <w:color w:val="4472C4" w:themeColor="accent1"/>
                <w:lang w:val="en-GB"/>
              </w:rPr>
              <w:t>Ghana Coalition of NGOs in Health – Extended Partner (Local)</w:t>
            </w:r>
          </w:p>
          <w:p w14:paraId="18AA925F" w14:textId="21EE0879" w:rsidR="001B39FD" w:rsidRPr="005E7DFC" w:rsidRDefault="00531EFE" w:rsidP="1AE3B657">
            <w:pPr>
              <w:pStyle w:val="ListParagraph"/>
              <w:numPr>
                <w:ilvl w:val="0"/>
                <w:numId w:val="7"/>
              </w:numPr>
              <w:spacing w:line="300" w:lineRule="exact"/>
              <w:rPr>
                <w:color w:val="4472C4" w:themeColor="accent1"/>
                <w:lang w:val="en-GB"/>
              </w:rPr>
            </w:pPr>
            <w:r>
              <w:rPr>
                <w:color w:val="4472C4" w:themeColor="accent1"/>
                <w:lang w:val="en-GB"/>
              </w:rPr>
              <w:t>O</w:t>
            </w:r>
            <w:r w:rsidR="1AE3B657" w:rsidRPr="1AE3B657">
              <w:rPr>
                <w:color w:val="4472C4" w:themeColor="accent1"/>
                <w:lang w:val="en-GB"/>
              </w:rPr>
              <w:t>ther partner to be identified for health financing support</w:t>
            </w:r>
          </w:p>
        </w:tc>
      </w:tr>
      <w:tr w:rsidR="00520598" w14:paraId="72481A8B" w14:textId="77777777" w:rsidTr="1AE3B657">
        <w:trPr>
          <w:trHeight w:val="215"/>
        </w:trPr>
        <w:tc>
          <w:tcPr>
            <w:tcW w:w="9170" w:type="dxa"/>
            <w:gridSpan w:val="2"/>
            <w:shd w:val="clear" w:color="auto" w:fill="F2F2F2" w:themeFill="background1" w:themeFillShade="F2"/>
          </w:tcPr>
          <w:p w14:paraId="29991F07" w14:textId="70120D64" w:rsidR="00520598" w:rsidRPr="00520598" w:rsidRDefault="00520598" w:rsidP="57C08CD4">
            <w:pPr>
              <w:spacing w:line="300" w:lineRule="exact"/>
              <w:rPr>
                <w:b/>
                <w:bCs/>
                <w:i/>
                <w:iCs/>
                <w:color w:val="000000" w:themeColor="text1"/>
                <w:sz w:val="20"/>
                <w:szCs w:val="20"/>
                <w:lang w:val="en-GB"/>
              </w:rPr>
            </w:pPr>
            <w:r w:rsidRPr="007B693C">
              <w:rPr>
                <w:b/>
                <w:bCs/>
                <w:i/>
                <w:iCs/>
                <w:sz w:val="20"/>
                <w:szCs w:val="20"/>
                <w:lang w:val="en-GB"/>
              </w:rPr>
              <w:t>3.2 Please indicate how exactly you plan to collaborate with Local Partners</w:t>
            </w:r>
            <w:r w:rsidR="00243B58">
              <w:rPr>
                <w:b/>
                <w:bCs/>
                <w:i/>
                <w:iCs/>
                <w:sz w:val="20"/>
                <w:szCs w:val="20"/>
                <w:lang w:val="en-GB"/>
              </w:rPr>
              <w:t>.</w:t>
            </w:r>
          </w:p>
        </w:tc>
      </w:tr>
      <w:tr w:rsidR="00E80A44" w14:paraId="5B4D7083" w14:textId="77777777" w:rsidTr="1AE3B657">
        <w:trPr>
          <w:gridAfter w:val="1"/>
          <w:wAfter w:w="22" w:type="dxa"/>
        </w:trPr>
        <w:tc>
          <w:tcPr>
            <w:tcW w:w="9170" w:type="dxa"/>
            <w:tcBorders>
              <w:top w:val="single" w:sz="4" w:space="0" w:color="auto"/>
              <w:left w:val="single" w:sz="4" w:space="0" w:color="auto"/>
              <w:bottom w:val="single" w:sz="4" w:space="0" w:color="auto"/>
              <w:right w:val="single" w:sz="4" w:space="0" w:color="auto"/>
            </w:tcBorders>
          </w:tcPr>
          <w:p w14:paraId="6420D9B9" w14:textId="6765CFC1" w:rsidR="00E80A44" w:rsidRDefault="2871F623" w:rsidP="1AE3B657">
            <w:pPr>
              <w:spacing w:line="300" w:lineRule="exact"/>
              <w:jc w:val="both"/>
              <w:rPr>
                <w:color w:val="4472C4" w:themeColor="accent1"/>
                <w:lang w:val="en-GB"/>
              </w:rPr>
            </w:pPr>
            <w:r w:rsidRPr="1AE3B657">
              <w:rPr>
                <w:color w:val="4472C4" w:themeColor="accent1"/>
                <w:lang w:val="en-GB"/>
              </w:rPr>
              <w:t>The Ministry of Health</w:t>
            </w:r>
            <w:r w:rsidR="04351FF4" w:rsidRPr="1AE3B657">
              <w:rPr>
                <w:color w:val="4472C4" w:themeColor="accent1"/>
                <w:lang w:val="en-GB"/>
              </w:rPr>
              <w:t xml:space="preserve"> through the </w:t>
            </w:r>
            <w:r w:rsidRPr="1AE3B657">
              <w:rPr>
                <w:color w:val="4472C4" w:themeColor="accent1"/>
                <w:lang w:val="en-GB"/>
              </w:rPr>
              <w:t xml:space="preserve">Ghana Health Service </w:t>
            </w:r>
            <w:r w:rsidR="04351FF4" w:rsidRPr="1AE3B657">
              <w:rPr>
                <w:color w:val="4472C4" w:themeColor="accent1"/>
                <w:lang w:val="en-GB"/>
              </w:rPr>
              <w:t>will</w:t>
            </w:r>
            <w:r w:rsidRPr="1AE3B657">
              <w:rPr>
                <w:color w:val="4472C4" w:themeColor="accent1"/>
                <w:lang w:val="en-GB"/>
              </w:rPr>
              <w:t xml:space="preserve"> collaborate with local partners</w:t>
            </w:r>
            <w:r w:rsidR="04351FF4" w:rsidRPr="1AE3B657">
              <w:rPr>
                <w:color w:val="4472C4" w:themeColor="accent1"/>
                <w:lang w:val="en-GB"/>
              </w:rPr>
              <w:t>, particularly civil society organizations (CSOs)</w:t>
            </w:r>
            <w:r w:rsidRPr="1AE3B657">
              <w:rPr>
                <w:color w:val="4472C4" w:themeColor="accent1"/>
                <w:lang w:val="en-GB"/>
              </w:rPr>
              <w:t xml:space="preserve"> through </w:t>
            </w:r>
            <w:r w:rsidR="04351FF4" w:rsidRPr="1AE3B657">
              <w:rPr>
                <w:color w:val="4472C4" w:themeColor="accent1"/>
                <w:lang w:val="en-GB"/>
              </w:rPr>
              <w:t>an</w:t>
            </w:r>
            <w:r w:rsidRPr="1AE3B657">
              <w:rPr>
                <w:color w:val="4472C4" w:themeColor="accent1"/>
                <w:lang w:val="en-GB"/>
              </w:rPr>
              <w:t xml:space="preserve"> </w:t>
            </w:r>
            <w:r w:rsidR="04351FF4" w:rsidRPr="1AE3B657">
              <w:rPr>
                <w:color w:val="4472C4" w:themeColor="accent1"/>
                <w:lang w:val="en-GB"/>
              </w:rPr>
              <w:t>u</w:t>
            </w:r>
            <w:r w:rsidRPr="1AE3B657">
              <w:rPr>
                <w:color w:val="4472C4" w:themeColor="accent1"/>
                <w:lang w:val="en-GB"/>
              </w:rPr>
              <w:t xml:space="preserve">mbrella body of </w:t>
            </w:r>
            <w:r w:rsidR="04351FF4" w:rsidRPr="1AE3B657">
              <w:rPr>
                <w:color w:val="4472C4" w:themeColor="accent1"/>
                <w:lang w:val="en-GB"/>
              </w:rPr>
              <w:t>non-governmental organization</w:t>
            </w:r>
            <w:r w:rsidR="4842830E" w:rsidRPr="1AE3B657">
              <w:rPr>
                <w:color w:val="4472C4" w:themeColor="accent1"/>
                <w:lang w:val="en-GB"/>
              </w:rPr>
              <w:t>s</w:t>
            </w:r>
            <w:r w:rsidR="04351FF4" w:rsidRPr="1AE3B657">
              <w:rPr>
                <w:color w:val="4472C4" w:themeColor="accent1"/>
                <w:lang w:val="en-GB"/>
              </w:rPr>
              <w:t xml:space="preserve"> (NGOs)</w:t>
            </w:r>
            <w:r w:rsidRPr="1AE3B657">
              <w:rPr>
                <w:color w:val="4472C4" w:themeColor="accent1"/>
                <w:lang w:val="en-GB"/>
              </w:rPr>
              <w:t xml:space="preserve"> in Ghana</w:t>
            </w:r>
            <w:r w:rsidR="04351FF4" w:rsidRPr="1AE3B657">
              <w:rPr>
                <w:color w:val="4472C4" w:themeColor="accent1"/>
                <w:lang w:val="en-GB"/>
              </w:rPr>
              <w:t>, the Ghana Coalition of NGOs in Health (GCNH)</w:t>
            </w:r>
            <w:r w:rsidRPr="1AE3B657">
              <w:rPr>
                <w:color w:val="4472C4" w:themeColor="accent1"/>
                <w:lang w:val="en-GB"/>
              </w:rPr>
              <w:t xml:space="preserve">. </w:t>
            </w:r>
            <w:r w:rsidR="04351FF4" w:rsidRPr="1AE3B657">
              <w:rPr>
                <w:color w:val="4472C4" w:themeColor="accent1"/>
                <w:lang w:val="en-GB"/>
              </w:rPr>
              <w:t>GCNH</w:t>
            </w:r>
            <w:r w:rsidR="16FAEC06" w:rsidRPr="1AE3B657">
              <w:rPr>
                <w:color w:val="4472C4" w:themeColor="accent1"/>
                <w:lang w:val="en-GB"/>
              </w:rPr>
              <w:t xml:space="preserve"> is </w:t>
            </w:r>
            <w:r w:rsidR="16FAEC06" w:rsidRPr="1AE3B657">
              <w:rPr>
                <w:color w:val="4472C4" w:themeColor="accent1"/>
                <w:lang w:val="en-GB"/>
              </w:rPr>
              <w:lastRenderedPageBreak/>
              <w:t xml:space="preserve">a reputable not-for-profit Civil Society Organisation (CSO) established as an umbrella and coordinating body </w:t>
            </w:r>
            <w:r w:rsidR="4842830E" w:rsidRPr="1AE3B657">
              <w:rPr>
                <w:color w:val="4472C4" w:themeColor="accent1"/>
                <w:lang w:val="en-GB"/>
              </w:rPr>
              <w:t>for</w:t>
            </w:r>
            <w:r w:rsidR="16FAEC06" w:rsidRPr="1AE3B657">
              <w:rPr>
                <w:color w:val="4472C4" w:themeColor="accent1"/>
                <w:lang w:val="en-GB"/>
              </w:rPr>
              <w:t xml:space="preserve"> activities of all registered</w:t>
            </w:r>
            <w:r w:rsidR="4842830E" w:rsidRPr="1AE3B657">
              <w:rPr>
                <w:color w:val="4472C4" w:themeColor="accent1"/>
                <w:lang w:val="en-GB"/>
              </w:rPr>
              <w:t xml:space="preserve"> health-related</w:t>
            </w:r>
            <w:r w:rsidR="16FAEC06" w:rsidRPr="1AE3B657">
              <w:rPr>
                <w:color w:val="4472C4" w:themeColor="accent1"/>
                <w:lang w:val="en-GB"/>
              </w:rPr>
              <w:t xml:space="preserve"> NGOs</w:t>
            </w:r>
            <w:r w:rsidR="4842830E" w:rsidRPr="1AE3B657">
              <w:rPr>
                <w:color w:val="4472C4" w:themeColor="accent1"/>
                <w:lang w:val="en-GB"/>
              </w:rPr>
              <w:t xml:space="preserve"> and Community-based Organizations (</w:t>
            </w:r>
            <w:r w:rsidR="16FAEC06" w:rsidRPr="1AE3B657">
              <w:rPr>
                <w:color w:val="4472C4" w:themeColor="accent1"/>
                <w:lang w:val="en-GB"/>
              </w:rPr>
              <w:t>CBOs</w:t>
            </w:r>
            <w:r w:rsidR="4842830E" w:rsidRPr="1AE3B657">
              <w:rPr>
                <w:color w:val="4472C4" w:themeColor="accent1"/>
                <w:lang w:val="en-GB"/>
              </w:rPr>
              <w:t>)</w:t>
            </w:r>
            <w:r w:rsidR="16FAEC06" w:rsidRPr="1AE3B657">
              <w:rPr>
                <w:color w:val="4472C4" w:themeColor="accent1"/>
                <w:lang w:val="en-GB"/>
              </w:rPr>
              <w:t xml:space="preserve"> </w:t>
            </w:r>
            <w:r w:rsidR="4842830E" w:rsidRPr="1AE3B657">
              <w:rPr>
                <w:color w:val="4472C4" w:themeColor="accent1"/>
                <w:lang w:val="en-GB"/>
              </w:rPr>
              <w:t>working with</w:t>
            </w:r>
            <w:r w:rsidR="16FAEC06" w:rsidRPr="1AE3B657">
              <w:rPr>
                <w:color w:val="4472C4" w:themeColor="accent1"/>
                <w:lang w:val="en-GB"/>
              </w:rPr>
              <w:t xml:space="preserve"> the health sector in the country. GCNH currently has a membership of over 500 registered local NGOs/CSOs/CBOs with regional branches and offices in all the 1</w:t>
            </w:r>
            <w:r w:rsidRPr="1AE3B657">
              <w:rPr>
                <w:color w:val="4472C4" w:themeColor="accent1"/>
                <w:lang w:val="en-GB"/>
              </w:rPr>
              <w:t>6</w:t>
            </w:r>
            <w:r w:rsidR="16FAEC06" w:rsidRPr="1AE3B657">
              <w:rPr>
                <w:color w:val="4472C4" w:themeColor="accent1"/>
                <w:lang w:val="en-GB"/>
              </w:rPr>
              <w:t xml:space="preserve"> regions of Ghana</w:t>
            </w:r>
            <w:r w:rsidRPr="1AE3B657">
              <w:rPr>
                <w:color w:val="4472C4" w:themeColor="accent1"/>
                <w:lang w:val="en-GB"/>
              </w:rPr>
              <w:t>. The registered local NGOs/CSOs/CBOs have representation in all 260 districts in the country which make them a key partner in the planning and implementation of immunization activities at the community level. Under COVID</w:t>
            </w:r>
            <w:r w:rsidR="00BD5170">
              <w:rPr>
                <w:color w:val="4472C4" w:themeColor="accent1"/>
                <w:lang w:val="en-GB"/>
              </w:rPr>
              <w:t>-</w:t>
            </w:r>
            <w:r w:rsidRPr="1AE3B657">
              <w:rPr>
                <w:color w:val="4472C4" w:themeColor="accent1"/>
                <w:lang w:val="en-GB"/>
              </w:rPr>
              <w:t>19</w:t>
            </w:r>
            <w:r w:rsidR="00D14780">
              <w:rPr>
                <w:color w:val="4472C4" w:themeColor="accent1"/>
                <w:lang w:val="en-GB"/>
              </w:rPr>
              <w:t xml:space="preserve"> vaccination funds</w:t>
            </w:r>
            <w:r w:rsidRPr="1AE3B657">
              <w:rPr>
                <w:color w:val="4472C4" w:themeColor="accent1"/>
                <w:lang w:val="en-GB"/>
              </w:rPr>
              <w:t xml:space="preserve">, Ghana Coalition of NGO </w:t>
            </w:r>
            <w:proofErr w:type="gramStart"/>
            <w:r w:rsidR="00D14780">
              <w:rPr>
                <w:color w:val="4472C4" w:themeColor="accent1"/>
                <w:lang w:val="en-GB"/>
              </w:rPr>
              <w:t xml:space="preserve">is </w:t>
            </w:r>
            <w:r w:rsidRPr="1AE3B657">
              <w:rPr>
                <w:color w:val="4472C4" w:themeColor="accent1"/>
                <w:lang w:val="en-GB"/>
              </w:rPr>
              <w:t xml:space="preserve"> recei</w:t>
            </w:r>
            <w:r w:rsidR="00D14780">
              <w:rPr>
                <w:color w:val="4472C4" w:themeColor="accent1"/>
                <w:lang w:val="en-GB"/>
              </w:rPr>
              <w:t>ving</w:t>
            </w:r>
            <w:proofErr w:type="gramEnd"/>
            <w:r w:rsidR="00BD5170">
              <w:rPr>
                <w:color w:val="4472C4" w:themeColor="accent1"/>
                <w:lang w:val="en-GB"/>
              </w:rPr>
              <w:t xml:space="preserve"> </w:t>
            </w:r>
            <w:r w:rsidRPr="1AE3B657">
              <w:rPr>
                <w:color w:val="4472C4" w:themeColor="accent1"/>
                <w:lang w:val="en-GB"/>
              </w:rPr>
              <w:t>a share of the Gavi CDS NB funding to implement community-based activities</w:t>
            </w:r>
            <w:r w:rsidR="00882E5F">
              <w:rPr>
                <w:color w:val="4472C4" w:themeColor="accent1"/>
                <w:lang w:val="en-GB"/>
              </w:rPr>
              <w:t xml:space="preserve"> to</w:t>
            </w:r>
            <w:r w:rsidR="00BD5170">
              <w:rPr>
                <w:color w:val="4472C4" w:themeColor="accent1"/>
                <w:lang w:val="en-GB"/>
              </w:rPr>
              <w:t xml:space="preserve"> address </w:t>
            </w:r>
            <w:r w:rsidR="00EF0E85">
              <w:rPr>
                <w:color w:val="4472C4" w:themeColor="accent1"/>
                <w:lang w:val="en-GB"/>
              </w:rPr>
              <w:t>hesitancy, generate demand and ultimately</w:t>
            </w:r>
            <w:r w:rsidR="00882E5F">
              <w:rPr>
                <w:color w:val="4472C4" w:themeColor="accent1"/>
                <w:lang w:val="en-GB"/>
              </w:rPr>
              <w:t xml:space="preserve"> boost vaccination.</w:t>
            </w:r>
          </w:p>
        </w:tc>
      </w:tr>
      <w:tr w:rsidR="38F5364C" w14:paraId="5D1DCA18" w14:textId="77777777" w:rsidTr="1AE3B657">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59D43D0B" w14:textId="2AE6E4DA" w:rsidR="2F92698C" w:rsidRDefault="3D5C2947" w:rsidP="704B32F1">
            <w:pPr>
              <w:spacing w:line="300" w:lineRule="exact"/>
              <w:rPr>
                <w:b/>
                <w:bCs/>
                <w:i/>
                <w:iCs/>
                <w:color w:val="000000" w:themeColor="text1"/>
                <w:sz w:val="20"/>
                <w:szCs w:val="20"/>
              </w:rPr>
            </w:pPr>
            <w:r w:rsidRPr="704B32F1">
              <w:rPr>
                <w:b/>
                <w:bCs/>
                <w:i/>
                <w:iCs/>
                <w:color w:val="000000" w:themeColor="text1"/>
                <w:sz w:val="20"/>
                <w:szCs w:val="20"/>
              </w:rPr>
              <w:lastRenderedPageBreak/>
              <w:t>3.</w:t>
            </w:r>
            <w:r w:rsidR="00520598">
              <w:rPr>
                <w:b/>
                <w:bCs/>
                <w:i/>
                <w:iCs/>
                <w:color w:val="000000" w:themeColor="text1"/>
                <w:sz w:val="20"/>
                <w:szCs w:val="20"/>
              </w:rPr>
              <w:t>3</w:t>
            </w:r>
            <w:r w:rsidRPr="704B32F1">
              <w:rPr>
                <w:b/>
                <w:bCs/>
                <w:i/>
                <w:iCs/>
                <w:color w:val="000000" w:themeColor="text1"/>
                <w:sz w:val="20"/>
                <w:szCs w:val="20"/>
              </w:rPr>
              <w:t xml:space="preserve"> </w:t>
            </w:r>
            <w:r w:rsidR="64431148" w:rsidRPr="704B32F1">
              <w:rPr>
                <w:b/>
                <w:bCs/>
                <w:i/>
                <w:iCs/>
                <w:color w:val="000000" w:themeColor="text1"/>
                <w:sz w:val="20"/>
                <w:szCs w:val="20"/>
              </w:rPr>
              <w:t xml:space="preserve">Please note the allocation of TCA to </w:t>
            </w:r>
            <w:r w:rsidR="009F19F8">
              <w:rPr>
                <w:b/>
                <w:bCs/>
                <w:i/>
                <w:iCs/>
                <w:color w:val="000000" w:themeColor="text1"/>
                <w:sz w:val="20"/>
                <w:szCs w:val="20"/>
              </w:rPr>
              <w:t>Local Partners</w:t>
            </w:r>
            <w:r w:rsidR="00B664EF">
              <w:rPr>
                <w:b/>
                <w:bCs/>
                <w:i/>
                <w:iCs/>
                <w:color w:val="000000" w:themeColor="text1"/>
                <w:sz w:val="20"/>
                <w:szCs w:val="20"/>
              </w:rPr>
              <w:t xml:space="preserve"> (only)</w:t>
            </w:r>
            <w:r w:rsidR="64431148" w:rsidRPr="704B32F1">
              <w:rPr>
                <w:b/>
                <w:bCs/>
                <w:i/>
                <w:iCs/>
                <w:color w:val="000000" w:themeColor="text1"/>
                <w:sz w:val="20"/>
                <w:szCs w:val="20"/>
              </w:rPr>
              <w:t xml:space="preserve"> and describe the approach you will use to comply with the </w:t>
            </w:r>
            <w:r w:rsidR="004E2955">
              <w:rPr>
                <w:b/>
                <w:bCs/>
                <w:i/>
                <w:iCs/>
                <w:color w:val="000000" w:themeColor="text1"/>
                <w:sz w:val="20"/>
                <w:szCs w:val="20"/>
              </w:rPr>
              <w:t>recommendation</w:t>
            </w:r>
            <w:r w:rsidR="64431148" w:rsidRPr="704B32F1">
              <w:rPr>
                <w:b/>
                <w:bCs/>
                <w:i/>
                <w:iCs/>
                <w:color w:val="000000" w:themeColor="text1"/>
                <w:sz w:val="20"/>
                <w:szCs w:val="20"/>
              </w:rPr>
              <w:t xml:space="preserve"> of allocating </w:t>
            </w:r>
            <w:r w:rsidR="004E2955">
              <w:rPr>
                <w:b/>
                <w:bCs/>
                <w:i/>
                <w:iCs/>
                <w:color w:val="000000" w:themeColor="text1"/>
                <w:sz w:val="20"/>
                <w:szCs w:val="20"/>
              </w:rPr>
              <w:t>30</w:t>
            </w:r>
            <w:r w:rsidR="64431148" w:rsidRPr="704B32F1">
              <w:rPr>
                <w:b/>
                <w:bCs/>
                <w:i/>
                <w:iCs/>
                <w:color w:val="000000" w:themeColor="text1"/>
                <w:sz w:val="20"/>
                <w:szCs w:val="20"/>
              </w:rPr>
              <w:t xml:space="preserve">% of TCA </w:t>
            </w:r>
            <w:r w:rsidR="004E2955">
              <w:rPr>
                <w:b/>
                <w:bCs/>
                <w:i/>
                <w:iCs/>
                <w:color w:val="000000" w:themeColor="text1"/>
                <w:sz w:val="20"/>
                <w:szCs w:val="20"/>
              </w:rPr>
              <w:t>to Local Partners</w:t>
            </w:r>
            <w:r w:rsidR="00D603BC">
              <w:rPr>
                <w:b/>
                <w:bCs/>
                <w:i/>
                <w:iCs/>
                <w:color w:val="000000" w:themeColor="text1"/>
                <w:sz w:val="20"/>
                <w:szCs w:val="20"/>
              </w:rPr>
              <w:t xml:space="preserve"> over the course of 2022-25</w:t>
            </w:r>
            <w:r w:rsidR="00704813">
              <w:rPr>
                <w:b/>
                <w:bCs/>
                <w:i/>
                <w:iCs/>
                <w:color w:val="000000" w:themeColor="text1"/>
                <w:sz w:val="20"/>
                <w:szCs w:val="20"/>
              </w:rPr>
              <w:t>.</w:t>
            </w:r>
            <w:r w:rsidR="00025BBE">
              <w:rPr>
                <w:b/>
                <w:bCs/>
                <w:i/>
                <w:iCs/>
                <w:color w:val="000000" w:themeColor="text1"/>
                <w:sz w:val="20"/>
                <w:szCs w:val="20"/>
              </w:rPr>
              <w:t xml:space="preserve"> </w:t>
            </w:r>
            <w:r w:rsidR="00025BBE" w:rsidRPr="002C42E8">
              <w:rPr>
                <w:i/>
                <w:sz w:val="20"/>
                <w:szCs w:val="20"/>
                <w:lang w:val="en-GB"/>
              </w:rPr>
              <w:t>Please refer to section 2.3 (3. Partner Mapping) of the PEF TCA Planning Guidelines for more information.</w:t>
            </w:r>
          </w:p>
        </w:tc>
      </w:tr>
      <w:tr w:rsidR="38F5364C" w14:paraId="094E7639" w14:textId="77777777" w:rsidTr="1AE3B657">
        <w:tc>
          <w:tcPr>
            <w:tcW w:w="9192" w:type="dxa"/>
            <w:gridSpan w:val="2"/>
            <w:tcBorders>
              <w:top w:val="single" w:sz="4" w:space="0" w:color="auto"/>
              <w:left w:val="single" w:sz="4" w:space="0" w:color="auto"/>
              <w:bottom w:val="single" w:sz="4" w:space="0" w:color="auto"/>
              <w:right w:val="single" w:sz="4" w:space="0" w:color="auto"/>
            </w:tcBorders>
          </w:tcPr>
          <w:p w14:paraId="690A30EE" w14:textId="77777777" w:rsidR="000458AA" w:rsidRPr="00A74D6C" w:rsidRDefault="000458AA" w:rsidP="00A74D6C">
            <w:pPr>
              <w:spacing w:line="300" w:lineRule="exact"/>
              <w:jc w:val="both"/>
              <w:rPr>
                <w:color w:val="4472C4" w:themeColor="accent1"/>
                <w:lang w:val="en-GB"/>
              </w:rPr>
            </w:pPr>
            <w:r w:rsidRPr="00A74D6C">
              <w:rPr>
                <w:color w:val="4472C4" w:themeColor="accent1"/>
                <w:lang w:val="en-GB"/>
              </w:rPr>
              <w:t xml:space="preserve">A considerable proportion of activities planned for 2022-2024 are </w:t>
            </w:r>
            <w:proofErr w:type="gramStart"/>
            <w:r w:rsidRPr="00A74D6C">
              <w:rPr>
                <w:color w:val="4472C4" w:themeColor="accent1"/>
                <w:lang w:val="en-GB"/>
              </w:rPr>
              <w:t>lower level</w:t>
            </w:r>
            <w:proofErr w:type="gramEnd"/>
            <w:r w:rsidRPr="00A74D6C">
              <w:rPr>
                <w:color w:val="4472C4" w:themeColor="accent1"/>
                <w:lang w:val="en-GB"/>
              </w:rPr>
              <w:t xml:space="preserve"> activities geared towards increasing immunization coverage and bridging equity gaps. The NGOs/CSOs/CBOs registered under the GCNGOH are local level partners that will be supporting their respective districts and regions in the implementation of activities. </w:t>
            </w:r>
          </w:p>
          <w:p w14:paraId="64958F87" w14:textId="495F8AC3" w:rsidR="38F5364C" w:rsidRPr="00A74D6C" w:rsidRDefault="000458AA" w:rsidP="00A74D6C">
            <w:pPr>
              <w:spacing w:line="300" w:lineRule="exact"/>
              <w:jc w:val="both"/>
              <w:rPr>
                <w:color w:val="4472C4" w:themeColor="accent1"/>
                <w:lang w:val="en-GB"/>
              </w:rPr>
            </w:pPr>
            <w:r w:rsidRPr="00A74D6C">
              <w:rPr>
                <w:color w:val="4472C4" w:themeColor="accent1"/>
                <w:lang w:val="en-GB"/>
              </w:rPr>
              <w:t>The Ministry of Health/Ghana Health Service will set aside at least 30% of the ceiling for each year for the GCNH and the registered NGOs/CSOs/CBOs as per Gavi regulations.</w:t>
            </w:r>
          </w:p>
        </w:tc>
      </w:tr>
      <w:tr w:rsidR="009F19F8" w14:paraId="3821C077" w14:textId="77777777" w:rsidTr="1AE3B657">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609ADB" w14:textId="799CFD5C" w:rsidR="009F19F8" w:rsidRDefault="009F19F8" w:rsidP="00752CEA">
            <w:pPr>
              <w:spacing w:line="300" w:lineRule="exact"/>
              <w:rPr>
                <w:b/>
                <w:bCs/>
                <w:i/>
                <w:iCs/>
                <w:color w:val="000000" w:themeColor="text1"/>
                <w:sz w:val="20"/>
                <w:szCs w:val="20"/>
              </w:rPr>
            </w:pPr>
            <w:r w:rsidRPr="704B32F1">
              <w:rPr>
                <w:b/>
                <w:bCs/>
                <w:i/>
                <w:iCs/>
                <w:color w:val="000000" w:themeColor="text1"/>
                <w:sz w:val="20"/>
                <w:szCs w:val="20"/>
              </w:rPr>
              <w:t>3.</w:t>
            </w:r>
            <w:r w:rsidR="00520598">
              <w:rPr>
                <w:b/>
                <w:bCs/>
                <w:i/>
                <w:iCs/>
                <w:color w:val="000000" w:themeColor="text1"/>
                <w:sz w:val="20"/>
                <w:szCs w:val="20"/>
              </w:rPr>
              <w:t>4</w:t>
            </w:r>
            <w:r w:rsidRPr="704B32F1">
              <w:rPr>
                <w:b/>
                <w:bCs/>
                <w:i/>
                <w:iCs/>
                <w:color w:val="000000" w:themeColor="text1"/>
                <w:sz w:val="20"/>
                <w:szCs w:val="20"/>
              </w:rPr>
              <w:t xml:space="preserve"> Please note the allocation of TCA to CSOs</w:t>
            </w:r>
            <w:r w:rsidR="008F50F8">
              <w:rPr>
                <w:b/>
                <w:bCs/>
                <w:i/>
                <w:iCs/>
                <w:color w:val="000000" w:themeColor="text1"/>
                <w:sz w:val="20"/>
                <w:szCs w:val="20"/>
              </w:rPr>
              <w:t xml:space="preserve"> only</w:t>
            </w:r>
            <w:r w:rsidRPr="704B32F1">
              <w:rPr>
                <w:b/>
                <w:bCs/>
                <w:i/>
                <w:iCs/>
                <w:color w:val="000000" w:themeColor="text1"/>
                <w:sz w:val="20"/>
                <w:szCs w:val="20"/>
              </w:rPr>
              <w:t xml:space="preserve"> (either Global or Local Expanded Partners) and describe the approach you will use to comply with the requirement of allocating 10% of combined TCA, EAF and HSS ceilings for CSO implementation (</w:t>
            </w:r>
            <w:proofErr w:type="gramStart"/>
            <w:r w:rsidRPr="704B32F1">
              <w:rPr>
                <w:b/>
                <w:bCs/>
                <w:i/>
                <w:iCs/>
                <w:color w:val="000000" w:themeColor="text1"/>
                <w:sz w:val="20"/>
                <w:szCs w:val="20"/>
              </w:rPr>
              <w:t>e.g</w:t>
            </w:r>
            <w:r w:rsidR="00A733BF">
              <w:rPr>
                <w:b/>
                <w:bCs/>
                <w:i/>
                <w:iCs/>
                <w:color w:val="000000" w:themeColor="text1"/>
                <w:sz w:val="20"/>
                <w:szCs w:val="20"/>
              </w:rPr>
              <w:t>.</w:t>
            </w:r>
            <w:proofErr w:type="gramEnd"/>
            <w:r w:rsidRPr="704B32F1">
              <w:rPr>
                <w:b/>
                <w:bCs/>
                <w:i/>
                <w:iCs/>
                <w:color w:val="000000" w:themeColor="text1"/>
                <w:sz w:val="20"/>
                <w:szCs w:val="20"/>
              </w:rPr>
              <w:t xml:space="preserve"> if less than 10% of TCA funding is allocated to CSOs, please indicate how this will be compensated through </w:t>
            </w:r>
            <w:r w:rsidR="00A733BF">
              <w:rPr>
                <w:b/>
                <w:bCs/>
                <w:i/>
                <w:iCs/>
                <w:color w:val="000000" w:themeColor="text1"/>
                <w:sz w:val="20"/>
                <w:szCs w:val="20"/>
              </w:rPr>
              <w:t xml:space="preserve">the </w:t>
            </w:r>
            <w:r w:rsidRPr="704B32F1">
              <w:rPr>
                <w:b/>
                <w:bCs/>
                <w:i/>
                <w:iCs/>
                <w:color w:val="000000" w:themeColor="text1"/>
                <w:sz w:val="20"/>
                <w:szCs w:val="20"/>
              </w:rPr>
              <w:t>allocation of HSS and EAF funding to CSOs).</w:t>
            </w:r>
            <w:r w:rsidR="00025BBE">
              <w:rPr>
                <w:b/>
                <w:bCs/>
                <w:i/>
                <w:iCs/>
                <w:color w:val="000000" w:themeColor="text1"/>
                <w:sz w:val="20"/>
                <w:szCs w:val="20"/>
              </w:rPr>
              <w:t xml:space="preserve"> </w:t>
            </w:r>
            <w:r w:rsidR="00025BBE" w:rsidRPr="002C42E8">
              <w:rPr>
                <w:i/>
                <w:sz w:val="20"/>
                <w:szCs w:val="20"/>
                <w:lang w:val="en-GB"/>
              </w:rPr>
              <w:t>Please refer to section 2.3 (3. Partner Mapping) of the PEF TCA Planning Guidelines for more information.</w:t>
            </w:r>
          </w:p>
        </w:tc>
      </w:tr>
      <w:tr w:rsidR="009F19F8" w14:paraId="3F43E4A9" w14:textId="77777777" w:rsidTr="1AE3B657">
        <w:tc>
          <w:tcPr>
            <w:tcW w:w="9192" w:type="dxa"/>
            <w:gridSpan w:val="2"/>
            <w:tcBorders>
              <w:top w:val="single" w:sz="4" w:space="0" w:color="auto"/>
              <w:left w:val="single" w:sz="4" w:space="0" w:color="auto"/>
              <w:bottom w:val="single" w:sz="4" w:space="0" w:color="auto"/>
              <w:right w:val="single" w:sz="4" w:space="0" w:color="auto"/>
            </w:tcBorders>
          </w:tcPr>
          <w:p w14:paraId="01E16748" w14:textId="44FC26D9" w:rsidR="009F19F8" w:rsidRDefault="00747E1D" w:rsidP="00A74D6C">
            <w:pPr>
              <w:spacing w:line="300" w:lineRule="exact"/>
              <w:jc w:val="both"/>
              <w:rPr>
                <w:lang w:val="en-GB"/>
              </w:rPr>
            </w:pPr>
            <w:r w:rsidRPr="00A74D6C">
              <w:rPr>
                <w:color w:val="4472C4" w:themeColor="accent1"/>
                <w:lang w:val="en-GB"/>
              </w:rPr>
              <w:t>From Section 3.3, the country has already planned to commit 30% of the multi-year TCA to the GCNGOH (local partner). CSOs through the Coalition (GCNH) are being support with HSS funds to implement activities to support immunization services delivery. CSOs will also be key implementors of the EAF support using their community-level structure</w:t>
            </w:r>
            <w:r w:rsidR="00E36C79">
              <w:rPr>
                <w:color w:val="4472C4" w:themeColor="accent1"/>
                <w:lang w:val="en-GB"/>
              </w:rPr>
              <w:t>s</w:t>
            </w:r>
            <w:r w:rsidRPr="00A74D6C">
              <w:rPr>
                <w:color w:val="4472C4" w:themeColor="accent1"/>
                <w:lang w:val="en-GB"/>
              </w:rPr>
              <w:t xml:space="preserve"> to improve community engagement and support bridge equity gaps. </w:t>
            </w:r>
            <w:r w:rsidR="00E36C79">
              <w:rPr>
                <w:color w:val="4472C4" w:themeColor="accent1"/>
                <w:lang w:val="en-GB"/>
              </w:rPr>
              <w:t>A</w:t>
            </w:r>
            <w:r w:rsidRPr="00A74D6C">
              <w:rPr>
                <w:color w:val="4472C4" w:themeColor="accent1"/>
                <w:lang w:val="en-GB"/>
              </w:rPr>
              <w:t xml:space="preserve">t least 10% of EAF and HSS funds </w:t>
            </w:r>
            <w:r w:rsidR="00E36C79">
              <w:rPr>
                <w:color w:val="4472C4" w:themeColor="accent1"/>
                <w:lang w:val="en-GB"/>
              </w:rPr>
              <w:t xml:space="preserve">will be dedicated </w:t>
            </w:r>
            <w:r w:rsidRPr="00A74D6C">
              <w:rPr>
                <w:color w:val="4472C4" w:themeColor="accent1"/>
                <w:lang w:val="en-GB"/>
              </w:rPr>
              <w:t>to CSOs to provide TA to the Programme.</w:t>
            </w:r>
          </w:p>
        </w:tc>
      </w:tr>
    </w:tbl>
    <w:p w14:paraId="0FF1AB89" w14:textId="77777777" w:rsidR="00372D1F" w:rsidRPr="009F19F8" w:rsidRDefault="00372D1F" w:rsidP="00372D1F">
      <w:pPr>
        <w:pStyle w:val="ListParagraph"/>
        <w:spacing w:line="300" w:lineRule="exact"/>
        <w:ind w:left="0"/>
        <w:jc w:val="right"/>
        <w:rPr>
          <w:b/>
          <w:color w:val="70AD47" w:themeColor="accent6"/>
          <w:sz w:val="26"/>
          <w:szCs w:val="26"/>
        </w:rPr>
      </w:pPr>
    </w:p>
    <w:p w14:paraId="79848434" w14:textId="5CA61DE4" w:rsidR="009F0292" w:rsidRPr="0033192A" w:rsidRDefault="009F0292" w:rsidP="00CE1F57">
      <w:pPr>
        <w:pStyle w:val="ListParagraph"/>
        <w:numPr>
          <w:ilvl w:val="0"/>
          <w:numId w:val="5"/>
        </w:numPr>
        <w:spacing w:line="300" w:lineRule="exact"/>
        <w:rPr>
          <w:b/>
          <w:color w:val="84C650"/>
          <w:sz w:val="26"/>
          <w:szCs w:val="26"/>
          <w:lang w:val="en-GB"/>
        </w:rPr>
      </w:pPr>
      <w:r w:rsidRPr="0033192A">
        <w:rPr>
          <w:b/>
          <w:color w:val="70AD47" w:themeColor="accent6"/>
          <w:sz w:val="26"/>
          <w:szCs w:val="26"/>
          <w:lang w:val="en-GB"/>
        </w:rPr>
        <w:t>Lessons learnt from past TA experience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9F0292" w14:paraId="3F8B0CB5" w14:textId="77777777" w:rsidTr="1AE3B657">
        <w:tc>
          <w:tcPr>
            <w:tcW w:w="9192" w:type="dxa"/>
            <w:tcBorders>
              <w:bottom w:val="single" w:sz="4" w:space="0" w:color="auto"/>
            </w:tcBorders>
            <w:shd w:val="clear" w:color="auto" w:fill="F2F2F2" w:themeFill="background1" w:themeFillShade="F2"/>
          </w:tcPr>
          <w:p w14:paraId="6BD0AD08" w14:textId="376F045C" w:rsidR="009F0292" w:rsidRPr="00B614D7" w:rsidRDefault="0033192A" w:rsidP="00871FCF">
            <w:pPr>
              <w:spacing w:line="300" w:lineRule="exact"/>
              <w:rPr>
                <w:b/>
                <w:bCs/>
                <w:color w:val="92D050"/>
                <w:lang w:val="en-GB"/>
              </w:rPr>
            </w:pPr>
            <w:r>
              <w:rPr>
                <w:b/>
                <w:bCs/>
                <w:i/>
                <w:iCs/>
                <w:color w:val="000000" w:themeColor="text1"/>
                <w:sz w:val="20"/>
                <w:szCs w:val="20"/>
                <w:lang w:val="en-GB"/>
              </w:rPr>
              <w:t>4.</w:t>
            </w:r>
            <w:r w:rsidR="009F0292">
              <w:rPr>
                <w:b/>
                <w:bCs/>
                <w:i/>
                <w:iCs/>
                <w:color w:val="000000" w:themeColor="text1"/>
                <w:sz w:val="20"/>
                <w:szCs w:val="20"/>
                <w:lang w:val="en-GB"/>
              </w:rPr>
              <w:t xml:space="preserve">1 </w:t>
            </w:r>
            <w:r w:rsidR="009F0292" w:rsidRPr="00B614D7">
              <w:rPr>
                <w:b/>
                <w:bCs/>
                <w:i/>
                <w:iCs/>
                <w:color w:val="000000" w:themeColor="text1"/>
                <w:sz w:val="20"/>
                <w:szCs w:val="20"/>
                <w:lang w:val="en-GB"/>
              </w:rPr>
              <w:t xml:space="preserve">Please explain how the </w:t>
            </w:r>
            <w:r w:rsidR="009F0292">
              <w:rPr>
                <w:b/>
                <w:bCs/>
                <w:i/>
                <w:iCs/>
                <w:color w:val="000000" w:themeColor="text1"/>
                <w:sz w:val="20"/>
                <w:szCs w:val="20"/>
                <w:lang w:val="en-GB"/>
              </w:rPr>
              <w:t>TCA</w:t>
            </w:r>
            <w:r w:rsidR="009F0292" w:rsidRPr="00B614D7">
              <w:rPr>
                <w:b/>
                <w:bCs/>
                <w:i/>
                <w:iCs/>
                <w:color w:val="000000" w:themeColor="text1"/>
                <w:sz w:val="20"/>
                <w:szCs w:val="20"/>
                <w:lang w:val="en-GB"/>
              </w:rPr>
              <w:t xml:space="preserve"> plan will build on previous performance, lessons learned, and best practices of TCA activities from your previous </w:t>
            </w:r>
            <w:r w:rsidR="009F0292">
              <w:rPr>
                <w:b/>
                <w:bCs/>
                <w:i/>
                <w:iCs/>
                <w:color w:val="000000" w:themeColor="text1"/>
                <w:sz w:val="20"/>
                <w:szCs w:val="20"/>
                <w:lang w:val="en-GB"/>
              </w:rPr>
              <w:t>T</w:t>
            </w:r>
            <w:r w:rsidR="009F0292" w:rsidRPr="00B614D7">
              <w:rPr>
                <w:b/>
                <w:bCs/>
                <w:i/>
                <w:iCs/>
                <w:color w:val="000000" w:themeColor="text1"/>
                <w:sz w:val="20"/>
                <w:szCs w:val="20"/>
                <w:lang w:val="en-GB"/>
              </w:rPr>
              <w:t>CA plan</w:t>
            </w:r>
            <w:r w:rsidR="0048676E">
              <w:rPr>
                <w:b/>
                <w:bCs/>
                <w:i/>
                <w:iCs/>
                <w:color w:val="000000" w:themeColor="text1"/>
                <w:sz w:val="20"/>
                <w:szCs w:val="20"/>
                <w:lang w:val="en-GB"/>
              </w:rPr>
              <w:t>, including</w:t>
            </w:r>
            <w:r w:rsidR="009D07BA">
              <w:rPr>
                <w:b/>
                <w:bCs/>
                <w:i/>
                <w:iCs/>
                <w:color w:val="000000" w:themeColor="text1"/>
                <w:sz w:val="20"/>
                <w:szCs w:val="20"/>
                <w:lang w:val="en-GB"/>
              </w:rPr>
              <w:t xml:space="preserve"> </w:t>
            </w:r>
            <w:r w:rsidR="006E0314">
              <w:rPr>
                <w:b/>
                <w:bCs/>
                <w:i/>
                <w:iCs/>
                <w:color w:val="000000" w:themeColor="text1"/>
                <w:sz w:val="20"/>
                <w:szCs w:val="20"/>
                <w:lang w:val="en-GB"/>
              </w:rPr>
              <w:t xml:space="preserve">contributions to the national programme and </w:t>
            </w:r>
            <w:r w:rsidR="00C9453B">
              <w:rPr>
                <w:b/>
                <w:bCs/>
                <w:i/>
                <w:iCs/>
                <w:color w:val="000000" w:themeColor="text1"/>
                <w:sz w:val="20"/>
                <w:szCs w:val="20"/>
                <w:lang w:val="en-GB"/>
              </w:rPr>
              <w:t xml:space="preserve">knowledge/skill </w:t>
            </w:r>
            <w:r w:rsidR="009C20B6">
              <w:rPr>
                <w:b/>
                <w:bCs/>
                <w:i/>
                <w:iCs/>
                <w:color w:val="000000" w:themeColor="text1"/>
                <w:sz w:val="20"/>
                <w:szCs w:val="20"/>
                <w:lang w:val="en-GB"/>
              </w:rPr>
              <w:t>building,</w:t>
            </w:r>
            <w:r w:rsidR="00652E87">
              <w:rPr>
                <w:b/>
                <w:bCs/>
                <w:i/>
                <w:iCs/>
                <w:color w:val="000000" w:themeColor="text1"/>
                <w:sz w:val="20"/>
                <w:szCs w:val="20"/>
                <w:lang w:val="en-GB"/>
              </w:rPr>
              <w:t xml:space="preserve"> and how this has been taken into account in </w:t>
            </w:r>
            <w:r w:rsidR="00FA04B1">
              <w:rPr>
                <w:b/>
                <w:bCs/>
                <w:i/>
                <w:iCs/>
                <w:color w:val="000000" w:themeColor="text1"/>
                <w:sz w:val="20"/>
                <w:szCs w:val="20"/>
                <w:lang w:val="en-GB"/>
              </w:rPr>
              <w:t>this TCA planning and prioritisation</w:t>
            </w:r>
            <w:r w:rsidR="009F0292" w:rsidRPr="00B614D7">
              <w:rPr>
                <w:b/>
                <w:bCs/>
                <w:i/>
                <w:iCs/>
                <w:color w:val="000000" w:themeColor="text1"/>
                <w:sz w:val="20"/>
                <w:szCs w:val="20"/>
                <w:lang w:val="en-GB"/>
              </w:rPr>
              <w:t xml:space="preserve">. </w:t>
            </w:r>
            <w:r w:rsidR="009F0292" w:rsidRPr="00B614D7">
              <w:rPr>
                <w:b/>
                <w:bCs/>
                <w:i/>
                <w:iCs/>
                <w:sz w:val="20"/>
                <w:szCs w:val="20"/>
              </w:rPr>
              <w:t xml:space="preserve"> </w:t>
            </w:r>
          </w:p>
        </w:tc>
      </w:tr>
      <w:tr w:rsidR="009F0292" w14:paraId="690BE9DA" w14:textId="77777777" w:rsidTr="1AE3B657">
        <w:tc>
          <w:tcPr>
            <w:tcW w:w="9192" w:type="dxa"/>
            <w:tcBorders>
              <w:top w:val="single" w:sz="4" w:space="0" w:color="auto"/>
              <w:left w:val="single" w:sz="4" w:space="0" w:color="auto"/>
              <w:bottom w:val="single" w:sz="4" w:space="0" w:color="auto"/>
              <w:right w:val="single" w:sz="4" w:space="0" w:color="auto"/>
            </w:tcBorders>
          </w:tcPr>
          <w:p w14:paraId="2C04A510" w14:textId="585EA78C" w:rsidR="001A0C68" w:rsidRPr="0048274C" w:rsidRDefault="00B24BF8" w:rsidP="0048274C">
            <w:pPr>
              <w:spacing w:line="300" w:lineRule="exact"/>
              <w:jc w:val="both"/>
              <w:rPr>
                <w:color w:val="4472C4" w:themeColor="accent1"/>
                <w:lang w:val="en-GB"/>
              </w:rPr>
            </w:pPr>
            <w:r w:rsidRPr="0048274C">
              <w:rPr>
                <w:color w:val="4472C4" w:themeColor="accent1"/>
                <w:lang w:val="en-GB"/>
              </w:rPr>
              <w:t>The contribution of TA partners (Alliance and Ex</w:t>
            </w:r>
            <w:r w:rsidR="0048274C">
              <w:rPr>
                <w:color w:val="4472C4" w:themeColor="accent1"/>
                <w:lang w:val="en-GB"/>
              </w:rPr>
              <w:t>panded</w:t>
            </w:r>
            <w:r w:rsidRPr="0048274C">
              <w:rPr>
                <w:color w:val="4472C4" w:themeColor="accent1"/>
                <w:lang w:val="en-GB"/>
              </w:rPr>
              <w:t xml:space="preserve">) </w:t>
            </w:r>
            <w:r w:rsidR="003B4A03" w:rsidRPr="0048274C">
              <w:rPr>
                <w:color w:val="4472C4" w:themeColor="accent1"/>
                <w:lang w:val="en-GB"/>
              </w:rPr>
              <w:t>to</w:t>
            </w:r>
            <w:r w:rsidRPr="0048274C">
              <w:rPr>
                <w:color w:val="4472C4" w:themeColor="accent1"/>
                <w:lang w:val="en-GB"/>
              </w:rPr>
              <w:t xml:space="preserve"> Ghana’s Immunizati</w:t>
            </w:r>
            <w:r w:rsidR="0048274C">
              <w:rPr>
                <w:color w:val="4472C4" w:themeColor="accent1"/>
                <w:lang w:val="en-GB"/>
              </w:rPr>
              <w:t>o</w:t>
            </w:r>
            <w:r w:rsidRPr="0048274C">
              <w:rPr>
                <w:color w:val="4472C4" w:themeColor="accent1"/>
                <w:lang w:val="en-GB"/>
              </w:rPr>
              <w:t xml:space="preserve">n </w:t>
            </w:r>
            <w:r w:rsidR="003B4A03" w:rsidRPr="0048274C">
              <w:rPr>
                <w:color w:val="4472C4" w:themeColor="accent1"/>
                <w:lang w:val="en-GB"/>
              </w:rPr>
              <w:t>P</w:t>
            </w:r>
            <w:r w:rsidRPr="0048274C">
              <w:rPr>
                <w:color w:val="4472C4" w:themeColor="accent1"/>
                <w:lang w:val="en-GB"/>
              </w:rPr>
              <w:t>rogram</w:t>
            </w:r>
            <w:r w:rsidR="003B4A03" w:rsidRPr="0048274C">
              <w:rPr>
                <w:color w:val="4472C4" w:themeColor="accent1"/>
                <w:lang w:val="en-GB"/>
              </w:rPr>
              <w:t>me</w:t>
            </w:r>
            <w:r w:rsidRPr="0048274C">
              <w:rPr>
                <w:color w:val="4472C4" w:themeColor="accent1"/>
                <w:lang w:val="en-GB"/>
              </w:rPr>
              <w:t xml:space="preserve"> over the years</w:t>
            </w:r>
            <w:r w:rsidR="0048274C">
              <w:rPr>
                <w:color w:val="4472C4" w:themeColor="accent1"/>
                <w:lang w:val="en-GB"/>
              </w:rPr>
              <w:t xml:space="preserve"> has</w:t>
            </w:r>
            <w:r w:rsidRPr="0048274C">
              <w:rPr>
                <w:color w:val="4472C4" w:themeColor="accent1"/>
                <w:lang w:val="en-GB"/>
              </w:rPr>
              <w:t xml:space="preserve"> been phenomenal. The unique skill set that each partner has brought on board ha</w:t>
            </w:r>
            <w:r w:rsidR="0048274C">
              <w:rPr>
                <w:color w:val="4472C4" w:themeColor="accent1"/>
                <w:lang w:val="en-GB"/>
              </w:rPr>
              <w:t>s</w:t>
            </w:r>
            <w:r w:rsidRPr="0048274C">
              <w:rPr>
                <w:color w:val="4472C4" w:themeColor="accent1"/>
                <w:lang w:val="en-GB"/>
              </w:rPr>
              <w:t xml:space="preserve"> always compl</w:t>
            </w:r>
            <w:r w:rsidR="0048274C">
              <w:rPr>
                <w:color w:val="4472C4" w:themeColor="accent1"/>
                <w:lang w:val="en-GB"/>
              </w:rPr>
              <w:t>e</w:t>
            </w:r>
            <w:r w:rsidRPr="0048274C">
              <w:rPr>
                <w:color w:val="4472C4" w:themeColor="accent1"/>
                <w:lang w:val="en-GB"/>
              </w:rPr>
              <w:t xml:space="preserve">mented the </w:t>
            </w:r>
            <w:r w:rsidR="003B4A03" w:rsidRPr="0048274C">
              <w:rPr>
                <w:color w:val="4472C4" w:themeColor="accent1"/>
                <w:lang w:val="en-GB"/>
              </w:rPr>
              <w:t>P</w:t>
            </w:r>
            <w:r w:rsidRPr="0048274C">
              <w:rPr>
                <w:color w:val="4472C4" w:themeColor="accent1"/>
                <w:lang w:val="en-GB"/>
              </w:rPr>
              <w:t>rogram</w:t>
            </w:r>
            <w:r w:rsidR="003B4A03" w:rsidRPr="0048274C">
              <w:rPr>
                <w:color w:val="4472C4" w:themeColor="accent1"/>
                <w:lang w:val="en-GB"/>
              </w:rPr>
              <w:t>me’</w:t>
            </w:r>
            <w:r w:rsidRPr="0048274C">
              <w:rPr>
                <w:color w:val="4472C4" w:themeColor="accent1"/>
                <w:lang w:val="en-GB"/>
              </w:rPr>
              <w:t>s efforts at increasing and sustaining immunization coverage</w:t>
            </w:r>
            <w:r w:rsidR="0048274C">
              <w:rPr>
                <w:color w:val="4472C4" w:themeColor="accent1"/>
                <w:lang w:val="en-GB"/>
              </w:rPr>
              <w:t xml:space="preserve"> level</w:t>
            </w:r>
            <w:r w:rsidRPr="0048274C">
              <w:rPr>
                <w:color w:val="4472C4" w:themeColor="accent1"/>
                <w:lang w:val="en-GB"/>
              </w:rPr>
              <w:t>s over the years</w:t>
            </w:r>
            <w:r w:rsidR="00C86112">
              <w:rPr>
                <w:color w:val="4472C4" w:themeColor="accent1"/>
                <w:lang w:val="en-GB"/>
              </w:rPr>
              <w:t xml:space="preserve"> with</w:t>
            </w:r>
            <w:r w:rsidRPr="0048274C">
              <w:rPr>
                <w:color w:val="4472C4" w:themeColor="accent1"/>
                <w:lang w:val="en-GB"/>
              </w:rPr>
              <w:t xml:space="preserve">. Through the significant contribution of </w:t>
            </w:r>
            <w:r w:rsidR="0048274C">
              <w:rPr>
                <w:color w:val="4472C4" w:themeColor="accent1"/>
                <w:lang w:val="en-GB"/>
              </w:rPr>
              <w:t>P</w:t>
            </w:r>
            <w:r w:rsidRPr="0048274C">
              <w:rPr>
                <w:color w:val="4472C4" w:themeColor="accent1"/>
                <w:lang w:val="en-GB"/>
              </w:rPr>
              <w:t xml:space="preserve">artners, Ghana has witnessed very minimal </w:t>
            </w:r>
            <w:proofErr w:type="spellStart"/>
            <w:r w:rsidRPr="0048274C">
              <w:rPr>
                <w:color w:val="4472C4" w:themeColor="accent1"/>
                <w:lang w:val="en-GB"/>
              </w:rPr>
              <w:t>dirsruption</w:t>
            </w:r>
            <w:proofErr w:type="spellEnd"/>
            <w:r w:rsidRPr="0048274C">
              <w:rPr>
                <w:color w:val="4472C4" w:themeColor="accent1"/>
                <w:lang w:val="en-GB"/>
              </w:rPr>
              <w:t xml:space="preserve"> to routine </w:t>
            </w:r>
            <w:r w:rsidRPr="0048274C">
              <w:rPr>
                <w:color w:val="4472C4" w:themeColor="accent1"/>
                <w:lang w:val="en-GB"/>
              </w:rPr>
              <w:lastRenderedPageBreak/>
              <w:t xml:space="preserve">immunization services </w:t>
            </w:r>
            <w:r w:rsidR="00D668A7" w:rsidRPr="0048274C">
              <w:rPr>
                <w:color w:val="4472C4" w:themeColor="accent1"/>
                <w:lang w:val="en-GB"/>
              </w:rPr>
              <w:t>in the past two years even as the COVID</w:t>
            </w:r>
            <w:r w:rsidR="003B4A03" w:rsidRPr="0048274C">
              <w:rPr>
                <w:color w:val="4472C4" w:themeColor="accent1"/>
                <w:lang w:val="en-GB"/>
              </w:rPr>
              <w:t>-19</w:t>
            </w:r>
            <w:r w:rsidR="00D668A7" w:rsidRPr="0048274C">
              <w:rPr>
                <w:color w:val="4472C4" w:themeColor="accent1"/>
                <w:lang w:val="en-GB"/>
              </w:rPr>
              <w:t xml:space="preserve"> pandemic has </w:t>
            </w:r>
            <w:r w:rsidR="003B4A03" w:rsidRPr="0048274C">
              <w:rPr>
                <w:color w:val="4472C4" w:themeColor="accent1"/>
                <w:lang w:val="en-GB"/>
              </w:rPr>
              <w:t>caused disruption to the delivery of essential services</w:t>
            </w:r>
            <w:r w:rsidR="00D668A7" w:rsidRPr="0048274C">
              <w:rPr>
                <w:color w:val="4472C4" w:themeColor="accent1"/>
                <w:lang w:val="en-GB"/>
              </w:rPr>
              <w:t xml:space="preserve">. </w:t>
            </w:r>
          </w:p>
          <w:p w14:paraId="4BA2C6CA" w14:textId="77777777" w:rsidR="001A0C68" w:rsidRPr="0048274C" w:rsidRDefault="001A0C68" w:rsidP="0048274C">
            <w:pPr>
              <w:spacing w:line="300" w:lineRule="exact"/>
              <w:jc w:val="both"/>
              <w:rPr>
                <w:color w:val="4472C4" w:themeColor="accent1"/>
                <w:lang w:val="en-GB"/>
              </w:rPr>
            </w:pPr>
          </w:p>
          <w:p w14:paraId="42A91087" w14:textId="62D52CCC" w:rsidR="001A0C68" w:rsidRPr="0048274C" w:rsidRDefault="00D668A7" w:rsidP="0048274C">
            <w:pPr>
              <w:spacing w:line="300" w:lineRule="exact"/>
              <w:jc w:val="both"/>
              <w:rPr>
                <w:color w:val="4472C4" w:themeColor="accent1"/>
                <w:lang w:val="en-GB"/>
              </w:rPr>
            </w:pPr>
            <w:r w:rsidRPr="0048274C">
              <w:rPr>
                <w:color w:val="4472C4" w:themeColor="accent1"/>
                <w:lang w:val="en-GB"/>
              </w:rPr>
              <w:t>The significant role of Ghana’s TA partners ensured the quick turnaround in the development of the COVID</w:t>
            </w:r>
            <w:r w:rsidR="001A0C68" w:rsidRPr="0048274C">
              <w:rPr>
                <w:color w:val="4472C4" w:themeColor="accent1"/>
                <w:lang w:val="en-GB"/>
              </w:rPr>
              <w:t>-</w:t>
            </w:r>
            <w:r w:rsidRPr="0048274C">
              <w:rPr>
                <w:color w:val="4472C4" w:themeColor="accent1"/>
                <w:lang w:val="en-GB"/>
              </w:rPr>
              <w:t>19 National Vaccin</w:t>
            </w:r>
            <w:r w:rsidR="001A0C68" w:rsidRPr="0048274C">
              <w:rPr>
                <w:color w:val="4472C4" w:themeColor="accent1"/>
                <w:lang w:val="en-GB"/>
              </w:rPr>
              <w:t>ation and</w:t>
            </w:r>
            <w:r w:rsidRPr="0048274C">
              <w:rPr>
                <w:color w:val="4472C4" w:themeColor="accent1"/>
                <w:lang w:val="en-GB"/>
              </w:rPr>
              <w:t xml:space="preserve"> Deployment Plan (NDVP) in 2020 that led to Ghana being the first country</w:t>
            </w:r>
            <w:r w:rsidR="00C86112">
              <w:rPr>
                <w:color w:val="4472C4" w:themeColor="accent1"/>
                <w:lang w:val="en-GB"/>
              </w:rPr>
              <w:t xml:space="preserve">, </w:t>
            </w:r>
            <w:r w:rsidR="00C86112" w:rsidRPr="0048274C">
              <w:rPr>
                <w:color w:val="4472C4" w:themeColor="accent1"/>
                <w:lang w:val="en-GB"/>
              </w:rPr>
              <w:t>globally</w:t>
            </w:r>
            <w:r w:rsidR="00C86112">
              <w:rPr>
                <w:color w:val="4472C4" w:themeColor="accent1"/>
                <w:lang w:val="en-GB"/>
              </w:rPr>
              <w:t>,</w:t>
            </w:r>
            <w:r w:rsidRPr="0048274C">
              <w:rPr>
                <w:color w:val="4472C4" w:themeColor="accent1"/>
                <w:lang w:val="en-GB"/>
              </w:rPr>
              <w:t xml:space="preserve"> to receive </w:t>
            </w:r>
            <w:r w:rsidR="00C86112">
              <w:rPr>
                <w:color w:val="4472C4" w:themeColor="accent1"/>
                <w:lang w:val="en-GB"/>
              </w:rPr>
              <w:t>a</w:t>
            </w:r>
            <w:r w:rsidRPr="0048274C">
              <w:rPr>
                <w:color w:val="4472C4" w:themeColor="accent1"/>
                <w:lang w:val="en-GB"/>
              </w:rPr>
              <w:t xml:space="preserve"> shipment of COVID</w:t>
            </w:r>
            <w:r w:rsidR="001A0C68" w:rsidRPr="0048274C">
              <w:rPr>
                <w:color w:val="4472C4" w:themeColor="accent1"/>
                <w:lang w:val="en-GB"/>
              </w:rPr>
              <w:t>-19</w:t>
            </w:r>
            <w:r w:rsidRPr="0048274C">
              <w:rPr>
                <w:color w:val="4472C4" w:themeColor="accent1"/>
                <w:lang w:val="en-GB"/>
              </w:rPr>
              <w:t xml:space="preserve"> vaccines through the COVAX platform and rapidly deploy same within </w:t>
            </w:r>
            <w:r w:rsidR="00C86112">
              <w:rPr>
                <w:color w:val="4472C4" w:themeColor="accent1"/>
                <w:lang w:val="en-GB"/>
              </w:rPr>
              <w:t>one</w:t>
            </w:r>
            <w:r w:rsidRPr="0048274C">
              <w:rPr>
                <w:color w:val="4472C4" w:themeColor="accent1"/>
                <w:lang w:val="en-GB"/>
              </w:rPr>
              <w:t xml:space="preserve"> </w:t>
            </w:r>
            <w:r w:rsidR="00C86112">
              <w:rPr>
                <w:color w:val="4472C4" w:themeColor="accent1"/>
                <w:lang w:val="en-GB"/>
              </w:rPr>
              <w:t>week</w:t>
            </w:r>
            <w:r w:rsidRPr="0048274C">
              <w:rPr>
                <w:color w:val="4472C4" w:themeColor="accent1"/>
                <w:lang w:val="en-GB"/>
              </w:rPr>
              <w:t xml:space="preserve"> of receiving the vaccine. TA partners have continued to support the ongoing implementation of the plans including periodic reviews and updates in line with the dynamics of the disease up to </w:t>
            </w:r>
            <w:r w:rsidR="00604B35">
              <w:rPr>
                <w:color w:val="4472C4" w:themeColor="accent1"/>
                <w:lang w:val="en-GB"/>
              </w:rPr>
              <w:t>date</w:t>
            </w:r>
            <w:r w:rsidRPr="0048274C">
              <w:rPr>
                <w:color w:val="4472C4" w:themeColor="accent1"/>
                <w:lang w:val="en-GB"/>
              </w:rPr>
              <w:t xml:space="preserve">. Ghana’s TA partners supported the EPI in developing both the CDS </w:t>
            </w:r>
            <w:r w:rsidR="001A0C68" w:rsidRPr="0048274C">
              <w:rPr>
                <w:color w:val="4472C4" w:themeColor="accent1"/>
                <w:lang w:val="en-GB"/>
              </w:rPr>
              <w:t>E</w:t>
            </w:r>
            <w:r w:rsidRPr="0048274C">
              <w:rPr>
                <w:color w:val="4472C4" w:themeColor="accent1"/>
                <w:lang w:val="en-GB"/>
              </w:rPr>
              <w:t xml:space="preserve">arly </w:t>
            </w:r>
            <w:r w:rsidR="001A0C68" w:rsidRPr="0048274C">
              <w:rPr>
                <w:color w:val="4472C4" w:themeColor="accent1"/>
                <w:lang w:val="en-GB"/>
              </w:rPr>
              <w:t>A</w:t>
            </w:r>
            <w:r w:rsidRPr="0048274C">
              <w:rPr>
                <w:color w:val="4472C4" w:themeColor="accent1"/>
                <w:lang w:val="en-GB"/>
              </w:rPr>
              <w:t xml:space="preserve">ccess and </w:t>
            </w:r>
            <w:r w:rsidR="001A0C68" w:rsidRPr="0048274C">
              <w:rPr>
                <w:color w:val="4472C4" w:themeColor="accent1"/>
                <w:lang w:val="en-GB"/>
              </w:rPr>
              <w:t>N</w:t>
            </w:r>
            <w:r w:rsidRPr="0048274C">
              <w:rPr>
                <w:color w:val="4472C4" w:themeColor="accent1"/>
                <w:lang w:val="en-GB"/>
              </w:rPr>
              <w:t>eed</w:t>
            </w:r>
            <w:r w:rsidR="001A0C68" w:rsidRPr="0048274C">
              <w:rPr>
                <w:color w:val="4472C4" w:themeColor="accent1"/>
                <w:lang w:val="en-GB"/>
              </w:rPr>
              <w:t>-B</w:t>
            </w:r>
            <w:r w:rsidRPr="0048274C">
              <w:rPr>
                <w:color w:val="4472C4" w:themeColor="accent1"/>
                <w:lang w:val="en-GB"/>
              </w:rPr>
              <w:t xml:space="preserve">ased plans which paved the way for Gavi resources </w:t>
            </w:r>
            <w:r w:rsidR="00665F0C" w:rsidRPr="0048274C">
              <w:rPr>
                <w:color w:val="4472C4" w:themeColor="accent1"/>
                <w:lang w:val="en-GB"/>
              </w:rPr>
              <w:t xml:space="preserve">to </w:t>
            </w:r>
            <w:proofErr w:type="spellStart"/>
            <w:r w:rsidR="00665F0C" w:rsidRPr="0048274C">
              <w:rPr>
                <w:color w:val="4472C4" w:themeColor="accent1"/>
                <w:lang w:val="en-GB"/>
              </w:rPr>
              <w:t>facilt</w:t>
            </w:r>
            <w:r w:rsidR="000458AA" w:rsidRPr="0048274C">
              <w:rPr>
                <w:color w:val="4472C4" w:themeColor="accent1"/>
                <w:lang w:val="en-GB"/>
              </w:rPr>
              <w:t>i</w:t>
            </w:r>
            <w:r w:rsidR="00665F0C" w:rsidRPr="0048274C">
              <w:rPr>
                <w:color w:val="4472C4" w:themeColor="accent1"/>
                <w:lang w:val="en-GB"/>
              </w:rPr>
              <w:t>tate</w:t>
            </w:r>
            <w:proofErr w:type="spellEnd"/>
            <w:r w:rsidR="00665F0C" w:rsidRPr="0048274C">
              <w:rPr>
                <w:color w:val="4472C4" w:themeColor="accent1"/>
                <w:lang w:val="en-GB"/>
              </w:rPr>
              <w:t xml:space="preserve"> the ongoing implementation of the </w:t>
            </w:r>
            <w:proofErr w:type="gramStart"/>
            <w:r w:rsidR="00665F0C" w:rsidRPr="0048274C">
              <w:rPr>
                <w:color w:val="4472C4" w:themeColor="accent1"/>
                <w:lang w:val="en-GB"/>
              </w:rPr>
              <w:t>NDVP</w:t>
            </w:r>
            <w:r w:rsidR="00604B35">
              <w:rPr>
                <w:color w:val="4472C4" w:themeColor="accent1"/>
                <w:lang w:val="en-GB"/>
              </w:rPr>
              <w:t xml:space="preserve">, </w:t>
            </w:r>
            <w:r w:rsidR="00665F0C" w:rsidRPr="0048274C">
              <w:rPr>
                <w:color w:val="4472C4" w:themeColor="accent1"/>
                <w:lang w:val="en-GB"/>
              </w:rPr>
              <w:t xml:space="preserve"> towards</w:t>
            </w:r>
            <w:proofErr w:type="gramEnd"/>
            <w:r w:rsidR="00665F0C" w:rsidRPr="0048274C">
              <w:rPr>
                <w:color w:val="4472C4" w:themeColor="accent1"/>
                <w:lang w:val="en-GB"/>
              </w:rPr>
              <w:t xml:space="preserve"> a successful management and containment of the pandemic through immunization. </w:t>
            </w:r>
          </w:p>
          <w:p w14:paraId="78760FBA" w14:textId="77777777" w:rsidR="001A0C68" w:rsidRDefault="001A0C68" w:rsidP="00871FCF">
            <w:pPr>
              <w:spacing w:line="300" w:lineRule="exact"/>
              <w:rPr>
                <w:color w:val="92D050"/>
                <w:lang w:val="en-GB"/>
              </w:rPr>
            </w:pPr>
          </w:p>
          <w:p w14:paraId="54735EE2" w14:textId="7E2EDDBF" w:rsidR="009F0292" w:rsidRDefault="536ED79E" w:rsidP="0048274C">
            <w:pPr>
              <w:spacing w:line="300" w:lineRule="exact"/>
              <w:jc w:val="both"/>
              <w:rPr>
                <w:color w:val="92D050"/>
                <w:lang w:val="en-GB"/>
              </w:rPr>
            </w:pPr>
            <w:r w:rsidRPr="1AE3B657">
              <w:rPr>
                <w:color w:val="4472C4" w:themeColor="accent1"/>
                <w:lang w:val="en-GB"/>
              </w:rPr>
              <w:t xml:space="preserve">Partners role in the development and implementation of our current PSR/HSS and </w:t>
            </w:r>
            <w:r w:rsidRPr="1AE3B657">
              <w:rPr>
                <w:color w:val="4472C4" w:themeColor="accent1"/>
                <w:sz w:val="14"/>
                <w:szCs w:val="14"/>
                <w:lang w:val="en-GB"/>
              </w:rPr>
              <w:t>C</w:t>
            </w:r>
            <w:r w:rsidRPr="1AE3B657">
              <w:rPr>
                <w:color w:val="4472C4" w:themeColor="accent1"/>
                <w:lang w:val="en-GB"/>
              </w:rPr>
              <w:t xml:space="preserve">MYP are clearly spelt out and we hope to continue to leverage their efforts as we plan to </w:t>
            </w:r>
            <w:r w:rsidR="02A96A98" w:rsidRPr="1AE3B657">
              <w:rPr>
                <w:color w:val="4472C4" w:themeColor="accent1"/>
                <w:lang w:val="en-GB"/>
              </w:rPr>
              <w:t>restore m</w:t>
            </w:r>
            <w:r w:rsidRPr="1AE3B657">
              <w:rPr>
                <w:color w:val="4472C4" w:themeColor="accent1"/>
                <w:lang w:val="en-GB"/>
              </w:rPr>
              <w:t xml:space="preserve">aintain and </w:t>
            </w:r>
            <w:r w:rsidR="02A96A98" w:rsidRPr="1AE3B657">
              <w:rPr>
                <w:color w:val="4472C4" w:themeColor="accent1"/>
                <w:lang w:val="en-GB"/>
              </w:rPr>
              <w:t>s</w:t>
            </w:r>
            <w:r w:rsidR="631025D9" w:rsidRPr="1AE3B657">
              <w:rPr>
                <w:color w:val="4472C4" w:themeColor="accent1"/>
                <w:lang w:val="en-GB"/>
              </w:rPr>
              <w:t>trengthen Immunization services in the context of the COVID</w:t>
            </w:r>
            <w:r w:rsidR="3D55C059" w:rsidRPr="1AE3B657">
              <w:rPr>
                <w:color w:val="4472C4" w:themeColor="accent1"/>
                <w:lang w:val="en-GB"/>
              </w:rPr>
              <w:t>-</w:t>
            </w:r>
            <w:r w:rsidR="631025D9" w:rsidRPr="1AE3B657">
              <w:rPr>
                <w:color w:val="4472C4" w:themeColor="accent1"/>
                <w:lang w:val="en-GB"/>
              </w:rPr>
              <w:t xml:space="preserve">19 pandemic. Building on the significant skills and capacity building contributions they have made over the period, we plan to </w:t>
            </w:r>
            <w:r w:rsidR="02A96A98" w:rsidRPr="1AE3B657">
              <w:rPr>
                <w:color w:val="4472C4" w:themeColor="accent1"/>
                <w:lang w:val="en-GB"/>
              </w:rPr>
              <w:t>work with Partners</w:t>
            </w:r>
            <w:r w:rsidR="631025D9" w:rsidRPr="1AE3B657">
              <w:rPr>
                <w:color w:val="4472C4" w:themeColor="accent1"/>
                <w:lang w:val="en-GB"/>
              </w:rPr>
              <w:t xml:space="preserve"> in our quest  </w:t>
            </w:r>
            <w:r w:rsidR="02A96A98" w:rsidRPr="1AE3B657">
              <w:rPr>
                <w:color w:val="4472C4" w:themeColor="accent1"/>
                <w:lang w:val="en-GB"/>
              </w:rPr>
              <w:t>to</w:t>
            </w:r>
            <w:r w:rsidR="631025D9" w:rsidRPr="1AE3B657">
              <w:rPr>
                <w:color w:val="4472C4" w:themeColor="accent1"/>
                <w:lang w:val="en-GB"/>
              </w:rPr>
              <w:t xml:space="preserve"> </w:t>
            </w:r>
            <w:r w:rsidR="02A96A98" w:rsidRPr="1AE3B657">
              <w:rPr>
                <w:color w:val="4472C4" w:themeColor="accent1"/>
                <w:lang w:val="en-GB"/>
              </w:rPr>
              <w:t>accelerate</w:t>
            </w:r>
            <w:r w:rsidR="631025D9" w:rsidRPr="1AE3B657">
              <w:rPr>
                <w:color w:val="4472C4" w:themeColor="accent1"/>
                <w:lang w:val="en-GB"/>
              </w:rPr>
              <w:t xml:space="preserve"> </w:t>
            </w:r>
            <w:r w:rsidR="3D55C059" w:rsidRPr="1AE3B657">
              <w:rPr>
                <w:color w:val="4472C4" w:themeColor="accent1"/>
                <w:lang w:val="en-GB"/>
              </w:rPr>
              <w:t>efforts</w:t>
            </w:r>
            <w:r w:rsidR="631025D9" w:rsidRPr="1AE3B657">
              <w:rPr>
                <w:color w:val="4472C4" w:themeColor="accent1"/>
                <w:lang w:val="en-GB"/>
              </w:rPr>
              <w:t xml:space="preserve"> towards reducing zero</w:t>
            </w:r>
            <w:r w:rsidR="3D55C059" w:rsidRPr="1AE3B657">
              <w:rPr>
                <w:color w:val="4472C4" w:themeColor="accent1"/>
                <w:lang w:val="en-GB"/>
              </w:rPr>
              <w:t>-</w:t>
            </w:r>
            <w:r w:rsidR="631025D9" w:rsidRPr="1AE3B657">
              <w:rPr>
                <w:color w:val="4472C4" w:themeColor="accent1"/>
                <w:lang w:val="en-GB"/>
              </w:rPr>
              <w:t>dosed children</w:t>
            </w:r>
            <w:r w:rsidR="02A96A98" w:rsidRPr="1AE3B657">
              <w:rPr>
                <w:color w:val="4472C4" w:themeColor="accent1"/>
                <w:lang w:val="en-GB"/>
              </w:rPr>
              <w:t>;</w:t>
            </w:r>
            <w:r w:rsidR="797633AB" w:rsidRPr="1AE3B657">
              <w:rPr>
                <w:color w:val="4472C4" w:themeColor="accent1"/>
                <w:lang w:val="en-GB"/>
              </w:rPr>
              <w:t xml:space="preserve"> enhancing access to services in urban and underserved areas</w:t>
            </w:r>
            <w:r w:rsidR="02A96A98" w:rsidRPr="1AE3B657">
              <w:rPr>
                <w:color w:val="4472C4" w:themeColor="accent1"/>
                <w:lang w:val="en-GB"/>
              </w:rPr>
              <w:t>;</w:t>
            </w:r>
            <w:r w:rsidR="797633AB" w:rsidRPr="1AE3B657">
              <w:rPr>
                <w:color w:val="4472C4" w:themeColor="accent1"/>
                <w:lang w:val="en-GB"/>
              </w:rPr>
              <w:t xml:space="preserve"> improving the supply chain systems through the CCEOP and other related capacity building efforts</w:t>
            </w:r>
            <w:r w:rsidR="02A96A98" w:rsidRPr="1AE3B657">
              <w:rPr>
                <w:color w:val="4472C4" w:themeColor="accent1"/>
                <w:lang w:val="en-GB"/>
              </w:rPr>
              <w:t>;</w:t>
            </w:r>
            <w:r w:rsidR="797633AB" w:rsidRPr="1AE3B657">
              <w:rPr>
                <w:color w:val="4472C4" w:themeColor="accent1"/>
                <w:lang w:val="en-GB"/>
              </w:rPr>
              <w:t xml:space="preserve"> upscaling VPD surveillance and AEFI reporting</w:t>
            </w:r>
            <w:r w:rsidR="02A96A98" w:rsidRPr="1AE3B657">
              <w:rPr>
                <w:color w:val="4472C4" w:themeColor="accent1"/>
                <w:lang w:val="en-GB"/>
              </w:rPr>
              <w:t>;</w:t>
            </w:r>
            <w:r w:rsidR="797633AB" w:rsidRPr="1AE3B657">
              <w:rPr>
                <w:color w:val="4472C4" w:themeColor="accent1"/>
                <w:lang w:val="en-GB"/>
              </w:rPr>
              <w:t xml:space="preserve"> deploy</w:t>
            </w:r>
            <w:r w:rsidR="02A96A98" w:rsidRPr="1AE3B657">
              <w:rPr>
                <w:color w:val="4472C4" w:themeColor="accent1"/>
                <w:lang w:val="en-GB"/>
              </w:rPr>
              <w:t>ing</w:t>
            </w:r>
            <w:r w:rsidR="797633AB" w:rsidRPr="1AE3B657">
              <w:rPr>
                <w:color w:val="4472C4" w:themeColor="accent1"/>
                <w:lang w:val="en-GB"/>
              </w:rPr>
              <w:t xml:space="preserve"> innovative strategies to identify new vaccine delivery strategies, dynamic strategies in demand creation</w:t>
            </w:r>
            <w:r w:rsidR="02A96A98" w:rsidRPr="1AE3B657">
              <w:rPr>
                <w:color w:val="4472C4" w:themeColor="accent1"/>
                <w:lang w:val="en-GB"/>
              </w:rPr>
              <w:t>;</w:t>
            </w:r>
            <w:r w:rsidR="797633AB" w:rsidRPr="1AE3B657">
              <w:rPr>
                <w:color w:val="4472C4" w:themeColor="accent1"/>
                <w:lang w:val="en-GB"/>
              </w:rPr>
              <w:t xml:space="preserve"> stakeholder </w:t>
            </w:r>
            <w:proofErr w:type="spellStart"/>
            <w:r w:rsidR="797633AB" w:rsidRPr="1AE3B657">
              <w:rPr>
                <w:color w:val="4472C4" w:themeColor="accent1"/>
                <w:lang w:val="en-GB"/>
              </w:rPr>
              <w:t>invovelment</w:t>
            </w:r>
            <w:proofErr w:type="spellEnd"/>
            <w:r w:rsidR="797633AB" w:rsidRPr="1AE3B657">
              <w:rPr>
                <w:color w:val="4472C4" w:themeColor="accent1"/>
                <w:lang w:val="en-GB"/>
              </w:rPr>
              <w:t xml:space="preserve"> and communication efforts as well as developing alternative financing strategies towards the </w:t>
            </w:r>
            <w:proofErr w:type="spellStart"/>
            <w:r w:rsidR="797633AB" w:rsidRPr="1AE3B657">
              <w:rPr>
                <w:color w:val="4472C4" w:themeColor="accent1"/>
                <w:lang w:val="en-GB"/>
              </w:rPr>
              <w:t>sustainance</w:t>
            </w:r>
            <w:proofErr w:type="spellEnd"/>
            <w:r w:rsidR="797633AB" w:rsidRPr="1AE3B657">
              <w:rPr>
                <w:color w:val="4472C4" w:themeColor="accent1"/>
                <w:lang w:val="en-GB"/>
              </w:rPr>
              <w:t xml:space="preserve"> of immunization efforts and gains as the country enters the accelerated transition phase</w:t>
            </w:r>
            <w:r w:rsidR="02A96A98" w:rsidRPr="1AE3B657">
              <w:rPr>
                <w:color w:val="4472C4" w:themeColor="accent1"/>
                <w:lang w:val="en-GB"/>
              </w:rPr>
              <w:t>. This will</w:t>
            </w:r>
            <w:r w:rsidR="797633AB" w:rsidRPr="1AE3B657">
              <w:rPr>
                <w:color w:val="4472C4" w:themeColor="accent1"/>
                <w:lang w:val="en-GB"/>
              </w:rPr>
              <w:t xml:space="preserve"> ensure a seamless </w:t>
            </w:r>
            <w:proofErr w:type="spellStart"/>
            <w:r w:rsidR="797633AB" w:rsidRPr="1AE3B657">
              <w:rPr>
                <w:color w:val="4472C4" w:themeColor="accent1"/>
                <w:lang w:val="en-GB"/>
              </w:rPr>
              <w:t>continutation</w:t>
            </w:r>
            <w:proofErr w:type="spellEnd"/>
            <w:r w:rsidR="797633AB" w:rsidRPr="1AE3B657">
              <w:rPr>
                <w:color w:val="4472C4" w:themeColor="accent1"/>
                <w:lang w:val="en-GB"/>
              </w:rPr>
              <w:t xml:space="preserve"> of services beyond the transition in </w:t>
            </w:r>
            <w:r w:rsidR="01BF7CDD" w:rsidRPr="1AE3B657">
              <w:rPr>
                <w:color w:val="4472C4" w:themeColor="accent1"/>
                <w:lang w:val="en-GB"/>
              </w:rPr>
              <w:t>2027.</w:t>
            </w:r>
          </w:p>
        </w:tc>
      </w:tr>
    </w:tbl>
    <w:p w14:paraId="4B96F6BD" w14:textId="77777777" w:rsidR="009F0292" w:rsidRDefault="009F0292" w:rsidP="00372D1F">
      <w:pPr>
        <w:pStyle w:val="ListParagraph"/>
        <w:spacing w:line="300" w:lineRule="exact"/>
        <w:ind w:left="0"/>
        <w:jc w:val="right"/>
        <w:rPr>
          <w:b/>
          <w:color w:val="70AD47" w:themeColor="accent6"/>
          <w:sz w:val="26"/>
          <w:szCs w:val="26"/>
          <w:lang w:val="en-GB"/>
        </w:rPr>
      </w:pPr>
    </w:p>
    <w:p w14:paraId="11BFC6A9" w14:textId="753345FA" w:rsidR="00610D71" w:rsidRPr="00A957C9" w:rsidRDefault="003F0221" w:rsidP="00CE1F57">
      <w:pPr>
        <w:pStyle w:val="ListParagraph"/>
        <w:numPr>
          <w:ilvl w:val="0"/>
          <w:numId w:val="5"/>
        </w:numPr>
        <w:spacing w:line="300" w:lineRule="exact"/>
        <w:rPr>
          <w:b/>
          <w:bCs/>
          <w:color w:val="84C650"/>
          <w:sz w:val="26"/>
          <w:szCs w:val="26"/>
          <w:lang w:val="en-GB"/>
        </w:rPr>
      </w:pPr>
      <w:r w:rsidRPr="08473C56">
        <w:rPr>
          <w:b/>
          <w:bCs/>
          <w:color w:val="70AD47" w:themeColor="accent6"/>
          <w:sz w:val="26"/>
          <w:szCs w:val="26"/>
          <w:lang w:val="en-GB"/>
        </w:rPr>
        <w:t>Align</w:t>
      </w:r>
      <w:r w:rsidR="000A3F37" w:rsidRPr="08473C56">
        <w:rPr>
          <w:b/>
          <w:bCs/>
          <w:color w:val="70AD47" w:themeColor="accent6"/>
          <w:sz w:val="26"/>
          <w:szCs w:val="26"/>
          <w:lang w:val="en-GB"/>
        </w:rPr>
        <w:t xml:space="preserve">ment of </w:t>
      </w:r>
      <w:r w:rsidR="000A6AC3" w:rsidRPr="08473C56">
        <w:rPr>
          <w:b/>
          <w:bCs/>
          <w:color w:val="70AD47" w:themeColor="accent6"/>
          <w:sz w:val="26"/>
          <w:szCs w:val="26"/>
          <w:lang w:val="en-GB"/>
        </w:rPr>
        <w:t>the</w:t>
      </w:r>
      <w:r w:rsidR="000A3F37" w:rsidRPr="08473C56">
        <w:rPr>
          <w:b/>
          <w:bCs/>
          <w:color w:val="70AD47" w:themeColor="accent6"/>
          <w:sz w:val="26"/>
          <w:szCs w:val="26"/>
          <w:lang w:val="en-GB"/>
        </w:rPr>
        <w:t xml:space="preserve"> One T</w:t>
      </w:r>
      <w:r w:rsidR="002510AA" w:rsidRPr="08473C56">
        <w:rPr>
          <w:b/>
          <w:bCs/>
          <w:color w:val="70AD47" w:themeColor="accent6"/>
          <w:sz w:val="26"/>
          <w:szCs w:val="26"/>
          <w:lang w:val="en-GB"/>
        </w:rPr>
        <w:t>C</w:t>
      </w:r>
      <w:r w:rsidR="000A3F37" w:rsidRPr="08473C56">
        <w:rPr>
          <w:b/>
          <w:bCs/>
          <w:color w:val="70AD47" w:themeColor="accent6"/>
          <w:sz w:val="26"/>
          <w:szCs w:val="26"/>
          <w:lang w:val="en-GB"/>
        </w:rPr>
        <w:t xml:space="preserve">A plan with </w:t>
      </w:r>
      <w:r w:rsidR="00106608" w:rsidRPr="08473C56">
        <w:rPr>
          <w:b/>
          <w:bCs/>
          <w:color w:val="70AD47" w:themeColor="accent6"/>
          <w:sz w:val="26"/>
          <w:szCs w:val="26"/>
          <w:lang w:val="en-GB"/>
        </w:rPr>
        <w:t xml:space="preserve">future </w:t>
      </w:r>
      <w:r w:rsidR="00600378">
        <w:rPr>
          <w:b/>
          <w:bCs/>
          <w:color w:val="70AD47" w:themeColor="accent6"/>
          <w:sz w:val="26"/>
          <w:szCs w:val="26"/>
          <w:lang w:val="en-GB"/>
        </w:rPr>
        <w:t xml:space="preserve">Gavi </w:t>
      </w:r>
      <w:r w:rsidR="00106608" w:rsidRPr="08473C56">
        <w:rPr>
          <w:b/>
          <w:bCs/>
          <w:color w:val="70AD47" w:themeColor="accent6"/>
          <w:sz w:val="26"/>
          <w:szCs w:val="26"/>
          <w:lang w:val="en-GB"/>
        </w:rPr>
        <w:t>planned investments</w:t>
      </w:r>
      <w:r w:rsidR="005747F6" w:rsidRPr="08473C56">
        <w:rPr>
          <w:b/>
          <w:bCs/>
          <w:color w:val="70AD47" w:themeColor="accent6"/>
          <w:sz w:val="26"/>
          <w:szCs w:val="26"/>
          <w:lang w:val="en-GB"/>
        </w:rPr>
        <w:t xml:space="preserv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A957C9" w14:paraId="3F6BA8B3" w14:textId="77777777" w:rsidTr="1AE3B657">
        <w:tc>
          <w:tcPr>
            <w:tcW w:w="9192" w:type="dxa"/>
            <w:tcBorders>
              <w:bottom w:val="single" w:sz="4" w:space="0" w:color="auto"/>
            </w:tcBorders>
            <w:shd w:val="clear" w:color="auto" w:fill="F2F2F2" w:themeFill="background1" w:themeFillShade="F2"/>
          </w:tcPr>
          <w:p w14:paraId="518A3DA4" w14:textId="2C18AF85" w:rsidR="00A957C9" w:rsidRPr="00CF3BC4" w:rsidRDefault="007476F9" w:rsidP="00FC4A11">
            <w:pPr>
              <w:pStyle w:val="ListParagraph"/>
              <w:spacing w:line="300" w:lineRule="exact"/>
              <w:ind w:left="0"/>
              <w:rPr>
                <w:b/>
                <w:bCs/>
                <w:i/>
                <w:iCs/>
                <w:color w:val="84C650"/>
                <w:sz w:val="26"/>
                <w:szCs w:val="26"/>
                <w:lang w:val="en-GB"/>
              </w:rPr>
            </w:pPr>
            <w:r>
              <w:rPr>
                <w:b/>
                <w:bCs/>
                <w:i/>
                <w:iCs/>
                <w:sz w:val="20"/>
                <w:szCs w:val="20"/>
              </w:rPr>
              <w:t>5</w:t>
            </w:r>
            <w:r w:rsidR="00B80406">
              <w:rPr>
                <w:b/>
                <w:bCs/>
                <w:i/>
                <w:iCs/>
                <w:sz w:val="20"/>
                <w:szCs w:val="20"/>
              </w:rPr>
              <w:t xml:space="preserve">.1 </w:t>
            </w:r>
            <w:r w:rsidR="00A957C9" w:rsidRPr="00CF3BC4">
              <w:rPr>
                <w:b/>
                <w:bCs/>
                <w:i/>
                <w:iCs/>
                <w:sz w:val="20"/>
                <w:szCs w:val="20"/>
              </w:rPr>
              <w:t xml:space="preserve">Please list all planned upcoming Gavi investments (e.g.  </w:t>
            </w:r>
            <w:r w:rsidR="00016A9B">
              <w:rPr>
                <w:b/>
                <w:bCs/>
                <w:i/>
                <w:iCs/>
                <w:sz w:val="20"/>
                <w:szCs w:val="20"/>
              </w:rPr>
              <w:t>new vaccine support</w:t>
            </w:r>
            <w:r w:rsidR="00A957C9" w:rsidRPr="00CF3BC4">
              <w:rPr>
                <w:b/>
                <w:bCs/>
                <w:i/>
                <w:iCs/>
                <w:sz w:val="20"/>
                <w:szCs w:val="20"/>
              </w:rPr>
              <w:t xml:space="preserve">, CCEOP) that would require TA support within the planned period, including Full Portfolio Planning process and describe how the </w:t>
            </w:r>
            <w:r w:rsidR="00372D1F">
              <w:rPr>
                <w:b/>
                <w:bCs/>
                <w:i/>
                <w:iCs/>
                <w:sz w:val="20"/>
                <w:szCs w:val="20"/>
              </w:rPr>
              <w:t>TCA</w:t>
            </w:r>
            <w:r w:rsidR="00A957C9" w:rsidRPr="00CF3BC4">
              <w:rPr>
                <w:b/>
                <w:bCs/>
                <w:i/>
                <w:iCs/>
                <w:sz w:val="20"/>
                <w:szCs w:val="20"/>
              </w:rPr>
              <w:t xml:space="preserve"> plan will be aligned with the ongoing and/or planned investments made by Gavi</w:t>
            </w:r>
            <w:r w:rsidR="005F6AD5">
              <w:rPr>
                <w:b/>
                <w:bCs/>
                <w:i/>
                <w:iCs/>
                <w:sz w:val="20"/>
                <w:szCs w:val="20"/>
              </w:rPr>
              <w:t>.</w:t>
            </w:r>
          </w:p>
        </w:tc>
      </w:tr>
      <w:tr w:rsidR="00A957C9" w:rsidRPr="006A272B" w14:paraId="7B4C9334" w14:textId="77777777" w:rsidTr="1AE3B657">
        <w:trPr>
          <w:trHeight w:val="50"/>
        </w:trPr>
        <w:tc>
          <w:tcPr>
            <w:tcW w:w="9192" w:type="dxa"/>
            <w:tcBorders>
              <w:top w:val="single" w:sz="4" w:space="0" w:color="auto"/>
              <w:left w:val="single" w:sz="4" w:space="0" w:color="auto"/>
              <w:bottom w:val="single" w:sz="4" w:space="0" w:color="auto"/>
              <w:right w:val="single" w:sz="4" w:space="0" w:color="auto"/>
            </w:tcBorders>
          </w:tcPr>
          <w:p w14:paraId="3A422CB5" w14:textId="0279CA08" w:rsidR="00747E1D" w:rsidRPr="00BE7298" w:rsidRDefault="00747E1D" w:rsidP="00747E1D">
            <w:pPr>
              <w:spacing w:line="300" w:lineRule="exact"/>
              <w:rPr>
                <w:color w:val="4472C4" w:themeColor="accent1"/>
                <w:lang w:val="en-GB"/>
              </w:rPr>
            </w:pPr>
            <w:r w:rsidRPr="00BE7298">
              <w:rPr>
                <w:color w:val="4472C4" w:themeColor="accent1"/>
                <w:lang w:val="en-GB"/>
              </w:rPr>
              <w:t>Planned upcoming Gavi investments in Ghana that would require TA support within the planned period are:</w:t>
            </w:r>
          </w:p>
          <w:p w14:paraId="182D1CC5" w14:textId="0BE67342" w:rsidR="00747E1D" w:rsidRPr="00BE7298" w:rsidRDefault="00747E1D" w:rsidP="00747E1D">
            <w:pPr>
              <w:pStyle w:val="ListParagraph"/>
              <w:numPr>
                <w:ilvl w:val="0"/>
                <w:numId w:val="8"/>
              </w:numPr>
              <w:spacing w:line="300" w:lineRule="exact"/>
              <w:rPr>
                <w:color w:val="4472C4" w:themeColor="accent1"/>
                <w:lang w:val="en-GB"/>
              </w:rPr>
            </w:pPr>
            <w:r w:rsidRPr="00BE7298">
              <w:rPr>
                <w:color w:val="4472C4" w:themeColor="accent1"/>
                <w:lang w:val="en-GB"/>
              </w:rPr>
              <w:t>CCEOP</w:t>
            </w:r>
          </w:p>
          <w:p w14:paraId="354202FA" w14:textId="2AD45A3C" w:rsidR="00747E1D" w:rsidRPr="00BE7298" w:rsidRDefault="00747E1D" w:rsidP="00480614">
            <w:pPr>
              <w:pStyle w:val="ListParagraph"/>
              <w:numPr>
                <w:ilvl w:val="0"/>
                <w:numId w:val="8"/>
              </w:numPr>
              <w:spacing w:line="300" w:lineRule="exact"/>
              <w:rPr>
                <w:color w:val="4472C4" w:themeColor="accent1"/>
                <w:lang w:val="en-GB"/>
              </w:rPr>
            </w:pPr>
            <w:r w:rsidRPr="00BE7298">
              <w:rPr>
                <w:color w:val="4472C4" w:themeColor="accent1"/>
                <w:lang w:val="en-GB"/>
              </w:rPr>
              <w:t>New vaccine Introduction (IPV2)</w:t>
            </w:r>
          </w:p>
          <w:p w14:paraId="523B0EF8" w14:textId="193F879B" w:rsidR="00747E1D" w:rsidRPr="00BE7298" w:rsidRDefault="00747E1D" w:rsidP="00747E1D">
            <w:pPr>
              <w:pStyle w:val="ListParagraph"/>
              <w:numPr>
                <w:ilvl w:val="0"/>
                <w:numId w:val="8"/>
              </w:numPr>
              <w:spacing w:line="300" w:lineRule="exact"/>
              <w:rPr>
                <w:color w:val="4472C4" w:themeColor="accent1"/>
                <w:lang w:val="en-GB"/>
              </w:rPr>
            </w:pPr>
            <w:r w:rsidRPr="00BE7298">
              <w:rPr>
                <w:color w:val="4472C4" w:themeColor="accent1"/>
                <w:lang w:val="en-GB"/>
              </w:rPr>
              <w:t>New vaccine Introduction (</w:t>
            </w:r>
            <w:proofErr w:type="gramStart"/>
            <w:r w:rsidRPr="00BE7298">
              <w:rPr>
                <w:color w:val="4472C4" w:themeColor="accent1"/>
                <w:lang w:val="en-GB"/>
              </w:rPr>
              <w:t>RTS,S</w:t>
            </w:r>
            <w:proofErr w:type="gramEnd"/>
            <w:r w:rsidRPr="00BE7298">
              <w:rPr>
                <w:color w:val="4472C4" w:themeColor="accent1"/>
                <w:lang w:val="en-GB"/>
              </w:rPr>
              <w:t xml:space="preserve"> Malaria Vaccine)</w:t>
            </w:r>
          </w:p>
          <w:p w14:paraId="38EF54A5" w14:textId="49FE8D2E" w:rsidR="00747E1D" w:rsidRPr="00BE7298" w:rsidRDefault="00747E1D" w:rsidP="00747E1D">
            <w:pPr>
              <w:pStyle w:val="ListParagraph"/>
              <w:numPr>
                <w:ilvl w:val="0"/>
                <w:numId w:val="8"/>
              </w:numPr>
              <w:spacing w:line="300" w:lineRule="exact"/>
              <w:rPr>
                <w:color w:val="4472C4" w:themeColor="accent1"/>
                <w:lang w:val="en-GB"/>
              </w:rPr>
            </w:pPr>
            <w:r w:rsidRPr="00BE7298">
              <w:rPr>
                <w:color w:val="4472C4" w:themeColor="accent1"/>
                <w:lang w:val="en-GB"/>
              </w:rPr>
              <w:t>New vaccine Introduction (HPV Vaccine)</w:t>
            </w:r>
          </w:p>
          <w:p w14:paraId="65387A89" w14:textId="72BEC96A" w:rsidR="00747E1D" w:rsidRPr="00BE7298" w:rsidRDefault="6B2D46AB" w:rsidP="00747E1D">
            <w:pPr>
              <w:pStyle w:val="ListParagraph"/>
              <w:numPr>
                <w:ilvl w:val="0"/>
                <w:numId w:val="8"/>
              </w:numPr>
              <w:spacing w:line="300" w:lineRule="exact"/>
              <w:rPr>
                <w:color w:val="4472C4" w:themeColor="accent1"/>
                <w:lang w:val="en-GB"/>
              </w:rPr>
            </w:pPr>
            <w:r w:rsidRPr="1AE3B657">
              <w:rPr>
                <w:color w:val="4472C4" w:themeColor="accent1"/>
                <w:lang w:val="en-GB"/>
              </w:rPr>
              <w:t xml:space="preserve">Contribution to the </w:t>
            </w:r>
            <w:r w:rsidR="00EF0E85">
              <w:rPr>
                <w:color w:val="4472C4" w:themeColor="accent1"/>
                <w:lang w:val="en-GB"/>
              </w:rPr>
              <w:t>P</w:t>
            </w:r>
            <w:r w:rsidRPr="1AE3B657">
              <w:rPr>
                <w:color w:val="4472C4" w:themeColor="accent1"/>
                <w:lang w:val="en-GB"/>
              </w:rPr>
              <w:t>rogramme for Results (</w:t>
            </w:r>
            <w:proofErr w:type="spellStart"/>
            <w:r w:rsidRPr="1AE3B657">
              <w:rPr>
                <w:color w:val="4472C4" w:themeColor="accent1"/>
                <w:lang w:val="en-GB"/>
              </w:rPr>
              <w:t>PforR</w:t>
            </w:r>
            <w:proofErr w:type="spellEnd"/>
            <w:r w:rsidRPr="1AE3B657">
              <w:rPr>
                <w:color w:val="4472C4" w:themeColor="accent1"/>
                <w:lang w:val="en-GB"/>
              </w:rPr>
              <w:t xml:space="preserve">): </w:t>
            </w:r>
            <w:proofErr w:type="spellStart"/>
            <w:r w:rsidRPr="1AE3B657">
              <w:rPr>
                <w:color w:val="4472C4" w:themeColor="accent1"/>
                <w:lang w:val="en-GB"/>
              </w:rPr>
              <w:t>cofinancing</w:t>
            </w:r>
            <w:proofErr w:type="spellEnd"/>
            <w:r w:rsidRPr="1AE3B657">
              <w:rPr>
                <w:color w:val="4472C4" w:themeColor="accent1"/>
                <w:lang w:val="en-GB"/>
              </w:rPr>
              <w:t xml:space="preserve"> of a primary health care project with World Bank and GFF (As requested by the country under their envelope, Gavi will be </w:t>
            </w:r>
            <w:proofErr w:type="spellStart"/>
            <w:r w:rsidRPr="1AE3B657">
              <w:rPr>
                <w:color w:val="4472C4" w:themeColor="accent1"/>
                <w:lang w:val="en-GB"/>
              </w:rPr>
              <w:t>cofinancing</w:t>
            </w:r>
            <w:proofErr w:type="spellEnd"/>
            <w:r w:rsidRPr="1AE3B657">
              <w:rPr>
                <w:color w:val="4472C4" w:themeColor="accent1"/>
                <w:lang w:val="en-GB"/>
              </w:rPr>
              <w:t xml:space="preserve"> $1.5 million and a </w:t>
            </w:r>
            <w:proofErr w:type="spellStart"/>
            <w:r w:rsidRPr="1AE3B657">
              <w:rPr>
                <w:color w:val="4472C4" w:themeColor="accent1"/>
                <w:lang w:val="en-GB"/>
              </w:rPr>
              <w:t>Disbursment</w:t>
            </w:r>
            <w:proofErr w:type="spellEnd"/>
            <w:r w:rsidRPr="1AE3B657">
              <w:rPr>
                <w:color w:val="4472C4" w:themeColor="accent1"/>
                <w:lang w:val="en-GB"/>
              </w:rPr>
              <w:t xml:space="preserve"> Linked indicator related to zero dose children will be added to the project).</w:t>
            </w:r>
          </w:p>
          <w:p w14:paraId="3EBA2D0A" w14:textId="64896A60" w:rsidR="00747E1D" w:rsidRPr="00BE7298" w:rsidRDefault="00747E1D" w:rsidP="00747E1D">
            <w:pPr>
              <w:pStyle w:val="ListParagraph"/>
              <w:numPr>
                <w:ilvl w:val="0"/>
                <w:numId w:val="8"/>
              </w:numPr>
              <w:spacing w:line="300" w:lineRule="exact"/>
              <w:rPr>
                <w:color w:val="4472C4" w:themeColor="accent1"/>
                <w:lang w:val="en-GB"/>
              </w:rPr>
            </w:pPr>
            <w:r w:rsidRPr="00BE7298">
              <w:rPr>
                <w:color w:val="4472C4" w:themeColor="accent1"/>
                <w:lang w:val="en-GB"/>
              </w:rPr>
              <w:t xml:space="preserve">Equity Accelerator </w:t>
            </w:r>
            <w:r w:rsidR="00504BBA">
              <w:rPr>
                <w:color w:val="4472C4" w:themeColor="accent1"/>
                <w:lang w:val="en-GB"/>
              </w:rPr>
              <w:t>F</w:t>
            </w:r>
            <w:r w:rsidRPr="00BE7298">
              <w:rPr>
                <w:color w:val="4472C4" w:themeColor="accent1"/>
                <w:lang w:val="en-GB"/>
              </w:rPr>
              <w:t>inancing</w:t>
            </w:r>
          </w:p>
          <w:p w14:paraId="075EB686" w14:textId="76232E2E" w:rsidR="00747E1D" w:rsidRDefault="00747E1D" w:rsidP="00747E1D">
            <w:pPr>
              <w:pStyle w:val="ListParagraph"/>
              <w:numPr>
                <w:ilvl w:val="0"/>
                <w:numId w:val="8"/>
              </w:numPr>
              <w:spacing w:line="300" w:lineRule="exact"/>
              <w:rPr>
                <w:color w:val="4472C4" w:themeColor="accent1"/>
                <w:lang w:val="en-GB"/>
              </w:rPr>
            </w:pPr>
            <w:r w:rsidRPr="00BE7298">
              <w:rPr>
                <w:color w:val="4472C4" w:themeColor="accent1"/>
                <w:lang w:val="en-GB"/>
              </w:rPr>
              <w:lastRenderedPageBreak/>
              <w:t>Measles-Rubella Follow-up Campaign</w:t>
            </w:r>
          </w:p>
          <w:p w14:paraId="3EAF9C90" w14:textId="384B15B3" w:rsidR="005577D2" w:rsidRPr="00BE7298" w:rsidRDefault="005577D2" w:rsidP="00747E1D">
            <w:pPr>
              <w:pStyle w:val="ListParagraph"/>
              <w:numPr>
                <w:ilvl w:val="0"/>
                <w:numId w:val="8"/>
              </w:numPr>
              <w:spacing w:line="300" w:lineRule="exact"/>
              <w:rPr>
                <w:color w:val="4472C4" w:themeColor="accent1"/>
                <w:lang w:val="en-GB"/>
              </w:rPr>
            </w:pPr>
            <w:r>
              <w:rPr>
                <w:color w:val="4472C4" w:themeColor="accent1"/>
                <w:lang w:val="en-GB"/>
              </w:rPr>
              <w:t>Others to-be-determined</w:t>
            </w:r>
          </w:p>
          <w:p w14:paraId="1805F1B0" w14:textId="77777777" w:rsidR="00747E1D" w:rsidRPr="00BE7298" w:rsidRDefault="00747E1D" w:rsidP="00747E1D">
            <w:pPr>
              <w:spacing w:line="300" w:lineRule="exact"/>
              <w:rPr>
                <w:color w:val="4472C4" w:themeColor="accent1"/>
                <w:lang w:val="en-GB"/>
              </w:rPr>
            </w:pPr>
          </w:p>
          <w:p w14:paraId="2033B8FD" w14:textId="2ECB02B2" w:rsidR="00A957C9" w:rsidRPr="006A272B" w:rsidRDefault="00747E1D" w:rsidP="005577D2">
            <w:pPr>
              <w:spacing w:line="300" w:lineRule="exact"/>
              <w:jc w:val="both"/>
              <w:rPr>
                <w:lang w:val="en-GB"/>
              </w:rPr>
            </w:pPr>
            <w:r w:rsidRPr="00BE7298">
              <w:rPr>
                <w:color w:val="4472C4" w:themeColor="accent1"/>
                <w:lang w:val="en-GB"/>
              </w:rPr>
              <w:t>The planning of technical assistance, which is done in a</w:t>
            </w:r>
            <w:r w:rsidR="0026265B" w:rsidRPr="00BE7298">
              <w:rPr>
                <w:color w:val="4472C4" w:themeColor="accent1"/>
                <w:lang w:val="en-GB"/>
              </w:rPr>
              <w:t xml:space="preserve"> coordinated manner</w:t>
            </w:r>
            <w:r w:rsidRPr="00BE7298">
              <w:rPr>
                <w:color w:val="4472C4" w:themeColor="accent1"/>
                <w:lang w:val="en-GB"/>
              </w:rPr>
              <w:t xml:space="preserve">, will take into account all present and future investments. </w:t>
            </w:r>
            <w:proofErr w:type="gramStart"/>
            <w:r w:rsidRPr="00BE7298">
              <w:rPr>
                <w:color w:val="4472C4" w:themeColor="accent1"/>
                <w:lang w:val="en-GB"/>
              </w:rPr>
              <w:t>Also</w:t>
            </w:r>
            <w:proofErr w:type="gramEnd"/>
            <w:r w:rsidRPr="00BE7298">
              <w:rPr>
                <w:color w:val="4472C4" w:themeColor="accent1"/>
                <w:lang w:val="en-GB"/>
              </w:rPr>
              <w:t xml:space="preserve"> when drafting </w:t>
            </w:r>
            <w:r w:rsidR="0026265B" w:rsidRPr="00BE7298">
              <w:rPr>
                <w:color w:val="4472C4" w:themeColor="accent1"/>
                <w:lang w:val="en-GB"/>
              </w:rPr>
              <w:t xml:space="preserve">the proposal for </w:t>
            </w:r>
            <w:r w:rsidR="005577D2">
              <w:rPr>
                <w:color w:val="4472C4" w:themeColor="accent1"/>
                <w:lang w:val="en-GB"/>
              </w:rPr>
              <w:t>basket of Gavi support</w:t>
            </w:r>
            <w:r w:rsidRPr="00BE7298">
              <w:rPr>
                <w:color w:val="4472C4" w:themeColor="accent1"/>
                <w:lang w:val="en-GB"/>
              </w:rPr>
              <w:t>, the country will integrate into the monitoring plan the mobilization and use of these different resources to ensure effectiveness and efficiency</w:t>
            </w:r>
            <w:r w:rsidR="0026265B" w:rsidRPr="00BE7298">
              <w:rPr>
                <w:color w:val="4472C4" w:themeColor="accent1"/>
                <w:lang w:val="en-GB"/>
              </w:rPr>
              <w:t xml:space="preserve"> and leverage the available T</w:t>
            </w:r>
            <w:r w:rsidR="005577D2">
              <w:rPr>
                <w:color w:val="4472C4" w:themeColor="accent1"/>
                <w:lang w:val="en-GB"/>
              </w:rPr>
              <w:t>As</w:t>
            </w:r>
            <w:r w:rsidR="0026265B" w:rsidRPr="00BE7298">
              <w:rPr>
                <w:color w:val="4472C4" w:themeColor="accent1"/>
                <w:lang w:val="en-GB"/>
              </w:rPr>
              <w:t xml:space="preserve"> to support implementation of various activities.</w:t>
            </w:r>
          </w:p>
        </w:tc>
      </w:tr>
    </w:tbl>
    <w:p w14:paraId="658606AB" w14:textId="77777777" w:rsidR="0090123D" w:rsidRDefault="0090123D" w:rsidP="00FC4A11">
      <w:pPr>
        <w:spacing w:line="300" w:lineRule="exact"/>
        <w:rPr>
          <w:b/>
          <w:color w:val="70AD47" w:themeColor="accent6"/>
          <w:sz w:val="26"/>
          <w:szCs w:val="26"/>
          <w:lang w:val="en-GB"/>
        </w:rPr>
      </w:pPr>
    </w:p>
    <w:p w14:paraId="1A7FCC98" w14:textId="47F91448" w:rsidR="00603CB9" w:rsidRPr="0090123D" w:rsidRDefault="00672E21" w:rsidP="00CE1F57">
      <w:pPr>
        <w:pStyle w:val="ListParagraph"/>
        <w:numPr>
          <w:ilvl w:val="0"/>
          <w:numId w:val="5"/>
        </w:numPr>
        <w:spacing w:line="300" w:lineRule="exact"/>
        <w:ind w:left="426"/>
        <w:rPr>
          <w:lang w:val="en-GB"/>
        </w:rPr>
      </w:pPr>
      <w:r>
        <w:rPr>
          <w:b/>
          <w:bCs/>
          <w:color w:val="70AD47" w:themeColor="accent6"/>
          <w:sz w:val="26"/>
          <w:szCs w:val="26"/>
          <w:lang w:val="en-GB"/>
        </w:rPr>
        <w:t>TCA Monitoring</w:t>
      </w:r>
      <w:r w:rsidR="00D14702" w:rsidRPr="08473C56">
        <w:rPr>
          <w:b/>
          <w:bCs/>
          <w:color w:val="70AD47" w:themeColor="accent6"/>
          <w:sz w:val="26"/>
          <w:szCs w:val="26"/>
          <w:lang w:val="en-GB"/>
        </w:rPr>
        <w:t xml:space="preserve"> (</w:t>
      </w:r>
      <w:r w:rsidR="0023395F">
        <w:rPr>
          <w:b/>
          <w:bCs/>
          <w:color w:val="70AD47" w:themeColor="accent6"/>
          <w:sz w:val="26"/>
          <w:szCs w:val="26"/>
          <w:lang w:val="en-GB"/>
        </w:rPr>
        <w:t>1</w:t>
      </w:r>
      <w:r w:rsidR="00D14702" w:rsidRPr="08473C56">
        <w:rPr>
          <w:b/>
          <w:bCs/>
          <w:color w:val="70AD47" w:themeColor="accent6"/>
          <w:sz w:val="26"/>
          <w:szCs w:val="26"/>
          <w:lang w:val="en-GB"/>
        </w:rPr>
        <w:t xml:space="preserve"> page)</w:t>
      </w:r>
    </w:p>
    <w:p w14:paraId="603C9386" w14:textId="77777777" w:rsidR="00AB4B2D" w:rsidRPr="00A26F75" w:rsidRDefault="00AB4B2D" w:rsidP="00FC4A11">
      <w:pPr>
        <w:pStyle w:val="ListParagraph"/>
        <w:spacing w:line="300" w:lineRule="exact"/>
        <w:ind w:left="0"/>
        <w:rPr>
          <w:lang w:val="en-GB"/>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957C9" w:rsidRPr="00A957C9" w14:paraId="4BFA7B74" w14:textId="77777777" w:rsidTr="007612C6">
        <w:tc>
          <w:tcPr>
            <w:tcW w:w="9214" w:type="dxa"/>
            <w:tcBorders>
              <w:bottom w:val="single" w:sz="4" w:space="0" w:color="auto"/>
            </w:tcBorders>
            <w:shd w:val="clear" w:color="auto" w:fill="F2F2F2" w:themeFill="background1" w:themeFillShade="F2"/>
          </w:tcPr>
          <w:p w14:paraId="4522328F" w14:textId="19D81915" w:rsidR="00AB4B2D" w:rsidRPr="00A957C9" w:rsidRDefault="0023395F" w:rsidP="00FC4A11">
            <w:pPr>
              <w:pStyle w:val="ListParagraph"/>
              <w:spacing w:line="300" w:lineRule="exact"/>
              <w:ind w:left="0"/>
              <w:rPr>
                <w:b/>
                <w:sz w:val="26"/>
                <w:szCs w:val="26"/>
              </w:rPr>
            </w:pPr>
            <w:r>
              <w:rPr>
                <w:b/>
                <w:bCs/>
                <w:i/>
                <w:iCs/>
                <w:sz w:val="20"/>
                <w:szCs w:val="20"/>
              </w:rPr>
              <w:t>6</w:t>
            </w:r>
            <w:r w:rsidR="005876B5">
              <w:rPr>
                <w:b/>
                <w:bCs/>
                <w:i/>
                <w:iCs/>
                <w:sz w:val="20"/>
                <w:szCs w:val="20"/>
              </w:rPr>
              <w:t xml:space="preserve">.1 </w:t>
            </w:r>
            <w:r w:rsidR="00C47384" w:rsidRPr="00A957C9">
              <w:rPr>
                <w:b/>
                <w:bCs/>
                <w:i/>
                <w:iCs/>
                <w:sz w:val="20"/>
                <w:szCs w:val="20"/>
              </w:rPr>
              <w:t xml:space="preserve">Please provide an outline of the </w:t>
            </w:r>
            <w:proofErr w:type="gramStart"/>
            <w:r w:rsidR="00C47384" w:rsidRPr="00A957C9">
              <w:rPr>
                <w:b/>
                <w:bCs/>
                <w:i/>
                <w:iCs/>
                <w:sz w:val="20"/>
                <w:szCs w:val="20"/>
              </w:rPr>
              <w:t>TCA</w:t>
            </w:r>
            <w:r w:rsidR="0023057A">
              <w:rPr>
                <w:b/>
                <w:bCs/>
                <w:i/>
                <w:iCs/>
                <w:sz w:val="20"/>
                <w:szCs w:val="20"/>
              </w:rPr>
              <w:t xml:space="preserve">  in</w:t>
            </w:r>
            <w:proofErr w:type="gramEnd"/>
            <w:r w:rsidR="0023057A">
              <w:rPr>
                <w:b/>
                <w:bCs/>
                <w:i/>
                <w:iCs/>
                <w:sz w:val="20"/>
                <w:szCs w:val="20"/>
              </w:rPr>
              <w:t>-country</w:t>
            </w:r>
            <w:r w:rsidR="00C47384" w:rsidRPr="00A957C9">
              <w:rPr>
                <w:b/>
                <w:bCs/>
                <w:i/>
                <w:iCs/>
                <w:sz w:val="20"/>
                <w:szCs w:val="20"/>
              </w:rPr>
              <w:t xml:space="preserve"> </w:t>
            </w:r>
            <w:r w:rsidR="00D57494">
              <w:rPr>
                <w:b/>
                <w:bCs/>
                <w:i/>
                <w:iCs/>
                <w:sz w:val="20"/>
                <w:szCs w:val="20"/>
              </w:rPr>
              <w:t xml:space="preserve">mechanism </w:t>
            </w:r>
            <w:r w:rsidR="00C47384" w:rsidRPr="00A957C9">
              <w:rPr>
                <w:b/>
                <w:bCs/>
                <w:i/>
                <w:iCs/>
                <w:sz w:val="20"/>
                <w:szCs w:val="20"/>
              </w:rPr>
              <w:t xml:space="preserve">to jointly monitor and track implementation progress and generation of results of the </w:t>
            </w:r>
            <w:r w:rsidR="00372D1F">
              <w:rPr>
                <w:b/>
                <w:bCs/>
                <w:i/>
                <w:iCs/>
                <w:sz w:val="20"/>
                <w:szCs w:val="20"/>
              </w:rPr>
              <w:t>TCA</w:t>
            </w:r>
            <w:r w:rsidR="00C47384" w:rsidRPr="00A957C9">
              <w:rPr>
                <w:b/>
                <w:bCs/>
                <w:i/>
                <w:iCs/>
                <w:sz w:val="20"/>
                <w:szCs w:val="20"/>
              </w:rPr>
              <w:t xml:space="preserve"> plan as a whole</w:t>
            </w:r>
            <w:r w:rsidR="00564856">
              <w:rPr>
                <w:b/>
                <w:bCs/>
                <w:i/>
                <w:iCs/>
                <w:sz w:val="20"/>
                <w:szCs w:val="20"/>
              </w:rPr>
              <w:t xml:space="preserve">. </w:t>
            </w:r>
            <w:r w:rsidR="00564856" w:rsidRPr="00A957C9">
              <w:rPr>
                <w:b/>
                <w:bCs/>
                <w:i/>
                <w:iCs/>
                <w:sz w:val="20"/>
                <w:szCs w:val="20"/>
              </w:rPr>
              <w:t>How will that information be used to adjust and improve programme implementation?</w:t>
            </w:r>
            <w:r w:rsidR="00DD391A" w:rsidRPr="00A957C9">
              <w:rPr>
                <w:b/>
                <w:bCs/>
                <w:i/>
                <w:iCs/>
                <w:sz w:val="20"/>
                <w:szCs w:val="20"/>
              </w:rPr>
              <w:t xml:space="preserve"> How frequently are data reviewed and used and who will be responsible to ensure that review and learning occurs?</w:t>
            </w:r>
          </w:p>
        </w:tc>
      </w:tr>
      <w:tr w:rsidR="00A957C9" w:rsidRPr="006A272B" w14:paraId="4CAB625F" w14:textId="77777777" w:rsidTr="007612C6">
        <w:tc>
          <w:tcPr>
            <w:tcW w:w="9214" w:type="dxa"/>
            <w:tcBorders>
              <w:top w:val="single" w:sz="4" w:space="0" w:color="auto"/>
              <w:left w:val="single" w:sz="4" w:space="0" w:color="auto"/>
              <w:bottom w:val="single" w:sz="4" w:space="0" w:color="auto"/>
              <w:right w:val="single" w:sz="4" w:space="0" w:color="auto"/>
            </w:tcBorders>
          </w:tcPr>
          <w:p w14:paraId="635EF35F" w14:textId="4FF8B0FE" w:rsidR="00AB4B2D" w:rsidRPr="006A272B" w:rsidRDefault="00AB5C9E" w:rsidP="00B84EB6">
            <w:pPr>
              <w:jc w:val="both"/>
              <w:rPr>
                <w:lang w:val="en-GB"/>
              </w:rPr>
            </w:pPr>
            <w:r w:rsidRPr="00B84EB6">
              <w:rPr>
                <w:color w:val="4472C4" w:themeColor="accent1"/>
                <w:lang w:val="en-GB"/>
              </w:rPr>
              <w:t>The development of the TA plans ha</w:t>
            </w:r>
            <w:r w:rsidR="00C036DC">
              <w:rPr>
                <w:color w:val="4472C4" w:themeColor="accent1"/>
                <w:lang w:val="en-GB"/>
              </w:rPr>
              <w:t>s,</w:t>
            </w:r>
            <w:r w:rsidRPr="00B84EB6">
              <w:rPr>
                <w:color w:val="4472C4" w:themeColor="accent1"/>
                <w:lang w:val="en-GB"/>
              </w:rPr>
              <w:t xml:space="preserve"> </w:t>
            </w:r>
            <w:r w:rsidR="00C036DC">
              <w:rPr>
                <w:color w:val="4472C4" w:themeColor="accent1"/>
                <w:lang w:val="en-GB"/>
              </w:rPr>
              <w:t>traditionally,</w:t>
            </w:r>
            <w:r w:rsidRPr="00B84EB6">
              <w:rPr>
                <w:color w:val="4472C4" w:themeColor="accent1"/>
                <w:lang w:val="en-GB"/>
              </w:rPr>
              <w:t xml:space="preserve"> been a joint effort coordinated by the MoH/EPI through the identification of felt needs and dialogue with TA partners identified to possess the skill set, tra</w:t>
            </w:r>
            <w:r w:rsidR="00C036DC">
              <w:rPr>
                <w:color w:val="4472C4" w:themeColor="accent1"/>
                <w:lang w:val="en-GB"/>
              </w:rPr>
              <w:t>c</w:t>
            </w:r>
            <w:r w:rsidRPr="00B84EB6">
              <w:rPr>
                <w:color w:val="4472C4" w:themeColor="accent1"/>
                <w:lang w:val="en-GB"/>
              </w:rPr>
              <w:t xml:space="preserve">k record and capacity to help fill these gaps. This mechanism leads to a </w:t>
            </w:r>
            <w:proofErr w:type="spellStart"/>
            <w:r w:rsidRPr="00B84EB6">
              <w:rPr>
                <w:color w:val="4472C4" w:themeColor="accent1"/>
                <w:lang w:val="en-GB"/>
              </w:rPr>
              <w:t>well coordinated</w:t>
            </w:r>
            <w:proofErr w:type="spellEnd"/>
            <w:r w:rsidRPr="00B84EB6">
              <w:rPr>
                <w:color w:val="4472C4" w:themeColor="accent1"/>
                <w:lang w:val="en-GB"/>
              </w:rPr>
              <w:t xml:space="preserve"> effort which </w:t>
            </w:r>
            <w:proofErr w:type="spellStart"/>
            <w:r w:rsidRPr="00B84EB6">
              <w:rPr>
                <w:color w:val="4472C4" w:themeColor="accent1"/>
                <w:lang w:val="en-GB"/>
              </w:rPr>
              <w:t>avoides</w:t>
            </w:r>
            <w:proofErr w:type="spellEnd"/>
            <w:r w:rsidRPr="00B84EB6">
              <w:rPr>
                <w:color w:val="4472C4" w:themeColor="accent1"/>
                <w:lang w:val="en-GB"/>
              </w:rPr>
              <w:t xml:space="preserve"> overlap of TA resources and efforts and en</w:t>
            </w:r>
            <w:r w:rsidR="0026265B" w:rsidRPr="00B84EB6">
              <w:rPr>
                <w:color w:val="4472C4" w:themeColor="accent1"/>
                <w:lang w:val="en-GB"/>
              </w:rPr>
              <w:t>s</w:t>
            </w:r>
            <w:r w:rsidRPr="00B84EB6">
              <w:rPr>
                <w:color w:val="4472C4" w:themeColor="accent1"/>
                <w:lang w:val="en-GB"/>
              </w:rPr>
              <w:t>ure compl</w:t>
            </w:r>
            <w:r w:rsidR="00775FD5">
              <w:rPr>
                <w:color w:val="4472C4" w:themeColor="accent1"/>
                <w:lang w:val="en-GB"/>
              </w:rPr>
              <w:t>e</w:t>
            </w:r>
            <w:r w:rsidRPr="00B84EB6">
              <w:rPr>
                <w:color w:val="4472C4" w:themeColor="accent1"/>
                <w:lang w:val="en-GB"/>
              </w:rPr>
              <w:t>menta</w:t>
            </w:r>
            <w:r w:rsidR="00775FD5">
              <w:rPr>
                <w:color w:val="4472C4" w:themeColor="accent1"/>
                <w:lang w:val="en-GB"/>
              </w:rPr>
              <w:t>r</w:t>
            </w:r>
            <w:r w:rsidRPr="00B84EB6">
              <w:rPr>
                <w:color w:val="4472C4" w:themeColor="accent1"/>
                <w:lang w:val="en-GB"/>
              </w:rPr>
              <w:t xml:space="preserve">ity of TA milestones and outcomes towards the resolution of the felt needs by the MoH and EPI </w:t>
            </w:r>
            <w:r w:rsidR="0026265B" w:rsidRPr="00B84EB6">
              <w:rPr>
                <w:color w:val="4472C4" w:themeColor="accent1"/>
                <w:lang w:val="en-GB"/>
              </w:rPr>
              <w:t>P</w:t>
            </w:r>
            <w:r w:rsidRPr="00B84EB6">
              <w:rPr>
                <w:color w:val="4472C4" w:themeColor="accent1"/>
                <w:lang w:val="en-GB"/>
              </w:rPr>
              <w:t>rogram</w:t>
            </w:r>
            <w:r w:rsidR="0026265B" w:rsidRPr="00B84EB6">
              <w:rPr>
                <w:color w:val="4472C4" w:themeColor="accent1"/>
                <w:lang w:val="en-GB"/>
              </w:rPr>
              <w:t>me</w:t>
            </w:r>
            <w:r w:rsidRPr="00B84EB6">
              <w:rPr>
                <w:color w:val="4472C4" w:themeColor="accent1"/>
                <w:lang w:val="en-GB"/>
              </w:rPr>
              <w:t>. Embed</w:t>
            </w:r>
            <w:r w:rsidR="0026265B" w:rsidRPr="00B84EB6">
              <w:rPr>
                <w:color w:val="4472C4" w:themeColor="accent1"/>
                <w:lang w:val="en-GB"/>
              </w:rPr>
              <w:t>d</w:t>
            </w:r>
            <w:r w:rsidRPr="00B84EB6">
              <w:rPr>
                <w:color w:val="4472C4" w:themeColor="accent1"/>
                <w:lang w:val="en-GB"/>
              </w:rPr>
              <w:t>ed in this process is a periodic check-in and review process to understand the status</w:t>
            </w:r>
            <w:r w:rsidR="00C036DC">
              <w:rPr>
                <w:color w:val="4472C4" w:themeColor="accent1"/>
                <w:lang w:val="en-GB"/>
              </w:rPr>
              <w:t xml:space="preserve"> of</w:t>
            </w:r>
            <w:r w:rsidRPr="00B84EB6">
              <w:rPr>
                <w:color w:val="4472C4" w:themeColor="accent1"/>
                <w:lang w:val="en-GB"/>
              </w:rPr>
              <w:t xml:space="preserve"> each TA partner</w:t>
            </w:r>
            <w:r w:rsidR="00C036DC">
              <w:rPr>
                <w:color w:val="4472C4" w:themeColor="accent1"/>
                <w:lang w:val="en-GB"/>
              </w:rPr>
              <w:t>’</w:t>
            </w:r>
            <w:r w:rsidRPr="00B84EB6">
              <w:rPr>
                <w:color w:val="4472C4" w:themeColor="accent1"/>
                <w:lang w:val="en-GB"/>
              </w:rPr>
              <w:t xml:space="preserve">s efforts </w:t>
            </w:r>
            <w:r w:rsidR="00E2094C" w:rsidRPr="00B84EB6">
              <w:rPr>
                <w:color w:val="4472C4" w:themeColor="accent1"/>
                <w:lang w:val="en-GB"/>
              </w:rPr>
              <w:t>in terms of timeline</w:t>
            </w:r>
            <w:r w:rsidR="00C036DC">
              <w:rPr>
                <w:color w:val="4472C4" w:themeColor="accent1"/>
                <w:lang w:val="en-GB"/>
              </w:rPr>
              <w:t>s</w:t>
            </w:r>
            <w:r w:rsidR="00E2094C" w:rsidRPr="00B84EB6">
              <w:rPr>
                <w:color w:val="4472C4" w:themeColor="accent1"/>
                <w:lang w:val="en-GB"/>
              </w:rPr>
              <w:t xml:space="preserve">s, completeness, quality and impact of the TA efforts within the assigned thematic area and </w:t>
            </w:r>
            <w:proofErr w:type="spellStart"/>
            <w:r w:rsidR="00E2094C" w:rsidRPr="00B84EB6">
              <w:rPr>
                <w:color w:val="4472C4" w:themeColor="accent1"/>
                <w:lang w:val="en-GB"/>
              </w:rPr>
              <w:t>geograpic</w:t>
            </w:r>
            <w:proofErr w:type="spellEnd"/>
            <w:r w:rsidR="00E2094C" w:rsidRPr="00B84EB6">
              <w:rPr>
                <w:color w:val="4472C4" w:themeColor="accent1"/>
                <w:lang w:val="en-GB"/>
              </w:rPr>
              <w:t xml:space="preserve"> location where applicable. This process leads to replanning and leveraging of all lessons learnt to ensure the </w:t>
            </w:r>
            <w:r w:rsidR="0026265B" w:rsidRPr="00B84EB6">
              <w:rPr>
                <w:color w:val="4472C4" w:themeColor="accent1"/>
                <w:lang w:val="en-GB"/>
              </w:rPr>
              <w:t>P</w:t>
            </w:r>
            <w:r w:rsidR="00E2094C" w:rsidRPr="00B84EB6">
              <w:rPr>
                <w:color w:val="4472C4" w:themeColor="accent1"/>
                <w:lang w:val="en-GB"/>
              </w:rPr>
              <w:t>rogram</w:t>
            </w:r>
            <w:r w:rsidR="0026265B" w:rsidRPr="00B84EB6">
              <w:rPr>
                <w:color w:val="4472C4" w:themeColor="accent1"/>
                <w:lang w:val="en-GB"/>
              </w:rPr>
              <w:t>me</w:t>
            </w:r>
            <w:r w:rsidR="00E2094C" w:rsidRPr="00B84EB6">
              <w:rPr>
                <w:color w:val="4472C4" w:themeColor="accent1"/>
                <w:lang w:val="en-GB"/>
              </w:rPr>
              <w:t xml:space="preserve"> maximises the benefits of the TA efforts. All TA efforts will be reviewed monthly to ensure their continuous alignment with the applicable national plans and strategy. Regional/district directors whose operational are</w:t>
            </w:r>
            <w:r w:rsidR="000E3E8F">
              <w:rPr>
                <w:color w:val="4472C4" w:themeColor="accent1"/>
                <w:lang w:val="en-GB"/>
              </w:rPr>
              <w:t>a</w:t>
            </w:r>
            <w:r w:rsidR="00E2094C" w:rsidRPr="00B84EB6">
              <w:rPr>
                <w:color w:val="4472C4" w:themeColor="accent1"/>
                <w:lang w:val="en-GB"/>
              </w:rPr>
              <w:t xml:space="preserve">s would be direct beneficiaries of the TA efforts would also have oversight of the approved plans and programs of the TA’s assigned to their areas so they can ensure a seamless </w:t>
            </w:r>
            <w:r w:rsidR="00C003AB" w:rsidRPr="00B84EB6">
              <w:rPr>
                <w:color w:val="4472C4" w:themeColor="accent1"/>
                <w:lang w:val="en-GB"/>
              </w:rPr>
              <w:t>integration of the TA efforts in their sub</w:t>
            </w:r>
            <w:r w:rsidR="000E3E8F">
              <w:rPr>
                <w:color w:val="4472C4" w:themeColor="accent1"/>
                <w:lang w:val="en-GB"/>
              </w:rPr>
              <w:t>-</w:t>
            </w:r>
            <w:r w:rsidR="00C003AB" w:rsidRPr="00B84EB6">
              <w:rPr>
                <w:color w:val="4472C4" w:themeColor="accent1"/>
                <w:lang w:val="en-GB"/>
              </w:rPr>
              <w:t>national plans and activities.</w:t>
            </w:r>
          </w:p>
        </w:tc>
      </w:tr>
    </w:tbl>
    <w:p w14:paraId="146AE6CC" w14:textId="77777777" w:rsidR="007612C6" w:rsidRDefault="007612C6" w:rsidP="00FC4A11">
      <w:pPr>
        <w:spacing w:line="300" w:lineRule="exact"/>
        <w:rPr>
          <w:lang w:val="en-GB"/>
        </w:rPr>
      </w:pPr>
    </w:p>
    <w:sectPr w:rsidR="007612C6" w:rsidSect="007612C6">
      <w:headerReference w:type="even" r:id="rId15"/>
      <w:headerReference w:type="default" r:id="rId16"/>
      <w:footerReference w:type="even" r:id="rId17"/>
      <w:footerReference w:type="default" r:id="rId18"/>
      <w:headerReference w:type="first" r:id="rId19"/>
      <w:footerReference w:type="first" r:id="rId20"/>
      <w:pgSz w:w="12240" w:h="15840"/>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B40C" w14:textId="77777777" w:rsidR="007612A0" w:rsidRDefault="007612A0" w:rsidP="00431CA9">
      <w:pPr>
        <w:spacing w:line="240" w:lineRule="auto"/>
      </w:pPr>
      <w:r>
        <w:separator/>
      </w:r>
    </w:p>
  </w:endnote>
  <w:endnote w:type="continuationSeparator" w:id="0">
    <w:p w14:paraId="3E4FB6E4" w14:textId="77777777" w:rsidR="007612A0" w:rsidRDefault="007612A0" w:rsidP="00431CA9">
      <w:pPr>
        <w:spacing w:line="240" w:lineRule="auto"/>
      </w:pPr>
      <w:r>
        <w:continuationSeparator/>
      </w:r>
    </w:p>
  </w:endnote>
  <w:endnote w:type="continuationNotice" w:id="1">
    <w:p w14:paraId="04487CFF" w14:textId="77777777" w:rsidR="007612A0" w:rsidRDefault="007612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2471" w14:textId="77777777" w:rsidR="00AB7F9F" w:rsidRDefault="00AB7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14:paraId="25F050AA" w14:textId="59C85FE8" w:rsidR="008A79C9" w:rsidRDefault="00356CDE">
        <w:pPr>
          <w:pStyle w:val="Footer"/>
        </w:pPr>
        <w:r w:rsidRPr="00DA777C">
          <w:rPr>
            <w:sz w:val="20"/>
            <w:szCs w:val="20"/>
          </w:rPr>
          <w:fldChar w:fldCharType="begin"/>
        </w:r>
        <w:r w:rsidRPr="00DA777C">
          <w:rPr>
            <w:sz w:val="20"/>
            <w:szCs w:val="20"/>
          </w:rPr>
          <w:instrText xml:space="preserve"> PAGE   \* MERGEFORMAT </w:instrText>
        </w:r>
        <w:r w:rsidRPr="00DA777C">
          <w:rPr>
            <w:sz w:val="20"/>
            <w:szCs w:val="20"/>
          </w:rPr>
          <w:fldChar w:fldCharType="separate"/>
        </w:r>
        <w:r w:rsidRPr="00DA777C">
          <w:rPr>
            <w:noProof/>
            <w:sz w:val="20"/>
            <w:szCs w:val="20"/>
          </w:rPr>
          <w:t>2</w:t>
        </w:r>
        <w:r w:rsidRPr="00DA777C">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D567" w14:textId="77777777" w:rsidR="00AB7F9F" w:rsidRDefault="00AB7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7BBE" w14:textId="77777777" w:rsidR="007612A0" w:rsidRDefault="007612A0" w:rsidP="00431CA9">
      <w:pPr>
        <w:spacing w:line="240" w:lineRule="auto"/>
      </w:pPr>
      <w:r>
        <w:separator/>
      </w:r>
    </w:p>
  </w:footnote>
  <w:footnote w:type="continuationSeparator" w:id="0">
    <w:p w14:paraId="7A8D2595" w14:textId="77777777" w:rsidR="007612A0" w:rsidRDefault="007612A0" w:rsidP="00431CA9">
      <w:pPr>
        <w:spacing w:line="240" w:lineRule="auto"/>
      </w:pPr>
      <w:r>
        <w:continuationSeparator/>
      </w:r>
    </w:p>
  </w:footnote>
  <w:footnote w:type="continuationNotice" w:id="1">
    <w:p w14:paraId="3CC3C8A0" w14:textId="77777777" w:rsidR="007612A0" w:rsidRDefault="007612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08DC" w14:textId="77777777" w:rsidR="00AB7F9F" w:rsidRDefault="00AB7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7D54" w14:textId="6021F0DD" w:rsidR="00431CA9" w:rsidRDefault="003A0D3A">
    <w:pPr>
      <w:pStyle w:val="Header"/>
    </w:pPr>
    <w:r w:rsidRPr="00892432">
      <w:rPr>
        <w:noProof/>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BD1FEE" w:rsidRDefault="004C6B53" w:rsidP="00055BF9">
                          <w:pPr>
                            <w:rPr>
                              <w:b/>
                              <w:bCs/>
                              <w:color w:val="0070C0"/>
                              <w:sz w:val="24"/>
                              <w:szCs w:val="24"/>
                              <w:lang w:val="en-US"/>
                            </w:rPr>
                          </w:pPr>
                          <w:r>
                            <w:rPr>
                              <w:b/>
                              <w:bCs/>
                              <w:color w:val="0070C0"/>
                              <w:sz w:val="24"/>
                              <w:szCs w:val="24"/>
                              <w:lang w:val="en-US"/>
                            </w:rPr>
                            <w:t xml:space="preserve">PEF </w:t>
                          </w:r>
                          <w:r w:rsidR="0019737F">
                            <w:rPr>
                              <w:b/>
                              <w:bCs/>
                              <w:color w:val="0070C0"/>
                              <w:sz w:val="24"/>
                              <w:szCs w:val="24"/>
                              <w:lang w:val="en-US"/>
                            </w:rPr>
                            <w:t>Target</w:t>
                          </w:r>
                          <w:r w:rsidR="009F7930">
                            <w:rPr>
                              <w:b/>
                              <w:bCs/>
                              <w:color w:val="0070C0"/>
                              <w:sz w:val="24"/>
                              <w:szCs w:val="24"/>
                              <w:lang w:val="en-US"/>
                            </w:rPr>
                            <w:t>ed</w:t>
                          </w:r>
                          <w:r w:rsidR="0019737F">
                            <w:rPr>
                              <w:b/>
                              <w:bCs/>
                              <w:color w:val="0070C0"/>
                              <w:sz w:val="24"/>
                              <w:szCs w:val="24"/>
                              <w:lang w:val="en-US"/>
                            </w:rPr>
                            <w:t xml:space="preserve"> Country Assistance Narrative</w:t>
                          </w:r>
                          <w:r w:rsidR="00EA4DE2">
                            <w:rPr>
                              <w:b/>
                              <w:bCs/>
                              <w:color w:val="0070C0"/>
                              <w:sz w:val="24"/>
                              <w:szCs w:val="24"/>
                              <w:lang w:val="en-US"/>
                            </w:rPr>
                            <w:t xml:space="preserve"> </w:t>
                          </w:r>
                          <w:r w:rsidR="00BD1FEE">
                            <w:rPr>
                              <w:b/>
                              <w:bCs/>
                              <w:color w:val="0070C0"/>
                              <w:sz w:val="24"/>
                              <w:szCs w:val="24"/>
                              <w:lang w:val="en-US"/>
                            </w:rPr>
                            <w:t xml:space="preserve"> </w:t>
                          </w:r>
                        </w:p>
                        <w:p w14:paraId="4599C1BA" w14:textId="1E37035E" w:rsidR="00892432" w:rsidRPr="00C4436D" w:rsidRDefault="00F43296" w:rsidP="00055BF9">
                          <w:pPr>
                            <w:rPr>
                              <w:color w:val="0070C0"/>
                            </w:rPr>
                          </w:pPr>
                          <w:r>
                            <w:rPr>
                              <w:color w:val="0070C0"/>
                            </w:rPr>
                            <w:t>April</w:t>
                          </w:r>
                          <w:r w:rsidR="00BD1FEE" w:rsidRPr="00BD1FEE">
                            <w:rPr>
                              <w:color w:val="0070C0"/>
                            </w:rPr>
                            <w:t xml:space="preserve"> </w:t>
                          </w:r>
                          <w:r w:rsidR="00DC7614" w:rsidRPr="00C4436D">
                            <w:rPr>
                              <w:color w:val="0070C0"/>
                            </w:rPr>
                            <w:t>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72E57" id="_x0000_t202" coordsize="21600,21600" o:spt="202" path="m,l,21600r21600,l21600,xe">
              <v:stroke joinstyle="miter"/>
              <v:path gradientshapeok="t" o:connecttype="rect"/>
            </v:shapetype>
            <v:shape id="Text Box 2" o:spid="_x0000_s1026" type="#_x0000_t20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" filled="f" stroked="f" strokecolor="#0070c0" strokeweight=".5pt">
              <v:textbox>
                <w:txbxContent>
                  <w:p w14:paraId="70F2D3FD" w14:textId="30B324B9" w:rsidR="00BD1FEE" w:rsidRDefault="004C6B53" w:rsidP="00055BF9">
                    <w:pPr>
                      <w:rPr>
                        <w:b/>
                        <w:bCs/>
                        <w:color w:val="0070C0"/>
                        <w:sz w:val="24"/>
                        <w:szCs w:val="24"/>
                        <w:lang w:val="en-US"/>
                      </w:rPr>
                    </w:pPr>
                    <w:r>
                      <w:rPr>
                        <w:b/>
                        <w:bCs/>
                        <w:color w:val="0070C0"/>
                        <w:sz w:val="24"/>
                        <w:szCs w:val="24"/>
                        <w:lang w:val="en-US"/>
                      </w:rPr>
                      <w:t xml:space="preserve">PEF </w:t>
                    </w:r>
                    <w:r w:rsidR="0019737F">
                      <w:rPr>
                        <w:b/>
                        <w:bCs/>
                        <w:color w:val="0070C0"/>
                        <w:sz w:val="24"/>
                        <w:szCs w:val="24"/>
                        <w:lang w:val="en-US"/>
                      </w:rPr>
                      <w:t>Target</w:t>
                    </w:r>
                    <w:r w:rsidR="009F7930">
                      <w:rPr>
                        <w:b/>
                        <w:bCs/>
                        <w:color w:val="0070C0"/>
                        <w:sz w:val="24"/>
                        <w:szCs w:val="24"/>
                        <w:lang w:val="en-US"/>
                      </w:rPr>
                      <w:t>ed</w:t>
                    </w:r>
                    <w:r w:rsidR="0019737F">
                      <w:rPr>
                        <w:b/>
                        <w:bCs/>
                        <w:color w:val="0070C0"/>
                        <w:sz w:val="24"/>
                        <w:szCs w:val="24"/>
                        <w:lang w:val="en-US"/>
                      </w:rPr>
                      <w:t xml:space="preserve"> Country Assistance Narrative</w:t>
                    </w:r>
                    <w:r w:rsidR="00EA4DE2">
                      <w:rPr>
                        <w:b/>
                        <w:bCs/>
                        <w:color w:val="0070C0"/>
                        <w:sz w:val="24"/>
                        <w:szCs w:val="24"/>
                        <w:lang w:val="en-US"/>
                      </w:rPr>
                      <w:t xml:space="preserve"> </w:t>
                    </w:r>
                    <w:r w:rsidR="00BD1FEE">
                      <w:rPr>
                        <w:b/>
                        <w:bCs/>
                        <w:color w:val="0070C0"/>
                        <w:sz w:val="24"/>
                        <w:szCs w:val="24"/>
                        <w:lang w:val="en-US"/>
                      </w:rPr>
                      <w:t xml:space="preserve"> </w:t>
                    </w:r>
                  </w:p>
                  <w:p w14:paraId="4599C1BA" w14:textId="1E37035E" w:rsidR="00892432" w:rsidRPr="00C4436D" w:rsidRDefault="00F43296" w:rsidP="00055BF9">
                    <w:pPr>
                      <w:rPr>
                        <w:color w:val="0070C0"/>
                      </w:rPr>
                    </w:pPr>
                    <w:r>
                      <w:rPr>
                        <w:color w:val="0070C0"/>
                      </w:rPr>
                      <w:t>April</w:t>
                    </w:r>
                    <w:r w:rsidR="00BD1FEE" w:rsidRPr="00BD1FEE">
                      <w:rPr>
                        <w:color w:val="0070C0"/>
                      </w:rPr>
                      <w:t xml:space="preserve"> </w:t>
                    </w:r>
                    <w:r w:rsidR="00DC7614" w:rsidRPr="00C4436D">
                      <w:rPr>
                        <w:color w:val="0070C0"/>
                      </w:rPr>
                      <w:t>2022</w:t>
                    </w:r>
                  </w:p>
                </w:txbxContent>
              </v:textbox>
              <w10:wrap anchorx="page" anchory="margin"/>
            </v:shape>
          </w:pict>
        </mc:Fallback>
      </mc:AlternateContent>
    </w:r>
    <w:r w:rsidR="00BD4EFD" w:rsidRPr="00892432">
      <w:rPr>
        <w:noProof/>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746458" id="Straight Connector 14"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43.4pt,15.55pt" to="43.4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" strokecolor="#5b9bd5 [3208]">
              <v:stroke joinstyle="miter"/>
              <o:lock v:ext="edit" shapetype="f"/>
              <w10:wrap anchory="page"/>
            </v:line>
          </w:pict>
        </mc:Fallback>
      </mc:AlternateContent>
    </w:r>
    <w:r w:rsidR="004D1017" w:rsidRPr="00892432">
      <w:rPr>
        <w:noProof/>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892432" w:rsidRDefault="00892432"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C187" id="Rectangle 8" o:spid="_x0000_s1027"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" fillcolor="#f2f2f1" stroked="f" strokeweight=".5pt">
              <v:textbox>
                <w:txbxContent>
                  <w:p w14:paraId="3DB0E3A5" w14:textId="77777777" w:rsidR="00892432" w:rsidRDefault="00892432" w:rsidP="00892432">
                    <w:pPr>
                      <w:jc w:val="center"/>
                    </w:pPr>
                  </w:p>
                </w:txbxContent>
              </v:textbox>
              <w10:wrap anchorx="page" anchory="page"/>
            </v:rect>
          </w:pict>
        </mc:Fallback>
      </mc:AlternateContent>
    </w:r>
    <w:r w:rsidR="001B6E82" w:rsidRPr="00892432">
      <w:rPr>
        <w:noProof/>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3856" w14:textId="77777777" w:rsidR="00AB7F9F" w:rsidRDefault="00AB7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23FD"/>
    <w:multiLevelType w:val="hybridMultilevel"/>
    <w:tmpl w:val="8D9CF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A65A3"/>
    <w:multiLevelType w:val="hybridMultilevel"/>
    <w:tmpl w:val="54465CC2"/>
    <w:lvl w:ilvl="0" w:tplc="D9C85306">
      <w:start w:val="1"/>
      <w:numFmt w:val="decimal"/>
      <w:lvlText w:val="%1."/>
      <w:lvlJc w:val="left"/>
      <w:pPr>
        <w:ind w:left="720" w:hanging="360"/>
      </w:pPr>
      <w:rPr>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6" w15:restartNumberingAfterBreak="0">
    <w:nsid w:val="4BFA7BDA"/>
    <w:multiLevelType w:val="hybridMultilevel"/>
    <w:tmpl w:val="606EDB92"/>
    <w:lvl w:ilvl="0" w:tplc="1FAC7846">
      <w:start w:val="1"/>
      <w:numFmt w:val="bullet"/>
      <w:lvlText w:val=""/>
      <w:lvlJc w:val="left"/>
      <w:pPr>
        <w:ind w:left="720" w:hanging="360"/>
      </w:pPr>
      <w:rPr>
        <w:rFonts w:ascii="Symbol" w:hAnsi="Symbol" w:hint="default"/>
      </w:rPr>
    </w:lvl>
    <w:lvl w:ilvl="1" w:tplc="A22C0F06">
      <w:start w:val="1"/>
      <w:numFmt w:val="bullet"/>
      <w:lvlText w:val="o"/>
      <w:lvlJc w:val="left"/>
      <w:pPr>
        <w:ind w:left="1440" w:hanging="360"/>
      </w:pPr>
      <w:rPr>
        <w:rFonts w:ascii="Courier New" w:hAnsi="Courier New" w:hint="default"/>
      </w:rPr>
    </w:lvl>
    <w:lvl w:ilvl="2" w:tplc="9992F27C">
      <w:start w:val="1"/>
      <w:numFmt w:val="bullet"/>
      <w:lvlText w:val=""/>
      <w:lvlJc w:val="left"/>
      <w:pPr>
        <w:ind w:left="2160" w:hanging="360"/>
      </w:pPr>
      <w:rPr>
        <w:rFonts w:ascii="Wingdings" w:hAnsi="Wingdings" w:hint="default"/>
      </w:rPr>
    </w:lvl>
    <w:lvl w:ilvl="3" w:tplc="3CE6AF24">
      <w:start w:val="1"/>
      <w:numFmt w:val="bullet"/>
      <w:lvlText w:val=""/>
      <w:lvlJc w:val="left"/>
      <w:pPr>
        <w:ind w:left="2880" w:hanging="360"/>
      </w:pPr>
      <w:rPr>
        <w:rFonts w:ascii="Symbol" w:hAnsi="Symbol" w:hint="default"/>
      </w:rPr>
    </w:lvl>
    <w:lvl w:ilvl="4" w:tplc="85AEE588">
      <w:start w:val="1"/>
      <w:numFmt w:val="bullet"/>
      <w:lvlText w:val="o"/>
      <w:lvlJc w:val="left"/>
      <w:pPr>
        <w:ind w:left="3600" w:hanging="360"/>
      </w:pPr>
      <w:rPr>
        <w:rFonts w:ascii="Courier New" w:hAnsi="Courier New" w:hint="default"/>
      </w:rPr>
    </w:lvl>
    <w:lvl w:ilvl="5" w:tplc="0D6AF294">
      <w:start w:val="1"/>
      <w:numFmt w:val="bullet"/>
      <w:lvlText w:val=""/>
      <w:lvlJc w:val="left"/>
      <w:pPr>
        <w:ind w:left="4320" w:hanging="360"/>
      </w:pPr>
      <w:rPr>
        <w:rFonts w:ascii="Wingdings" w:hAnsi="Wingdings" w:hint="default"/>
      </w:rPr>
    </w:lvl>
    <w:lvl w:ilvl="6" w:tplc="BE706EAC">
      <w:start w:val="1"/>
      <w:numFmt w:val="bullet"/>
      <w:lvlText w:val=""/>
      <w:lvlJc w:val="left"/>
      <w:pPr>
        <w:ind w:left="5040" w:hanging="360"/>
      </w:pPr>
      <w:rPr>
        <w:rFonts w:ascii="Symbol" w:hAnsi="Symbol" w:hint="default"/>
      </w:rPr>
    </w:lvl>
    <w:lvl w:ilvl="7" w:tplc="3E886972">
      <w:start w:val="1"/>
      <w:numFmt w:val="bullet"/>
      <w:lvlText w:val="o"/>
      <w:lvlJc w:val="left"/>
      <w:pPr>
        <w:ind w:left="5760" w:hanging="360"/>
      </w:pPr>
      <w:rPr>
        <w:rFonts w:ascii="Courier New" w:hAnsi="Courier New" w:hint="default"/>
      </w:rPr>
    </w:lvl>
    <w:lvl w:ilvl="8" w:tplc="A0C656A0">
      <w:start w:val="1"/>
      <w:numFmt w:val="bullet"/>
      <w:lvlText w:val=""/>
      <w:lvlJc w:val="left"/>
      <w:pPr>
        <w:ind w:left="6480" w:hanging="360"/>
      </w:pPr>
      <w:rPr>
        <w:rFonts w:ascii="Wingdings" w:hAnsi="Wingdings" w:hint="default"/>
      </w:rPr>
    </w:lvl>
  </w:abstractNum>
  <w:abstractNum w:abstractNumId="7"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542846">
    <w:abstractNumId w:val="6"/>
  </w:num>
  <w:num w:numId="2" w16cid:durableId="437911916">
    <w:abstractNumId w:val="7"/>
  </w:num>
  <w:num w:numId="3" w16cid:durableId="1733237287">
    <w:abstractNumId w:val="3"/>
  </w:num>
  <w:num w:numId="4" w16cid:durableId="888569217">
    <w:abstractNumId w:val="2"/>
  </w:num>
  <w:num w:numId="5" w16cid:durableId="713121675">
    <w:abstractNumId w:val="4"/>
  </w:num>
  <w:num w:numId="6" w16cid:durableId="216668708">
    <w:abstractNumId w:val="5"/>
  </w:num>
  <w:num w:numId="7" w16cid:durableId="376055079">
    <w:abstractNumId w:val="1"/>
  </w:num>
  <w:num w:numId="8" w16cid:durableId="65865882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zAwNQGSlqamlko6SsGpxcWZ+XkgBYaWtQC5HfxoLQAAAA=="/>
  </w:docVars>
  <w:rsids>
    <w:rsidRoot w:val="00BD4BCE"/>
    <w:rsid w:val="0000278E"/>
    <w:rsid w:val="00002CAE"/>
    <w:rsid w:val="00002D07"/>
    <w:rsid w:val="00003862"/>
    <w:rsid w:val="0000542A"/>
    <w:rsid w:val="0000599F"/>
    <w:rsid w:val="00005F0A"/>
    <w:rsid w:val="0000717A"/>
    <w:rsid w:val="00007EAE"/>
    <w:rsid w:val="0001063F"/>
    <w:rsid w:val="00011B02"/>
    <w:rsid w:val="00011B86"/>
    <w:rsid w:val="0001244B"/>
    <w:rsid w:val="00012FFC"/>
    <w:rsid w:val="00014AFF"/>
    <w:rsid w:val="00014F67"/>
    <w:rsid w:val="00015D31"/>
    <w:rsid w:val="00016A9B"/>
    <w:rsid w:val="00016C3F"/>
    <w:rsid w:val="00017FBF"/>
    <w:rsid w:val="00020272"/>
    <w:rsid w:val="0002197E"/>
    <w:rsid w:val="00023D98"/>
    <w:rsid w:val="00024F57"/>
    <w:rsid w:val="000251A6"/>
    <w:rsid w:val="00025589"/>
    <w:rsid w:val="00025BBE"/>
    <w:rsid w:val="00025C70"/>
    <w:rsid w:val="00027322"/>
    <w:rsid w:val="00027D74"/>
    <w:rsid w:val="000301CD"/>
    <w:rsid w:val="00030751"/>
    <w:rsid w:val="000313E1"/>
    <w:rsid w:val="00031A36"/>
    <w:rsid w:val="0003251B"/>
    <w:rsid w:val="00034931"/>
    <w:rsid w:val="00034F75"/>
    <w:rsid w:val="000357F6"/>
    <w:rsid w:val="000369C9"/>
    <w:rsid w:val="00037694"/>
    <w:rsid w:val="000378BB"/>
    <w:rsid w:val="000400A6"/>
    <w:rsid w:val="00040A2E"/>
    <w:rsid w:val="00041E9B"/>
    <w:rsid w:val="00042592"/>
    <w:rsid w:val="0004304D"/>
    <w:rsid w:val="000439C4"/>
    <w:rsid w:val="00043A07"/>
    <w:rsid w:val="00044437"/>
    <w:rsid w:val="000449D1"/>
    <w:rsid w:val="000449DE"/>
    <w:rsid w:val="0004506B"/>
    <w:rsid w:val="000458AA"/>
    <w:rsid w:val="00047CF9"/>
    <w:rsid w:val="00051114"/>
    <w:rsid w:val="000511DA"/>
    <w:rsid w:val="0005232A"/>
    <w:rsid w:val="00052358"/>
    <w:rsid w:val="000529E3"/>
    <w:rsid w:val="000538E2"/>
    <w:rsid w:val="00053C8E"/>
    <w:rsid w:val="00054939"/>
    <w:rsid w:val="00054E05"/>
    <w:rsid w:val="00055A30"/>
    <w:rsid w:val="00055BF9"/>
    <w:rsid w:val="00056DDF"/>
    <w:rsid w:val="00060071"/>
    <w:rsid w:val="00060794"/>
    <w:rsid w:val="00061950"/>
    <w:rsid w:val="0006207D"/>
    <w:rsid w:val="000629D3"/>
    <w:rsid w:val="00063358"/>
    <w:rsid w:val="000660A3"/>
    <w:rsid w:val="0006633A"/>
    <w:rsid w:val="0006639D"/>
    <w:rsid w:val="000663B9"/>
    <w:rsid w:val="00066A17"/>
    <w:rsid w:val="00066E42"/>
    <w:rsid w:val="00067D86"/>
    <w:rsid w:val="00070CF8"/>
    <w:rsid w:val="00071836"/>
    <w:rsid w:val="00071E35"/>
    <w:rsid w:val="000728A2"/>
    <w:rsid w:val="000728B2"/>
    <w:rsid w:val="00072D93"/>
    <w:rsid w:val="000731C0"/>
    <w:rsid w:val="000759BE"/>
    <w:rsid w:val="00076373"/>
    <w:rsid w:val="000779B1"/>
    <w:rsid w:val="00077FE0"/>
    <w:rsid w:val="0008165C"/>
    <w:rsid w:val="0008192A"/>
    <w:rsid w:val="000820EE"/>
    <w:rsid w:val="000840D7"/>
    <w:rsid w:val="0008474E"/>
    <w:rsid w:val="00085506"/>
    <w:rsid w:val="00085C9D"/>
    <w:rsid w:val="0008622F"/>
    <w:rsid w:val="0008793A"/>
    <w:rsid w:val="00090755"/>
    <w:rsid w:val="00091225"/>
    <w:rsid w:val="000915AC"/>
    <w:rsid w:val="0009314C"/>
    <w:rsid w:val="00094439"/>
    <w:rsid w:val="000A22D4"/>
    <w:rsid w:val="000A2FAE"/>
    <w:rsid w:val="000A3F37"/>
    <w:rsid w:val="000A4B39"/>
    <w:rsid w:val="000A5B9B"/>
    <w:rsid w:val="000A5C09"/>
    <w:rsid w:val="000A6141"/>
    <w:rsid w:val="000A6514"/>
    <w:rsid w:val="000A6AC3"/>
    <w:rsid w:val="000A7C47"/>
    <w:rsid w:val="000B0314"/>
    <w:rsid w:val="000B1003"/>
    <w:rsid w:val="000B136D"/>
    <w:rsid w:val="000B179D"/>
    <w:rsid w:val="000B1F61"/>
    <w:rsid w:val="000B4252"/>
    <w:rsid w:val="000B519F"/>
    <w:rsid w:val="000B57CE"/>
    <w:rsid w:val="000B6F36"/>
    <w:rsid w:val="000B7057"/>
    <w:rsid w:val="000B752A"/>
    <w:rsid w:val="000B7B44"/>
    <w:rsid w:val="000C00DA"/>
    <w:rsid w:val="000C1057"/>
    <w:rsid w:val="000C118A"/>
    <w:rsid w:val="000C25DD"/>
    <w:rsid w:val="000C25E7"/>
    <w:rsid w:val="000C41AC"/>
    <w:rsid w:val="000C5A6A"/>
    <w:rsid w:val="000C7FB1"/>
    <w:rsid w:val="000D0267"/>
    <w:rsid w:val="000D048D"/>
    <w:rsid w:val="000D3849"/>
    <w:rsid w:val="000D4A27"/>
    <w:rsid w:val="000D4C95"/>
    <w:rsid w:val="000D5DEA"/>
    <w:rsid w:val="000D5E7B"/>
    <w:rsid w:val="000D71B5"/>
    <w:rsid w:val="000D7667"/>
    <w:rsid w:val="000E08AF"/>
    <w:rsid w:val="000E092B"/>
    <w:rsid w:val="000E0FA6"/>
    <w:rsid w:val="000E16B2"/>
    <w:rsid w:val="000E28EF"/>
    <w:rsid w:val="000E2A0C"/>
    <w:rsid w:val="000E387E"/>
    <w:rsid w:val="000E3E8F"/>
    <w:rsid w:val="000E45DD"/>
    <w:rsid w:val="000E5047"/>
    <w:rsid w:val="000E6346"/>
    <w:rsid w:val="000E68BF"/>
    <w:rsid w:val="000E69CF"/>
    <w:rsid w:val="000E6BC0"/>
    <w:rsid w:val="000F1AA4"/>
    <w:rsid w:val="000F2A03"/>
    <w:rsid w:val="000F309B"/>
    <w:rsid w:val="000F34D2"/>
    <w:rsid w:val="000F494D"/>
    <w:rsid w:val="000F4B25"/>
    <w:rsid w:val="000F51E0"/>
    <w:rsid w:val="000F62B5"/>
    <w:rsid w:val="000F7405"/>
    <w:rsid w:val="000F74FF"/>
    <w:rsid w:val="000F7CEA"/>
    <w:rsid w:val="0010039E"/>
    <w:rsid w:val="00100A48"/>
    <w:rsid w:val="00100C34"/>
    <w:rsid w:val="00102D7C"/>
    <w:rsid w:val="001052BA"/>
    <w:rsid w:val="0010613E"/>
    <w:rsid w:val="00106608"/>
    <w:rsid w:val="00106C76"/>
    <w:rsid w:val="00106CE4"/>
    <w:rsid w:val="001072A0"/>
    <w:rsid w:val="00107D9F"/>
    <w:rsid w:val="00112041"/>
    <w:rsid w:val="00112228"/>
    <w:rsid w:val="00112852"/>
    <w:rsid w:val="0011324C"/>
    <w:rsid w:val="0011340A"/>
    <w:rsid w:val="001135FC"/>
    <w:rsid w:val="001151FB"/>
    <w:rsid w:val="00115DB0"/>
    <w:rsid w:val="00115EA5"/>
    <w:rsid w:val="00116509"/>
    <w:rsid w:val="00120084"/>
    <w:rsid w:val="00120220"/>
    <w:rsid w:val="00120AAE"/>
    <w:rsid w:val="0012478F"/>
    <w:rsid w:val="00125F79"/>
    <w:rsid w:val="001308A7"/>
    <w:rsid w:val="00131FD5"/>
    <w:rsid w:val="00133193"/>
    <w:rsid w:val="001360DB"/>
    <w:rsid w:val="00136630"/>
    <w:rsid w:val="001377C6"/>
    <w:rsid w:val="001409AB"/>
    <w:rsid w:val="00140BF0"/>
    <w:rsid w:val="00141464"/>
    <w:rsid w:val="001416C5"/>
    <w:rsid w:val="00142231"/>
    <w:rsid w:val="0014327F"/>
    <w:rsid w:val="00143CCE"/>
    <w:rsid w:val="0014527F"/>
    <w:rsid w:val="00146789"/>
    <w:rsid w:val="001472C1"/>
    <w:rsid w:val="001477C4"/>
    <w:rsid w:val="00147F9B"/>
    <w:rsid w:val="00150D82"/>
    <w:rsid w:val="0015170E"/>
    <w:rsid w:val="00151B12"/>
    <w:rsid w:val="001543AD"/>
    <w:rsid w:val="00155110"/>
    <w:rsid w:val="00160C34"/>
    <w:rsid w:val="00161593"/>
    <w:rsid w:val="00162C55"/>
    <w:rsid w:val="00162F02"/>
    <w:rsid w:val="001634CF"/>
    <w:rsid w:val="00163B04"/>
    <w:rsid w:val="00163F8E"/>
    <w:rsid w:val="0016435C"/>
    <w:rsid w:val="001651AF"/>
    <w:rsid w:val="001665A3"/>
    <w:rsid w:val="00166D25"/>
    <w:rsid w:val="001708D2"/>
    <w:rsid w:val="001711B8"/>
    <w:rsid w:val="0017125B"/>
    <w:rsid w:val="00171C81"/>
    <w:rsid w:val="00171FC5"/>
    <w:rsid w:val="0017292E"/>
    <w:rsid w:val="00173991"/>
    <w:rsid w:val="00174D23"/>
    <w:rsid w:val="00175B5E"/>
    <w:rsid w:val="00180F6B"/>
    <w:rsid w:val="00181B12"/>
    <w:rsid w:val="001821EA"/>
    <w:rsid w:val="001822DB"/>
    <w:rsid w:val="00182F5F"/>
    <w:rsid w:val="00183082"/>
    <w:rsid w:val="00183CE0"/>
    <w:rsid w:val="00184FFA"/>
    <w:rsid w:val="00185093"/>
    <w:rsid w:val="001850E7"/>
    <w:rsid w:val="00185112"/>
    <w:rsid w:val="00185924"/>
    <w:rsid w:val="00186FF8"/>
    <w:rsid w:val="001903BE"/>
    <w:rsid w:val="0019040A"/>
    <w:rsid w:val="00190C9A"/>
    <w:rsid w:val="00190D29"/>
    <w:rsid w:val="00191568"/>
    <w:rsid w:val="00191597"/>
    <w:rsid w:val="001919B1"/>
    <w:rsid w:val="001921A9"/>
    <w:rsid w:val="001925CC"/>
    <w:rsid w:val="00192FE8"/>
    <w:rsid w:val="001930A7"/>
    <w:rsid w:val="00193633"/>
    <w:rsid w:val="00194067"/>
    <w:rsid w:val="00194786"/>
    <w:rsid w:val="0019681F"/>
    <w:rsid w:val="0019737F"/>
    <w:rsid w:val="00197BA9"/>
    <w:rsid w:val="001A0C68"/>
    <w:rsid w:val="001A1634"/>
    <w:rsid w:val="001A2B4F"/>
    <w:rsid w:val="001A2BBC"/>
    <w:rsid w:val="001A2C5C"/>
    <w:rsid w:val="001A378C"/>
    <w:rsid w:val="001A4060"/>
    <w:rsid w:val="001A42A3"/>
    <w:rsid w:val="001A6804"/>
    <w:rsid w:val="001A69D7"/>
    <w:rsid w:val="001A701E"/>
    <w:rsid w:val="001B0284"/>
    <w:rsid w:val="001B032E"/>
    <w:rsid w:val="001B0487"/>
    <w:rsid w:val="001B0F6A"/>
    <w:rsid w:val="001B12D7"/>
    <w:rsid w:val="001B197D"/>
    <w:rsid w:val="001B19F2"/>
    <w:rsid w:val="001B2DC5"/>
    <w:rsid w:val="001B31AC"/>
    <w:rsid w:val="001B39FD"/>
    <w:rsid w:val="001B6E82"/>
    <w:rsid w:val="001B7196"/>
    <w:rsid w:val="001B790D"/>
    <w:rsid w:val="001C1877"/>
    <w:rsid w:val="001C1D82"/>
    <w:rsid w:val="001C2586"/>
    <w:rsid w:val="001C259F"/>
    <w:rsid w:val="001C2745"/>
    <w:rsid w:val="001C3904"/>
    <w:rsid w:val="001C3A94"/>
    <w:rsid w:val="001C3D34"/>
    <w:rsid w:val="001C3EC1"/>
    <w:rsid w:val="001C406E"/>
    <w:rsid w:val="001C467D"/>
    <w:rsid w:val="001C4DB8"/>
    <w:rsid w:val="001C77D7"/>
    <w:rsid w:val="001D1572"/>
    <w:rsid w:val="001D18B0"/>
    <w:rsid w:val="001D3CC6"/>
    <w:rsid w:val="001D4CBA"/>
    <w:rsid w:val="001D540C"/>
    <w:rsid w:val="001D591E"/>
    <w:rsid w:val="001D5ACA"/>
    <w:rsid w:val="001D5C6A"/>
    <w:rsid w:val="001D6E9E"/>
    <w:rsid w:val="001E1AB1"/>
    <w:rsid w:val="001E1B7F"/>
    <w:rsid w:val="001E1C11"/>
    <w:rsid w:val="001E1E64"/>
    <w:rsid w:val="001E3FED"/>
    <w:rsid w:val="001E6363"/>
    <w:rsid w:val="001E7090"/>
    <w:rsid w:val="001E7F8D"/>
    <w:rsid w:val="001F1286"/>
    <w:rsid w:val="001F3298"/>
    <w:rsid w:val="001F385D"/>
    <w:rsid w:val="001F56B2"/>
    <w:rsid w:val="001F5945"/>
    <w:rsid w:val="001F7004"/>
    <w:rsid w:val="001F7E34"/>
    <w:rsid w:val="0020034E"/>
    <w:rsid w:val="00203B04"/>
    <w:rsid w:val="00204900"/>
    <w:rsid w:val="00206145"/>
    <w:rsid w:val="00206674"/>
    <w:rsid w:val="00206C09"/>
    <w:rsid w:val="002074A9"/>
    <w:rsid w:val="00207BBE"/>
    <w:rsid w:val="002101DE"/>
    <w:rsid w:val="002117C8"/>
    <w:rsid w:val="002129C5"/>
    <w:rsid w:val="00212F37"/>
    <w:rsid w:val="00213F13"/>
    <w:rsid w:val="00214406"/>
    <w:rsid w:val="00214B69"/>
    <w:rsid w:val="00214CAA"/>
    <w:rsid w:val="002157CF"/>
    <w:rsid w:val="0021646F"/>
    <w:rsid w:val="00217C23"/>
    <w:rsid w:val="002205D1"/>
    <w:rsid w:val="002214F0"/>
    <w:rsid w:val="0022163D"/>
    <w:rsid w:val="00222FD0"/>
    <w:rsid w:val="00224526"/>
    <w:rsid w:val="0022530F"/>
    <w:rsid w:val="00225EDA"/>
    <w:rsid w:val="002274E0"/>
    <w:rsid w:val="002279A5"/>
    <w:rsid w:val="00227BBB"/>
    <w:rsid w:val="0023057A"/>
    <w:rsid w:val="0023071D"/>
    <w:rsid w:val="00232758"/>
    <w:rsid w:val="0023299A"/>
    <w:rsid w:val="0023395F"/>
    <w:rsid w:val="002347F4"/>
    <w:rsid w:val="00235256"/>
    <w:rsid w:val="00235947"/>
    <w:rsid w:val="0023766B"/>
    <w:rsid w:val="002430BB"/>
    <w:rsid w:val="00243B58"/>
    <w:rsid w:val="00244787"/>
    <w:rsid w:val="00245E87"/>
    <w:rsid w:val="00246A98"/>
    <w:rsid w:val="002510AA"/>
    <w:rsid w:val="002518B4"/>
    <w:rsid w:val="00253B51"/>
    <w:rsid w:val="00254FF2"/>
    <w:rsid w:val="00255484"/>
    <w:rsid w:val="00255A57"/>
    <w:rsid w:val="002571F1"/>
    <w:rsid w:val="00257A1B"/>
    <w:rsid w:val="00260780"/>
    <w:rsid w:val="00261C06"/>
    <w:rsid w:val="00261E2E"/>
    <w:rsid w:val="00262241"/>
    <w:rsid w:val="0026265B"/>
    <w:rsid w:val="00262983"/>
    <w:rsid w:val="00263283"/>
    <w:rsid w:val="00263335"/>
    <w:rsid w:val="002639F3"/>
    <w:rsid w:val="00263D91"/>
    <w:rsid w:val="00264286"/>
    <w:rsid w:val="00264C96"/>
    <w:rsid w:val="00264FC1"/>
    <w:rsid w:val="002659D4"/>
    <w:rsid w:val="00267ABF"/>
    <w:rsid w:val="00267D2E"/>
    <w:rsid w:val="002703E1"/>
    <w:rsid w:val="00270AE6"/>
    <w:rsid w:val="00270FC9"/>
    <w:rsid w:val="002733FB"/>
    <w:rsid w:val="00273B72"/>
    <w:rsid w:val="00274298"/>
    <w:rsid w:val="00274F89"/>
    <w:rsid w:val="0027606E"/>
    <w:rsid w:val="002768B0"/>
    <w:rsid w:val="00276FD7"/>
    <w:rsid w:val="0028001A"/>
    <w:rsid w:val="00280B5B"/>
    <w:rsid w:val="00282C24"/>
    <w:rsid w:val="00282E76"/>
    <w:rsid w:val="002840C8"/>
    <w:rsid w:val="00284412"/>
    <w:rsid w:val="00284A22"/>
    <w:rsid w:val="002857C1"/>
    <w:rsid w:val="002859B6"/>
    <w:rsid w:val="00285A19"/>
    <w:rsid w:val="00285B59"/>
    <w:rsid w:val="00285B73"/>
    <w:rsid w:val="002901E0"/>
    <w:rsid w:val="00291921"/>
    <w:rsid w:val="00291E7D"/>
    <w:rsid w:val="00292233"/>
    <w:rsid w:val="00293BA5"/>
    <w:rsid w:val="00294171"/>
    <w:rsid w:val="00294306"/>
    <w:rsid w:val="00294C50"/>
    <w:rsid w:val="00296E78"/>
    <w:rsid w:val="00297346"/>
    <w:rsid w:val="002977CA"/>
    <w:rsid w:val="00297D0F"/>
    <w:rsid w:val="002A0F02"/>
    <w:rsid w:val="002A2C17"/>
    <w:rsid w:val="002A44A9"/>
    <w:rsid w:val="002A46AE"/>
    <w:rsid w:val="002A4F84"/>
    <w:rsid w:val="002A5CBE"/>
    <w:rsid w:val="002A5CE7"/>
    <w:rsid w:val="002A791F"/>
    <w:rsid w:val="002B0630"/>
    <w:rsid w:val="002B0C61"/>
    <w:rsid w:val="002B1AC5"/>
    <w:rsid w:val="002B1B80"/>
    <w:rsid w:val="002B3ECA"/>
    <w:rsid w:val="002B6243"/>
    <w:rsid w:val="002B63B0"/>
    <w:rsid w:val="002B6D64"/>
    <w:rsid w:val="002B6DCF"/>
    <w:rsid w:val="002C00AC"/>
    <w:rsid w:val="002C0185"/>
    <w:rsid w:val="002C0581"/>
    <w:rsid w:val="002C0F5F"/>
    <w:rsid w:val="002C1CAC"/>
    <w:rsid w:val="002C2EF7"/>
    <w:rsid w:val="002C3C49"/>
    <w:rsid w:val="002C42E8"/>
    <w:rsid w:val="002C6AD3"/>
    <w:rsid w:val="002C6F61"/>
    <w:rsid w:val="002C728E"/>
    <w:rsid w:val="002C73F5"/>
    <w:rsid w:val="002D16CC"/>
    <w:rsid w:val="002D31D5"/>
    <w:rsid w:val="002D5862"/>
    <w:rsid w:val="002D6BED"/>
    <w:rsid w:val="002D7B91"/>
    <w:rsid w:val="002E03AD"/>
    <w:rsid w:val="002E0882"/>
    <w:rsid w:val="002E0983"/>
    <w:rsid w:val="002E0A55"/>
    <w:rsid w:val="002E259B"/>
    <w:rsid w:val="002E3451"/>
    <w:rsid w:val="002E38C1"/>
    <w:rsid w:val="002E5FF8"/>
    <w:rsid w:val="002E652B"/>
    <w:rsid w:val="002E71FA"/>
    <w:rsid w:val="002F5CD9"/>
    <w:rsid w:val="002F61AD"/>
    <w:rsid w:val="002F62C0"/>
    <w:rsid w:val="002F736A"/>
    <w:rsid w:val="002F7947"/>
    <w:rsid w:val="002F799C"/>
    <w:rsid w:val="00301307"/>
    <w:rsid w:val="0030149C"/>
    <w:rsid w:val="003036DC"/>
    <w:rsid w:val="003043B2"/>
    <w:rsid w:val="00304ACD"/>
    <w:rsid w:val="003060DE"/>
    <w:rsid w:val="00306D02"/>
    <w:rsid w:val="00306F64"/>
    <w:rsid w:val="00306F8D"/>
    <w:rsid w:val="00307D24"/>
    <w:rsid w:val="0031007B"/>
    <w:rsid w:val="0031009F"/>
    <w:rsid w:val="0031153A"/>
    <w:rsid w:val="003124F7"/>
    <w:rsid w:val="00314A20"/>
    <w:rsid w:val="00315E25"/>
    <w:rsid w:val="003161B5"/>
    <w:rsid w:val="00316220"/>
    <w:rsid w:val="00316DE0"/>
    <w:rsid w:val="00317A88"/>
    <w:rsid w:val="00317ECE"/>
    <w:rsid w:val="0032033D"/>
    <w:rsid w:val="00320689"/>
    <w:rsid w:val="00321652"/>
    <w:rsid w:val="00322A79"/>
    <w:rsid w:val="00322FAC"/>
    <w:rsid w:val="003239B9"/>
    <w:rsid w:val="0032454D"/>
    <w:rsid w:val="00324F82"/>
    <w:rsid w:val="00325B21"/>
    <w:rsid w:val="003268D0"/>
    <w:rsid w:val="00330401"/>
    <w:rsid w:val="0033136F"/>
    <w:rsid w:val="00331590"/>
    <w:rsid w:val="0033192A"/>
    <w:rsid w:val="003325BE"/>
    <w:rsid w:val="0033266B"/>
    <w:rsid w:val="00332ACA"/>
    <w:rsid w:val="00332E3F"/>
    <w:rsid w:val="003333A3"/>
    <w:rsid w:val="00334629"/>
    <w:rsid w:val="00334887"/>
    <w:rsid w:val="00334BDE"/>
    <w:rsid w:val="00336291"/>
    <w:rsid w:val="0034188F"/>
    <w:rsid w:val="003427FA"/>
    <w:rsid w:val="00342EB5"/>
    <w:rsid w:val="00343A42"/>
    <w:rsid w:val="003449D6"/>
    <w:rsid w:val="00344FEB"/>
    <w:rsid w:val="003452F4"/>
    <w:rsid w:val="003454A5"/>
    <w:rsid w:val="00346234"/>
    <w:rsid w:val="00346802"/>
    <w:rsid w:val="0034776E"/>
    <w:rsid w:val="003503D1"/>
    <w:rsid w:val="00352AE9"/>
    <w:rsid w:val="00352FA5"/>
    <w:rsid w:val="003536EC"/>
    <w:rsid w:val="00353728"/>
    <w:rsid w:val="0035504E"/>
    <w:rsid w:val="00356B27"/>
    <w:rsid w:val="00356C0F"/>
    <w:rsid w:val="00356CDE"/>
    <w:rsid w:val="00357A29"/>
    <w:rsid w:val="00360703"/>
    <w:rsid w:val="00360B97"/>
    <w:rsid w:val="003625B9"/>
    <w:rsid w:val="00364218"/>
    <w:rsid w:val="003649C6"/>
    <w:rsid w:val="00364C4B"/>
    <w:rsid w:val="003658FC"/>
    <w:rsid w:val="00367AE5"/>
    <w:rsid w:val="00367BF6"/>
    <w:rsid w:val="003707B5"/>
    <w:rsid w:val="00372C37"/>
    <w:rsid w:val="00372D1F"/>
    <w:rsid w:val="003741E6"/>
    <w:rsid w:val="0037484A"/>
    <w:rsid w:val="003753AB"/>
    <w:rsid w:val="0037595F"/>
    <w:rsid w:val="0037615E"/>
    <w:rsid w:val="003814E6"/>
    <w:rsid w:val="003816F7"/>
    <w:rsid w:val="00381F32"/>
    <w:rsid w:val="003822DF"/>
    <w:rsid w:val="00382DB2"/>
    <w:rsid w:val="00383447"/>
    <w:rsid w:val="00383F2B"/>
    <w:rsid w:val="00385206"/>
    <w:rsid w:val="003873AF"/>
    <w:rsid w:val="00387639"/>
    <w:rsid w:val="003901C3"/>
    <w:rsid w:val="003905D3"/>
    <w:rsid w:val="00390EC4"/>
    <w:rsid w:val="0039120B"/>
    <w:rsid w:val="003914E6"/>
    <w:rsid w:val="00392496"/>
    <w:rsid w:val="003927E9"/>
    <w:rsid w:val="00393332"/>
    <w:rsid w:val="00393D45"/>
    <w:rsid w:val="00393E88"/>
    <w:rsid w:val="0039400D"/>
    <w:rsid w:val="003940CD"/>
    <w:rsid w:val="003954DD"/>
    <w:rsid w:val="003957C0"/>
    <w:rsid w:val="00395D29"/>
    <w:rsid w:val="00396A81"/>
    <w:rsid w:val="00397AF0"/>
    <w:rsid w:val="00397BD4"/>
    <w:rsid w:val="003A0D3A"/>
    <w:rsid w:val="003A1BAB"/>
    <w:rsid w:val="003A28B9"/>
    <w:rsid w:val="003A4044"/>
    <w:rsid w:val="003A55C8"/>
    <w:rsid w:val="003A583B"/>
    <w:rsid w:val="003A60F0"/>
    <w:rsid w:val="003A678D"/>
    <w:rsid w:val="003A7036"/>
    <w:rsid w:val="003A7614"/>
    <w:rsid w:val="003B1B93"/>
    <w:rsid w:val="003B1E3B"/>
    <w:rsid w:val="003B2284"/>
    <w:rsid w:val="003B2419"/>
    <w:rsid w:val="003B28B9"/>
    <w:rsid w:val="003B4433"/>
    <w:rsid w:val="003B4A03"/>
    <w:rsid w:val="003B4A72"/>
    <w:rsid w:val="003B4D2B"/>
    <w:rsid w:val="003B5750"/>
    <w:rsid w:val="003B5C01"/>
    <w:rsid w:val="003B5FC8"/>
    <w:rsid w:val="003B66D3"/>
    <w:rsid w:val="003B6B02"/>
    <w:rsid w:val="003C048B"/>
    <w:rsid w:val="003C13C9"/>
    <w:rsid w:val="003C19A5"/>
    <w:rsid w:val="003C19FE"/>
    <w:rsid w:val="003C5E20"/>
    <w:rsid w:val="003C66EE"/>
    <w:rsid w:val="003C6773"/>
    <w:rsid w:val="003C77E0"/>
    <w:rsid w:val="003D0156"/>
    <w:rsid w:val="003D0473"/>
    <w:rsid w:val="003D0D8C"/>
    <w:rsid w:val="003D16BF"/>
    <w:rsid w:val="003D2384"/>
    <w:rsid w:val="003D2828"/>
    <w:rsid w:val="003D4323"/>
    <w:rsid w:val="003D545D"/>
    <w:rsid w:val="003D5EE4"/>
    <w:rsid w:val="003E289A"/>
    <w:rsid w:val="003E28A0"/>
    <w:rsid w:val="003E52F0"/>
    <w:rsid w:val="003F0221"/>
    <w:rsid w:val="003F0CF3"/>
    <w:rsid w:val="003F129C"/>
    <w:rsid w:val="003F1471"/>
    <w:rsid w:val="003F1888"/>
    <w:rsid w:val="003F27C4"/>
    <w:rsid w:val="003F29B4"/>
    <w:rsid w:val="003F3455"/>
    <w:rsid w:val="003F3D2A"/>
    <w:rsid w:val="003F3F50"/>
    <w:rsid w:val="003F54AE"/>
    <w:rsid w:val="003F62C8"/>
    <w:rsid w:val="004010B7"/>
    <w:rsid w:val="004023A3"/>
    <w:rsid w:val="0040248D"/>
    <w:rsid w:val="004034F2"/>
    <w:rsid w:val="004039BD"/>
    <w:rsid w:val="00406338"/>
    <w:rsid w:val="00406DAA"/>
    <w:rsid w:val="0041092A"/>
    <w:rsid w:val="00412BE5"/>
    <w:rsid w:val="00413BBC"/>
    <w:rsid w:val="004145FE"/>
    <w:rsid w:val="00414627"/>
    <w:rsid w:val="004151A0"/>
    <w:rsid w:val="004161CC"/>
    <w:rsid w:val="0041751A"/>
    <w:rsid w:val="00420376"/>
    <w:rsid w:val="00421904"/>
    <w:rsid w:val="00423711"/>
    <w:rsid w:val="00423A70"/>
    <w:rsid w:val="00423DFC"/>
    <w:rsid w:val="004240CD"/>
    <w:rsid w:val="00424360"/>
    <w:rsid w:val="004249A7"/>
    <w:rsid w:val="00424A13"/>
    <w:rsid w:val="00425A3C"/>
    <w:rsid w:val="004264ED"/>
    <w:rsid w:val="00426D6B"/>
    <w:rsid w:val="00427165"/>
    <w:rsid w:val="0043175C"/>
    <w:rsid w:val="00431CA9"/>
    <w:rsid w:val="004327BC"/>
    <w:rsid w:val="004333D4"/>
    <w:rsid w:val="00433D48"/>
    <w:rsid w:val="00434C26"/>
    <w:rsid w:val="00437508"/>
    <w:rsid w:val="004400C8"/>
    <w:rsid w:val="004410AD"/>
    <w:rsid w:val="004435AF"/>
    <w:rsid w:val="00444495"/>
    <w:rsid w:val="00444F75"/>
    <w:rsid w:val="0044714D"/>
    <w:rsid w:val="00451FC2"/>
    <w:rsid w:val="00452C3B"/>
    <w:rsid w:val="00452C77"/>
    <w:rsid w:val="00453430"/>
    <w:rsid w:val="004534BC"/>
    <w:rsid w:val="00453CB5"/>
    <w:rsid w:val="00454285"/>
    <w:rsid w:val="0045525C"/>
    <w:rsid w:val="00455E02"/>
    <w:rsid w:val="0045621C"/>
    <w:rsid w:val="004574D6"/>
    <w:rsid w:val="0046030E"/>
    <w:rsid w:val="0046062C"/>
    <w:rsid w:val="00460674"/>
    <w:rsid w:val="00460A66"/>
    <w:rsid w:val="00460E80"/>
    <w:rsid w:val="00463C66"/>
    <w:rsid w:val="00464113"/>
    <w:rsid w:val="00465598"/>
    <w:rsid w:val="00466DBC"/>
    <w:rsid w:val="00467061"/>
    <w:rsid w:val="00467632"/>
    <w:rsid w:val="00470005"/>
    <w:rsid w:val="004718A7"/>
    <w:rsid w:val="00471A7D"/>
    <w:rsid w:val="00471B91"/>
    <w:rsid w:val="00472199"/>
    <w:rsid w:val="00472667"/>
    <w:rsid w:val="00472FB1"/>
    <w:rsid w:val="004745FD"/>
    <w:rsid w:val="0047570D"/>
    <w:rsid w:val="00477627"/>
    <w:rsid w:val="00480B35"/>
    <w:rsid w:val="0048253E"/>
    <w:rsid w:val="0048274C"/>
    <w:rsid w:val="00482A9D"/>
    <w:rsid w:val="00482E7C"/>
    <w:rsid w:val="0048306F"/>
    <w:rsid w:val="00483273"/>
    <w:rsid w:val="0048350E"/>
    <w:rsid w:val="004843BC"/>
    <w:rsid w:val="004849BD"/>
    <w:rsid w:val="0048528A"/>
    <w:rsid w:val="00485F2C"/>
    <w:rsid w:val="00486519"/>
    <w:rsid w:val="0048676E"/>
    <w:rsid w:val="00486A4E"/>
    <w:rsid w:val="00486FE9"/>
    <w:rsid w:val="00487E95"/>
    <w:rsid w:val="004905F8"/>
    <w:rsid w:val="00493B22"/>
    <w:rsid w:val="00493FAD"/>
    <w:rsid w:val="00494980"/>
    <w:rsid w:val="00495278"/>
    <w:rsid w:val="00495355"/>
    <w:rsid w:val="004954E9"/>
    <w:rsid w:val="00496961"/>
    <w:rsid w:val="00497067"/>
    <w:rsid w:val="00497815"/>
    <w:rsid w:val="004979CC"/>
    <w:rsid w:val="004A0005"/>
    <w:rsid w:val="004A0816"/>
    <w:rsid w:val="004A2F87"/>
    <w:rsid w:val="004A4825"/>
    <w:rsid w:val="004A4C93"/>
    <w:rsid w:val="004A4D76"/>
    <w:rsid w:val="004A4DEF"/>
    <w:rsid w:val="004A5C04"/>
    <w:rsid w:val="004A6165"/>
    <w:rsid w:val="004B3609"/>
    <w:rsid w:val="004B47C0"/>
    <w:rsid w:val="004B4BBC"/>
    <w:rsid w:val="004B632A"/>
    <w:rsid w:val="004B7F95"/>
    <w:rsid w:val="004C0594"/>
    <w:rsid w:val="004C0A98"/>
    <w:rsid w:val="004C158F"/>
    <w:rsid w:val="004C1E1C"/>
    <w:rsid w:val="004C5FEA"/>
    <w:rsid w:val="004C6B53"/>
    <w:rsid w:val="004C7286"/>
    <w:rsid w:val="004C728C"/>
    <w:rsid w:val="004D044B"/>
    <w:rsid w:val="004D0C16"/>
    <w:rsid w:val="004D1017"/>
    <w:rsid w:val="004D14AB"/>
    <w:rsid w:val="004D2D29"/>
    <w:rsid w:val="004D3289"/>
    <w:rsid w:val="004D3E3C"/>
    <w:rsid w:val="004D43C1"/>
    <w:rsid w:val="004D4AB2"/>
    <w:rsid w:val="004D4F17"/>
    <w:rsid w:val="004D4F34"/>
    <w:rsid w:val="004D5408"/>
    <w:rsid w:val="004D6C66"/>
    <w:rsid w:val="004D7715"/>
    <w:rsid w:val="004D7AF2"/>
    <w:rsid w:val="004E088E"/>
    <w:rsid w:val="004E1A4F"/>
    <w:rsid w:val="004E2247"/>
    <w:rsid w:val="004E2955"/>
    <w:rsid w:val="004E2AE6"/>
    <w:rsid w:val="004E356B"/>
    <w:rsid w:val="004E4361"/>
    <w:rsid w:val="004E467F"/>
    <w:rsid w:val="004E4DD0"/>
    <w:rsid w:val="004E5A90"/>
    <w:rsid w:val="004E6249"/>
    <w:rsid w:val="004E6CFE"/>
    <w:rsid w:val="004E6E54"/>
    <w:rsid w:val="004F0591"/>
    <w:rsid w:val="004F0A8F"/>
    <w:rsid w:val="004F1203"/>
    <w:rsid w:val="004F3B7A"/>
    <w:rsid w:val="004F3C18"/>
    <w:rsid w:val="004F42B6"/>
    <w:rsid w:val="004F450A"/>
    <w:rsid w:val="004F4B1C"/>
    <w:rsid w:val="004F5915"/>
    <w:rsid w:val="004F6829"/>
    <w:rsid w:val="00500509"/>
    <w:rsid w:val="00500E2A"/>
    <w:rsid w:val="005020CB"/>
    <w:rsid w:val="0050279C"/>
    <w:rsid w:val="00504BBA"/>
    <w:rsid w:val="00504F79"/>
    <w:rsid w:val="00505896"/>
    <w:rsid w:val="005062C6"/>
    <w:rsid w:val="00506684"/>
    <w:rsid w:val="005067E6"/>
    <w:rsid w:val="00507313"/>
    <w:rsid w:val="005077A3"/>
    <w:rsid w:val="005101DC"/>
    <w:rsid w:val="005113A3"/>
    <w:rsid w:val="00511402"/>
    <w:rsid w:val="0051199B"/>
    <w:rsid w:val="005134D4"/>
    <w:rsid w:val="00513C55"/>
    <w:rsid w:val="0051581E"/>
    <w:rsid w:val="00516796"/>
    <w:rsid w:val="00516B63"/>
    <w:rsid w:val="0051704F"/>
    <w:rsid w:val="00520598"/>
    <w:rsid w:val="00520D45"/>
    <w:rsid w:val="00522400"/>
    <w:rsid w:val="005224B0"/>
    <w:rsid w:val="005232B1"/>
    <w:rsid w:val="005243A8"/>
    <w:rsid w:val="005244E2"/>
    <w:rsid w:val="005248FE"/>
    <w:rsid w:val="00525F66"/>
    <w:rsid w:val="0053127B"/>
    <w:rsid w:val="005314B0"/>
    <w:rsid w:val="00531545"/>
    <w:rsid w:val="00531EFE"/>
    <w:rsid w:val="00532C21"/>
    <w:rsid w:val="00532C23"/>
    <w:rsid w:val="0053378F"/>
    <w:rsid w:val="00534259"/>
    <w:rsid w:val="00534F85"/>
    <w:rsid w:val="00535915"/>
    <w:rsid w:val="00535E76"/>
    <w:rsid w:val="005369FC"/>
    <w:rsid w:val="00536AD3"/>
    <w:rsid w:val="00536C3A"/>
    <w:rsid w:val="005374BC"/>
    <w:rsid w:val="0053755B"/>
    <w:rsid w:val="00540197"/>
    <w:rsid w:val="00540A06"/>
    <w:rsid w:val="00543846"/>
    <w:rsid w:val="00544D9B"/>
    <w:rsid w:val="00544DBF"/>
    <w:rsid w:val="00545688"/>
    <w:rsid w:val="005472AB"/>
    <w:rsid w:val="00547752"/>
    <w:rsid w:val="0054784D"/>
    <w:rsid w:val="00550B90"/>
    <w:rsid w:val="005516FE"/>
    <w:rsid w:val="00551D5F"/>
    <w:rsid w:val="00553C62"/>
    <w:rsid w:val="0055427F"/>
    <w:rsid w:val="00554377"/>
    <w:rsid w:val="00554633"/>
    <w:rsid w:val="00554C81"/>
    <w:rsid w:val="00555A71"/>
    <w:rsid w:val="0055632E"/>
    <w:rsid w:val="005577D2"/>
    <w:rsid w:val="0056073B"/>
    <w:rsid w:val="005640D8"/>
    <w:rsid w:val="00564856"/>
    <w:rsid w:val="005654A4"/>
    <w:rsid w:val="005656E2"/>
    <w:rsid w:val="00565B2C"/>
    <w:rsid w:val="00565DD4"/>
    <w:rsid w:val="00565E37"/>
    <w:rsid w:val="005663CD"/>
    <w:rsid w:val="005672DA"/>
    <w:rsid w:val="0056779A"/>
    <w:rsid w:val="00571E26"/>
    <w:rsid w:val="00573627"/>
    <w:rsid w:val="00573C30"/>
    <w:rsid w:val="0057409D"/>
    <w:rsid w:val="005747C1"/>
    <w:rsid w:val="005747F6"/>
    <w:rsid w:val="005757FA"/>
    <w:rsid w:val="00577B41"/>
    <w:rsid w:val="00580063"/>
    <w:rsid w:val="00580F57"/>
    <w:rsid w:val="00581E16"/>
    <w:rsid w:val="0058345B"/>
    <w:rsid w:val="005838AC"/>
    <w:rsid w:val="00584D15"/>
    <w:rsid w:val="00584D47"/>
    <w:rsid w:val="005857FE"/>
    <w:rsid w:val="00585AE8"/>
    <w:rsid w:val="00585D4A"/>
    <w:rsid w:val="00585E34"/>
    <w:rsid w:val="0058636E"/>
    <w:rsid w:val="0058661C"/>
    <w:rsid w:val="005876B5"/>
    <w:rsid w:val="0059098F"/>
    <w:rsid w:val="00592554"/>
    <w:rsid w:val="00593006"/>
    <w:rsid w:val="005930E9"/>
    <w:rsid w:val="00593487"/>
    <w:rsid w:val="00593828"/>
    <w:rsid w:val="005939B8"/>
    <w:rsid w:val="00594771"/>
    <w:rsid w:val="00594DFE"/>
    <w:rsid w:val="005954F8"/>
    <w:rsid w:val="00596004"/>
    <w:rsid w:val="00596B8C"/>
    <w:rsid w:val="005A0AD4"/>
    <w:rsid w:val="005A0B38"/>
    <w:rsid w:val="005A108B"/>
    <w:rsid w:val="005A2CF2"/>
    <w:rsid w:val="005A341E"/>
    <w:rsid w:val="005A37E3"/>
    <w:rsid w:val="005A38B5"/>
    <w:rsid w:val="005A5036"/>
    <w:rsid w:val="005A53C2"/>
    <w:rsid w:val="005A5414"/>
    <w:rsid w:val="005A6518"/>
    <w:rsid w:val="005A6689"/>
    <w:rsid w:val="005B054F"/>
    <w:rsid w:val="005B0899"/>
    <w:rsid w:val="005B154B"/>
    <w:rsid w:val="005B2A80"/>
    <w:rsid w:val="005B2B1A"/>
    <w:rsid w:val="005B2DB6"/>
    <w:rsid w:val="005B340A"/>
    <w:rsid w:val="005B3633"/>
    <w:rsid w:val="005B4481"/>
    <w:rsid w:val="005B46BB"/>
    <w:rsid w:val="005B5997"/>
    <w:rsid w:val="005B6E75"/>
    <w:rsid w:val="005C0DFC"/>
    <w:rsid w:val="005C0EB2"/>
    <w:rsid w:val="005C15CE"/>
    <w:rsid w:val="005C22EA"/>
    <w:rsid w:val="005C25AF"/>
    <w:rsid w:val="005C2A9E"/>
    <w:rsid w:val="005C3EFD"/>
    <w:rsid w:val="005C4118"/>
    <w:rsid w:val="005C4ADC"/>
    <w:rsid w:val="005C6289"/>
    <w:rsid w:val="005D02A2"/>
    <w:rsid w:val="005D0F9E"/>
    <w:rsid w:val="005D20D8"/>
    <w:rsid w:val="005D23B7"/>
    <w:rsid w:val="005D4BE7"/>
    <w:rsid w:val="005D520B"/>
    <w:rsid w:val="005D6304"/>
    <w:rsid w:val="005D694A"/>
    <w:rsid w:val="005D752C"/>
    <w:rsid w:val="005D7A0A"/>
    <w:rsid w:val="005E0072"/>
    <w:rsid w:val="005E0593"/>
    <w:rsid w:val="005E0C17"/>
    <w:rsid w:val="005E1B90"/>
    <w:rsid w:val="005E2A50"/>
    <w:rsid w:val="005E2B5E"/>
    <w:rsid w:val="005E4623"/>
    <w:rsid w:val="005E4B32"/>
    <w:rsid w:val="005E54E1"/>
    <w:rsid w:val="005E55F4"/>
    <w:rsid w:val="005E5647"/>
    <w:rsid w:val="005E564C"/>
    <w:rsid w:val="005E639D"/>
    <w:rsid w:val="005E728F"/>
    <w:rsid w:val="005E77C8"/>
    <w:rsid w:val="005E7DFC"/>
    <w:rsid w:val="005F0001"/>
    <w:rsid w:val="005F0401"/>
    <w:rsid w:val="005F0DDE"/>
    <w:rsid w:val="005F0F57"/>
    <w:rsid w:val="005F1B86"/>
    <w:rsid w:val="005F1E73"/>
    <w:rsid w:val="005F2060"/>
    <w:rsid w:val="005F26FC"/>
    <w:rsid w:val="005F478A"/>
    <w:rsid w:val="005F59D5"/>
    <w:rsid w:val="005F644C"/>
    <w:rsid w:val="005F6AD5"/>
    <w:rsid w:val="005F77C5"/>
    <w:rsid w:val="005F793E"/>
    <w:rsid w:val="005F7CA6"/>
    <w:rsid w:val="00600378"/>
    <w:rsid w:val="0060363A"/>
    <w:rsid w:val="00603CB9"/>
    <w:rsid w:val="00604B35"/>
    <w:rsid w:val="006071F2"/>
    <w:rsid w:val="00607CB7"/>
    <w:rsid w:val="00610D71"/>
    <w:rsid w:val="00610E21"/>
    <w:rsid w:val="00610E68"/>
    <w:rsid w:val="00611995"/>
    <w:rsid w:val="00611D39"/>
    <w:rsid w:val="00611F92"/>
    <w:rsid w:val="00613368"/>
    <w:rsid w:val="00614F7D"/>
    <w:rsid w:val="0061573A"/>
    <w:rsid w:val="00615B5C"/>
    <w:rsid w:val="00617429"/>
    <w:rsid w:val="00620417"/>
    <w:rsid w:val="0062156F"/>
    <w:rsid w:val="00621D99"/>
    <w:rsid w:val="00623B11"/>
    <w:rsid w:val="006251FE"/>
    <w:rsid w:val="006258BD"/>
    <w:rsid w:val="00625987"/>
    <w:rsid w:val="00625E52"/>
    <w:rsid w:val="0062744B"/>
    <w:rsid w:val="00627F55"/>
    <w:rsid w:val="006303D1"/>
    <w:rsid w:val="00630859"/>
    <w:rsid w:val="00630A26"/>
    <w:rsid w:val="00632F5E"/>
    <w:rsid w:val="00634874"/>
    <w:rsid w:val="00635575"/>
    <w:rsid w:val="00635F67"/>
    <w:rsid w:val="006361FF"/>
    <w:rsid w:val="00636C2A"/>
    <w:rsid w:val="00636D45"/>
    <w:rsid w:val="006371B7"/>
    <w:rsid w:val="00640091"/>
    <w:rsid w:val="0064099D"/>
    <w:rsid w:val="00641187"/>
    <w:rsid w:val="006412E7"/>
    <w:rsid w:val="00641B37"/>
    <w:rsid w:val="0064338F"/>
    <w:rsid w:val="0064386B"/>
    <w:rsid w:val="00643AAD"/>
    <w:rsid w:val="00643B7C"/>
    <w:rsid w:val="00643F51"/>
    <w:rsid w:val="00645F0B"/>
    <w:rsid w:val="00646BBB"/>
    <w:rsid w:val="00650576"/>
    <w:rsid w:val="00650EB6"/>
    <w:rsid w:val="00652197"/>
    <w:rsid w:val="00652297"/>
    <w:rsid w:val="00652E87"/>
    <w:rsid w:val="0065351E"/>
    <w:rsid w:val="00654BBD"/>
    <w:rsid w:val="00654E99"/>
    <w:rsid w:val="00655D56"/>
    <w:rsid w:val="0065655B"/>
    <w:rsid w:val="00656ECA"/>
    <w:rsid w:val="006615C2"/>
    <w:rsid w:val="00661FAD"/>
    <w:rsid w:val="00662ACF"/>
    <w:rsid w:val="00664DD8"/>
    <w:rsid w:val="00665CC3"/>
    <w:rsid w:val="00665F0C"/>
    <w:rsid w:val="00667C35"/>
    <w:rsid w:val="00670384"/>
    <w:rsid w:val="00670738"/>
    <w:rsid w:val="00671D7C"/>
    <w:rsid w:val="00672E21"/>
    <w:rsid w:val="00672E58"/>
    <w:rsid w:val="0067359C"/>
    <w:rsid w:val="00673D74"/>
    <w:rsid w:val="00673E18"/>
    <w:rsid w:val="006753F3"/>
    <w:rsid w:val="00676509"/>
    <w:rsid w:val="006771AB"/>
    <w:rsid w:val="00680F5A"/>
    <w:rsid w:val="0068238E"/>
    <w:rsid w:val="00682F34"/>
    <w:rsid w:val="00682FE0"/>
    <w:rsid w:val="006837CE"/>
    <w:rsid w:val="00684504"/>
    <w:rsid w:val="00685678"/>
    <w:rsid w:val="00685B65"/>
    <w:rsid w:val="006868B9"/>
    <w:rsid w:val="00687CD8"/>
    <w:rsid w:val="006904AE"/>
    <w:rsid w:val="00691302"/>
    <w:rsid w:val="00691486"/>
    <w:rsid w:val="00691A7C"/>
    <w:rsid w:val="00692022"/>
    <w:rsid w:val="00692D14"/>
    <w:rsid w:val="00694DE8"/>
    <w:rsid w:val="00695034"/>
    <w:rsid w:val="006972FB"/>
    <w:rsid w:val="00697AD0"/>
    <w:rsid w:val="00697EED"/>
    <w:rsid w:val="006A0128"/>
    <w:rsid w:val="006A0CFC"/>
    <w:rsid w:val="006A0DD8"/>
    <w:rsid w:val="006A1097"/>
    <w:rsid w:val="006A11FB"/>
    <w:rsid w:val="006A256E"/>
    <w:rsid w:val="006A272B"/>
    <w:rsid w:val="006A403F"/>
    <w:rsid w:val="006A458E"/>
    <w:rsid w:val="006A4C71"/>
    <w:rsid w:val="006A5757"/>
    <w:rsid w:val="006A5966"/>
    <w:rsid w:val="006A5CF1"/>
    <w:rsid w:val="006A659D"/>
    <w:rsid w:val="006A79C5"/>
    <w:rsid w:val="006B090C"/>
    <w:rsid w:val="006B0F9B"/>
    <w:rsid w:val="006B1FBD"/>
    <w:rsid w:val="006B4351"/>
    <w:rsid w:val="006B4EDC"/>
    <w:rsid w:val="006B4F8F"/>
    <w:rsid w:val="006B7C73"/>
    <w:rsid w:val="006C01EA"/>
    <w:rsid w:val="006C10B8"/>
    <w:rsid w:val="006C1146"/>
    <w:rsid w:val="006C1ABF"/>
    <w:rsid w:val="006C1E0D"/>
    <w:rsid w:val="006C2415"/>
    <w:rsid w:val="006C2E7C"/>
    <w:rsid w:val="006C39BF"/>
    <w:rsid w:val="006C4035"/>
    <w:rsid w:val="006C41D0"/>
    <w:rsid w:val="006C47A8"/>
    <w:rsid w:val="006C566A"/>
    <w:rsid w:val="006C63B1"/>
    <w:rsid w:val="006C6B4C"/>
    <w:rsid w:val="006C700E"/>
    <w:rsid w:val="006D01E1"/>
    <w:rsid w:val="006D1F74"/>
    <w:rsid w:val="006D3657"/>
    <w:rsid w:val="006D37EB"/>
    <w:rsid w:val="006D4530"/>
    <w:rsid w:val="006D49D3"/>
    <w:rsid w:val="006D4F0A"/>
    <w:rsid w:val="006D5892"/>
    <w:rsid w:val="006D647D"/>
    <w:rsid w:val="006D76FF"/>
    <w:rsid w:val="006E0314"/>
    <w:rsid w:val="006E0F0D"/>
    <w:rsid w:val="006E2714"/>
    <w:rsid w:val="006E2BEC"/>
    <w:rsid w:val="006E3A34"/>
    <w:rsid w:val="006E44BE"/>
    <w:rsid w:val="006E52F6"/>
    <w:rsid w:val="006E7767"/>
    <w:rsid w:val="006E788B"/>
    <w:rsid w:val="006E7F3C"/>
    <w:rsid w:val="006F39D8"/>
    <w:rsid w:val="006F3C12"/>
    <w:rsid w:val="006F61B1"/>
    <w:rsid w:val="006F6339"/>
    <w:rsid w:val="00700CC3"/>
    <w:rsid w:val="0070125B"/>
    <w:rsid w:val="00702895"/>
    <w:rsid w:val="00704813"/>
    <w:rsid w:val="0070520E"/>
    <w:rsid w:val="007054E6"/>
    <w:rsid w:val="00706DEC"/>
    <w:rsid w:val="007122E8"/>
    <w:rsid w:val="007132AB"/>
    <w:rsid w:val="007134F7"/>
    <w:rsid w:val="0071439C"/>
    <w:rsid w:val="007172E8"/>
    <w:rsid w:val="00717EEB"/>
    <w:rsid w:val="007203BA"/>
    <w:rsid w:val="00721936"/>
    <w:rsid w:val="00722948"/>
    <w:rsid w:val="00722F56"/>
    <w:rsid w:val="00723F80"/>
    <w:rsid w:val="00725AA6"/>
    <w:rsid w:val="00727B9A"/>
    <w:rsid w:val="00727D92"/>
    <w:rsid w:val="007319F9"/>
    <w:rsid w:val="00731B29"/>
    <w:rsid w:val="007327EA"/>
    <w:rsid w:val="0073302E"/>
    <w:rsid w:val="007330BC"/>
    <w:rsid w:val="00734900"/>
    <w:rsid w:val="00734C99"/>
    <w:rsid w:val="007353BF"/>
    <w:rsid w:val="00735D79"/>
    <w:rsid w:val="00736B6D"/>
    <w:rsid w:val="0074043C"/>
    <w:rsid w:val="007419F1"/>
    <w:rsid w:val="00741EDB"/>
    <w:rsid w:val="00743B3F"/>
    <w:rsid w:val="007454E0"/>
    <w:rsid w:val="00746130"/>
    <w:rsid w:val="00746E5E"/>
    <w:rsid w:val="007476F9"/>
    <w:rsid w:val="00747E1D"/>
    <w:rsid w:val="00750687"/>
    <w:rsid w:val="00750C4F"/>
    <w:rsid w:val="00751093"/>
    <w:rsid w:val="00752561"/>
    <w:rsid w:val="00752CEA"/>
    <w:rsid w:val="007530C5"/>
    <w:rsid w:val="00753754"/>
    <w:rsid w:val="00753F43"/>
    <w:rsid w:val="007544B9"/>
    <w:rsid w:val="00754731"/>
    <w:rsid w:val="00755728"/>
    <w:rsid w:val="007557B1"/>
    <w:rsid w:val="00755F05"/>
    <w:rsid w:val="00756954"/>
    <w:rsid w:val="00756B11"/>
    <w:rsid w:val="00756C4E"/>
    <w:rsid w:val="00756F59"/>
    <w:rsid w:val="0075753A"/>
    <w:rsid w:val="00760AA6"/>
    <w:rsid w:val="00760FCB"/>
    <w:rsid w:val="00761232"/>
    <w:rsid w:val="007612A0"/>
    <w:rsid w:val="007612C6"/>
    <w:rsid w:val="007612EC"/>
    <w:rsid w:val="00761962"/>
    <w:rsid w:val="0076309A"/>
    <w:rsid w:val="00764768"/>
    <w:rsid w:val="007663ED"/>
    <w:rsid w:val="00766585"/>
    <w:rsid w:val="007665AF"/>
    <w:rsid w:val="007711D9"/>
    <w:rsid w:val="00771DA0"/>
    <w:rsid w:val="00771FC9"/>
    <w:rsid w:val="00773AA4"/>
    <w:rsid w:val="00773F49"/>
    <w:rsid w:val="00773F9D"/>
    <w:rsid w:val="00775AC8"/>
    <w:rsid w:val="00775FA2"/>
    <w:rsid w:val="00775FD5"/>
    <w:rsid w:val="00776B79"/>
    <w:rsid w:val="007770F8"/>
    <w:rsid w:val="007771F1"/>
    <w:rsid w:val="00777596"/>
    <w:rsid w:val="00777960"/>
    <w:rsid w:val="00780382"/>
    <w:rsid w:val="00780650"/>
    <w:rsid w:val="007828C0"/>
    <w:rsid w:val="00782DBB"/>
    <w:rsid w:val="00785EC4"/>
    <w:rsid w:val="007860B6"/>
    <w:rsid w:val="00787014"/>
    <w:rsid w:val="007906EB"/>
    <w:rsid w:val="00791188"/>
    <w:rsid w:val="007920FE"/>
    <w:rsid w:val="0079410B"/>
    <w:rsid w:val="0079577C"/>
    <w:rsid w:val="00797CEE"/>
    <w:rsid w:val="007A01FE"/>
    <w:rsid w:val="007A03B7"/>
    <w:rsid w:val="007A0BE8"/>
    <w:rsid w:val="007A140D"/>
    <w:rsid w:val="007A286E"/>
    <w:rsid w:val="007A2907"/>
    <w:rsid w:val="007A3140"/>
    <w:rsid w:val="007A3D9B"/>
    <w:rsid w:val="007A3FC1"/>
    <w:rsid w:val="007A5A29"/>
    <w:rsid w:val="007A68ED"/>
    <w:rsid w:val="007A7B07"/>
    <w:rsid w:val="007B008C"/>
    <w:rsid w:val="007B0489"/>
    <w:rsid w:val="007B0839"/>
    <w:rsid w:val="007B0B7F"/>
    <w:rsid w:val="007B138C"/>
    <w:rsid w:val="007B2DAD"/>
    <w:rsid w:val="007B3D50"/>
    <w:rsid w:val="007B42BF"/>
    <w:rsid w:val="007B4D35"/>
    <w:rsid w:val="007B53D1"/>
    <w:rsid w:val="007B57CE"/>
    <w:rsid w:val="007B6820"/>
    <w:rsid w:val="007B693C"/>
    <w:rsid w:val="007B6CDD"/>
    <w:rsid w:val="007C037E"/>
    <w:rsid w:val="007C0B45"/>
    <w:rsid w:val="007C1739"/>
    <w:rsid w:val="007C1FA0"/>
    <w:rsid w:val="007C4006"/>
    <w:rsid w:val="007C4268"/>
    <w:rsid w:val="007C5BD8"/>
    <w:rsid w:val="007C635F"/>
    <w:rsid w:val="007C66BF"/>
    <w:rsid w:val="007D092D"/>
    <w:rsid w:val="007D192B"/>
    <w:rsid w:val="007D22B4"/>
    <w:rsid w:val="007D28B7"/>
    <w:rsid w:val="007D3491"/>
    <w:rsid w:val="007D354C"/>
    <w:rsid w:val="007D3D6D"/>
    <w:rsid w:val="007D48DC"/>
    <w:rsid w:val="007D5474"/>
    <w:rsid w:val="007E04D4"/>
    <w:rsid w:val="007E2A2A"/>
    <w:rsid w:val="007E38FB"/>
    <w:rsid w:val="007E45E5"/>
    <w:rsid w:val="007E5321"/>
    <w:rsid w:val="007F0C16"/>
    <w:rsid w:val="007F0EE6"/>
    <w:rsid w:val="007F1297"/>
    <w:rsid w:val="007F129C"/>
    <w:rsid w:val="007F2F8B"/>
    <w:rsid w:val="007F5746"/>
    <w:rsid w:val="007F67C7"/>
    <w:rsid w:val="007F6CEF"/>
    <w:rsid w:val="007F6E37"/>
    <w:rsid w:val="00800B08"/>
    <w:rsid w:val="00801057"/>
    <w:rsid w:val="00801224"/>
    <w:rsid w:val="0080146B"/>
    <w:rsid w:val="0080167C"/>
    <w:rsid w:val="00801AFB"/>
    <w:rsid w:val="0080260C"/>
    <w:rsid w:val="00802DCD"/>
    <w:rsid w:val="00802ECA"/>
    <w:rsid w:val="00803DC8"/>
    <w:rsid w:val="00804F18"/>
    <w:rsid w:val="00806832"/>
    <w:rsid w:val="008071BE"/>
    <w:rsid w:val="0080767E"/>
    <w:rsid w:val="0081033F"/>
    <w:rsid w:val="00810AF0"/>
    <w:rsid w:val="00813F4B"/>
    <w:rsid w:val="00814B4D"/>
    <w:rsid w:val="0081613E"/>
    <w:rsid w:val="00817047"/>
    <w:rsid w:val="008177A2"/>
    <w:rsid w:val="0082176F"/>
    <w:rsid w:val="0082199C"/>
    <w:rsid w:val="008237C2"/>
    <w:rsid w:val="00825A5E"/>
    <w:rsid w:val="00826985"/>
    <w:rsid w:val="00826D88"/>
    <w:rsid w:val="00830620"/>
    <w:rsid w:val="00830DDC"/>
    <w:rsid w:val="00831282"/>
    <w:rsid w:val="0083230A"/>
    <w:rsid w:val="008323B2"/>
    <w:rsid w:val="008341B6"/>
    <w:rsid w:val="00834E25"/>
    <w:rsid w:val="00834F37"/>
    <w:rsid w:val="008361E1"/>
    <w:rsid w:val="00836211"/>
    <w:rsid w:val="00836389"/>
    <w:rsid w:val="0084111C"/>
    <w:rsid w:val="0084226D"/>
    <w:rsid w:val="00842B17"/>
    <w:rsid w:val="00843074"/>
    <w:rsid w:val="00844137"/>
    <w:rsid w:val="008447E6"/>
    <w:rsid w:val="00845498"/>
    <w:rsid w:val="00845548"/>
    <w:rsid w:val="00845CF8"/>
    <w:rsid w:val="0084686E"/>
    <w:rsid w:val="00846A75"/>
    <w:rsid w:val="00847933"/>
    <w:rsid w:val="0085019F"/>
    <w:rsid w:val="008502A9"/>
    <w:rsid w:val="0085070C"/>
    <w:rsid w:val="00850E08"/>
    <w:rsid w:val="0085207D"/>
    <w:rsid w:val="00852796"/>
    <w:rsid w:val="0085341F"/>
    <w:rsid w:val="00853875"/>
    <w:rsid w:val="0085389A"/>
    <w:rsid w:val="00854111"/>
    <w:rsid w:val="00854489"/>
    <w:rsid w:val="008551A7"/>
    <w:rsid w:val="00855992"/>
    <w:rsid w:val="0085754C"/>
    <w:rsid w:val="00860039"/>
    <w:rsid w:val="008606B9"/>
    <w:rsid w:val="00861752"/>
    <w:rsid w:val="00861B69"/>
    <w:rsid w:val="00861D56"/>
    <w:rsid w:val="00862143"/>
    <w:rsid w:val="00863767"/>
    <w:rsid w:val="00863A24"/>
    <w:rsid w:val="00863A71"/>
    <w:rsid w:val="00865910"/>
    <w:rsid w:val="00865EE9"/>
    <w:rsid w:val="008660D4"/>
    <w:rsid w:val="00870E1D"/>
    <w:rsid w:val="00871DA2"/>
    <w:rsid w:val="00871FCF"/>
    <w:rsid w:val="008721B8"/>
    <w:rsid w:val="008750A5"/>
    <w:rsid w:val="00876030"/>
    <w:rsid w:val="008779D5"/>
    <w:rsid w:val="0088037D"/>
    <w:rsid w:val="00881023"/>
    <w:rsid w:val="008810FA"/>
    <w:rsid w:val="00881396"/>
    <w:rsid w:val="00881459"/>
    <w:rsid w:val="0088199F"/>
    <w:rsid w:val="00882E5F"/>
    <w:rsid w:val="00883710"/>
    <w:rsid w:val="00883783"/>
    <w:rsid w:val="008837F3"/>
    <w:rsid w:val="008839F8"/>
    <w:rsid w:val="008902E6"/>
    <w:rsid w:val="00890C73"/>
    <w:rsid w:val="00891051"/>
    <w:rsid w:val="00892432"/>
    <w:rsid w:val="00892829"/>
    <w:rsid w:val="008940AB"/>
    <w:rsid w:val="00894285"/>
    <w:rsid w:val="0089522A"/>
    <w:rsid w:val="008966DB"/>
    <w:rsid w:val="008975C2"/>
    <w:rsid w:val="008A13A1"/>
    <w:rsid w:val="008A5244"/>
    <w:rsid w:val="008A79C9"/>
    <w:rsid w:val="008B2F8A"/>
    <w:rsid w:val="008B3B43"/>
    <w:rsid w:val="008B3BA6"/>
    <w:rsid w:val="008B3F7B"/>
    <w:rsid w:val="008B5064"/>
    <w:rsid w:val="008B5523"/>
    <w:rsid w:val="008C2F6D"/>
    <w:rsid w:val="008C343B"/>
    <w:rsid w:val="008C4702"/>
    <w:rsid w:val="008C50F9"/>
    <w:rsid w:val="008C5969"/>
    <w:rsid w:val="008C5B93"/>
    <w:rsid w:val="008C6A16"/>
    <w:rsid w:val="008C7464"/>
    <w:rsid w:val="008C753C"/>
    <w:rsid w:val="008D1187"/>
    <w:rsid w:val="008D13DC"/>
    <w:rsid w:val="008D19E6"/>
    <w:rsid w:val="008D24DC"/>
    <w:rsid w:val="008D2934"/>
    <w:rsid w:val="008D34C1"/>
    <w:rsid w:val="008D3F16"/>
    <w:rsid w:val="008D3F8B"/>
    <w:rsid w:val="008D4BE6"/>
    <w:rsid w:val="008D4C22"/>
    <w:rsid w:val="008D64C9"/>
    <w:rsid w:val="008D7F55"/>
    <w:rsid w:val="008E1249"/>
    <w:rsid w:val="008E14DB"/>
    <w:rsid w:val="008E1B0F"/>
    <w:rsid w:val="008E21D7"/>
    <w:rsid w:val="008E2600"/>
    <w:rsid w:val="008E29B9"/>
    <w:rsid w:val="008E30ED"/>
    <w:rsid w:val="008E3202"/>
    <w:rsid w:val="008E3ECC"/>
    <w:rsid w:val="008E517E"/>
    <w:rsid w:val="008E6030"/>
    <w:rsid w:val="008E6274"/>
    <w:rsid w:val="008F3180"/>
    <w:rsid w:val="008F35C0"/>
    <w:rsid w:val="008F3634"/>
    <w:rsid w:val="008F421E"/>
    <w:rsid w:val="008F422C"/>
    <w:rsid w:val="008F50F8"/>
    <w:rsid w:val="008F56BC"/>
    <w:rsid w:val="008F6B3C"/>
    <w:rsid w:val="0090123D"/>
    <w:rsid w:val="009017D7"/>
    <w:rsid w:val="009025BE"/>
    <w:rsid w:val="00903D2C"/>
    <w:rsid w:val="00905BB2"/>
    <w:rsid w:val="00906672"/>
    <w:rsid w:val="00906989"/>
    <w:rsid w:val="00907DB1"/>
    <w:rsid w:val="009102E2"/>
    <w:rsid w:val="00911E33"/>
    <w:rsid w:val="009133D1"/>
    <w:rsid w:val="00914FFD"/>
    <w:rsid w:val="00915114"/>
    <w:rsid w:val="009151C0"/>
    <w:rsid w:val="00915CF5"/>
    <w:rsid w:val="009213AB"/>
    <w:rsid w:val="0092449D"/>
    <w:rsid w:val="0092482D"/>
    <w:rsid w:val="0092551E"/>
    <w:rsid w:val="00925949"/>
    <w:rsid w:val="00925F5B"/>
    <w:rsid w:val="00925F94"/>
    <w:rsid w:val="0092713F"/>
    <w:rsid w:val="009304BF"/>
    <w:rsid w:val="009307D7"/>
    <w:rsid w:val="00930E42"/>
    <w:rsid w:val="00930E5E"/>
    <w:rsid w:val="009311BA"/>
    <w:rsid w:val="00931DE6"/>
    <w:rsid w:val="009330ED"/>
    <w:rsid w:val="009342E6"/>
    <w:rsid w:val="00934393"/>
    <w:rsid w:val="00934ACE"/>
    <w:rsid w:val="00935177"/>
    <w:rsid w:val="00936CAE"/>
    <w:rsid w:val="0094128B"/>
    <w:rsid w:val="009433FD"/>
    <w:rsid w:val="00943C34"/>
    <w:rsid w:val="00945993"/>
    <w:rsid w:val="0094628D"/>
    <w:rsid w:val="00946312"/>
    <w:rsid w:val="009469F4"/>
    <w:rsid w:val="00946C49"/>
    <w:rsid w:val="00947944"/>
    <w:rsid w:val="0095142E"/>
    <w:rsid w:val="0095370A"/>
    <w:rsid w:val="0095469D"/>
    <w:rsid w:val="00955158"/>
    <w:rsid w:val="009552CA"/>
    <w:rsid w:val="00955361"/>
    <w:rsid w:val="009569EF"/>
    <w:rsid w:val="00957085"/>
    <w:rsid w:val="009606EF"/>
    <w:rsid w:val="00963AC6"/>
    <w:rsid w:val="0096492D"/>
    <w:rsid w:val="00964BBB"/>
    <w:rsid w:val="00964C87"/>
    <w:rsid w:val="00965030"/>
    <w:rsid w:val="00966312"/>
    <w:rsid w:val="0096631A"/>
    <w:rsid w:val="009667C4"/>
    <w:rsid w:val="00966ADA"/>
    <w:rsid w:val="00966BB1"/>
    <w:rsid w:val="00967CFF"/>
    <w:rsid w:val="009714C8"/>
    <w:rsid w:val="00971806"/>
    <w:rsid w:val="00971B8A"/>
    <w:rsid w:val="00972AF4"/>
    <w:rsid w:val="009731D8"/>
    <w:rsid w:val="00974727"/>
    <w:rsid w:val="0097530B"/>
    <w:rsid w:val="009756EF"/>
    <w:rsid w:val="00977070"/>
    <w:rsid w:val="009771ED"/>
    <w:rsid w:val="009772C9"/>
    <w:rsid w:val="009802A0"/>
    <w:rsid w:val="00981EE8"/>
    <w:rsid w:val="0098207C"/>
    <w:rsid w:val="009829EE"/>
    <w:rsid w:val="009834B5"/>
    <w:rsid w:val="0098415C"/>
    <w:rsid w:val="00984606"/>
    <w:rsid w:val="00984A76"/>
    <w:rsid w:val="00985BDE"/>
    <w:rsid w:val="00985D25"/>
    <w:rsid w:val="009912B7"/>
    <w:rsid w:val="009924CF"/>
    <w:rsid w:val="00992659"/>
    <w:rsid w:val="009928DD"/>
    <w:rsid w:val="00993015"/>
    <w:rsid w:val="009933D1"/>
    <w:rsid w:val="0099431C"/>
    <w:rsid w:val="00994470"/>
    <w:rsid w:val="009948E5"/>
    <w:rsid w:val="00994D6A"/>
    <w:rsid w:val="00994DF0"/>
    <w:rsid w:val="00994E9B"/>
    <w:rsid w:val="009A0033"/>
    <w:rsid w:val="009A13B4"/>
    <w:rsid w:val="009A19DB"/>
    <w:rsid w:val="009A1E47"/>
    <w:rsid w:val="009A2150"/>
    <w:rsid w:val="009A2D50"/>
    <w:rsid w:val="009A3C28"/>
    <w:rsid w:val="009A49B5"/>
    <w:rsid w:val="009A5EFC"/>
    <w:rsid w:val="009A5F3B"/>
    <w:rsid w:val="009B07F0"/>
    <w:rsid w:val="009B1228"/>
    <w:rsid w:val="009B1D48"/>
    <w:rsid w:val="009B1FAA"/>
    <w:rsid w:val="009B21B5"/>
    <w:rsid w:val="009B3DBB"/>
    <w:rsid w:val="009B5438"/>
    <w:rsid w:val="009B5502"/>
    <w:rsid w:val="009B7A42"/>
    <w:rsid w:val="009B7CDD"/>
    <w:rsid w:val="009C08E7"/>
    <w:rsid w:val="009C0B87"/>
    <w:rsid w:val="009C1BB4"/>
    <w:rsid w:val="009C20B6"/>
    <w:rsid w:val="009C292C"/>
    <w:rsid w:val="009C2DB2"/>
    <w:rsid w:val="009C4A4F"/>
    <w:rsid w:val="009C62B6"/>
    <w:rsid w:val="009C7A68"/>
    <w:rsid w:val="009C7BFC"/>
    <w:rsid w:val="009D01A4"/>
    <w:rsid w:val="009D07BA"/>
    <w:rsid w:val="009D0A48"/>
    <w:rsid w:val="009D1051"/>
    <w:rsid w:val="009D1E3E"/>
    <w:rsid w:val="009D2454"/>
    <w:rsid w:val="009D263A"/>
    <w:rsid w:val="009D2DBE"/>
    <w:rsid w:val="009D46F1"/>
    <w:rsid w:val="009D4A7C"/>
    <w:rsid w:val="009D4A88"/>
    <w:rsid w:val="009D68F5"/>
    <w:rsid w:val="009D6E90"/>
    <w:rsid w:val="009D7988"/>
    <w:rsid w:val="009D7AE5"/>
    <w:rsid w:val="009E04F1"/>
    <w:rsid w:val="009E1A7E"/>
    <w:rsid w:val="009E251F"/>
    <w:rsid w:val="009E2C6E"/>
    <w:rsid w:val="009E385D"/>
    <w:rsid w:val="009E57DA"/>
    <w:rsid w:val="009E5993"/>
    <w:rsid w:val="009E671B"/>
    <w:rsid w:val="009E67A7"/>
    <w:rsid w:val="009E78AA"/>
    <w:rsid w:val="009F0292"/>
    <w:rsid w:val="009F1795"/>
    <w:rsid w:val="009F19F8"/>
    <w:rsid w:val="009F3923"/>
    <w:rsid w:val="009F4958"/>
    <w:rsid w:val="009F6873"/>
    <w:rsid w:val="009F7930"/>
    <w:rsid w:val="00A00119"/>
    <w:rsid w:val="00A03A9E"/>
    <w:rsid w:val="00A03D2C"/>
    <w:rsid w:val="00A03E8B"/>
    <w:rsid w:val="00A04AAF"/>
    <w:rsid w:val="00A0555C"/>
    <w:rsid w:val="00A05A7D"/>
    <w:rsid w:val="00A06E5B"/>
    <w:rsid w:val="00A07150"/>
    <w:rsid w:val="00A0721C"/>
    <w:rsid w:val="00A107FA"/>
    <w:rsid w:val="00A1289D"/>
    <w:rsid w:val="00A13F0F"/>
    <w:rsid w:val="00A14542"/>
    <w:rsid w:val="00A1573C"/>
    <w:rsid w:val="00A204F4"/>
    <w:rsid w:val="00A213CA"/>
    <w:rsid w:val="00A22BA9"/>
    <w:rsid w:val="00A23E9F"/>
    <w:rsid w:val="00A26F75"/>
    <w:rsid w:val="00A27B13"/>
    <w:rsid w:val="00A3055C"/>
    <w:rsid w:val="00A30624"/>
    <w:rsid w:val="00A31D8E"/>
    <w:rsid w:val="00A31F0D"/>
    <w:rsid w:val="00A32072"/>
    <w:rsid w:val="00A334A7"/>
    <w:rsid w:val="00A33919"/>
    <w:rsid w:val="00A3485F"/>
    <w:rsid w:val="00A34FBD"/>
    <w:rsid w:val="00A362B8"/>
    <w:rsid w:val="00A36389"/>
    <w:rsid w:val="00A36B96"/>
    <w:rsid w:val="00A37A8C"/>
    <w:rsid w:val="00A4007B"/>
    <w:rsid w:val="00A40C69"/>
    <w:rsid w:val="00A42713"/>
    <w:rsid w:val="00A44774"/>
    <w:rsid w:val="00A47FCF"/>
    <w:rsid w:val="00A50132"/>
    <w:rsid w:val="00A5400A"/>
    <w:rsid w:val="00A5480B"/>
    <w:rsid w:val="00A5791E"/>
    <w:rsid w:val="00A61551"/>
    <w:rsid w:val="00A61D95"/>
    <w:rsid w:val="00A641D3"/>
    <w:rsid w:val="00A64E34"/>
    <w:rsid w:val="00A70C81"/>
    <w:rsid w:val="00A7282C"/>
    <w:rsid w:val="00A73334"/>
    <w:rsid w:val="00A733BF"/>
    <w:rsid w:val="00A74D6C"/>
    <w:rsid w:val="00A77372"/>
    <w:rsid w:val="00A80397"/>
    <w:rsid w:val="00A81F6C"/>
    <w:rsid w:val="00A82597"/>
    <w:rsid w:val="00A82901"/>
    <w:rsid w:val="00A8339B"/>
    <w:rsid w:val="00A8620B"/>
    <w:rsid w:val="00A8680F"/>
    <w:rsid w:val="00A90E6D"/>
    <w:rsid w:val="00A9157A"/>
    <w:rsid w:val="00A919E9"/>
    <w:rsid w:val="00A93EDB"/>
    <w:rsid w:val="00A94C10"/>
    <w:rsid w:val="00A95102"/>
    <w:rsid w:val="00A957C9"/>
    <w:rsid w:val="00A95F01"/>
    <w:rsid w:val="00A971D1"/>
    <w:rsid w:val="00A97226"/>
    <w:rsid w:val="00A9730E"/>
    <w:rsid w:val="00A9737C"/>
    <w:rsid w:val="00AA12AB"/>
    <w:rsid w:val="00AA1505"/>
    <w:rsid w:val="00AA1C27"/>
    <w:rsid w:val="00AA22E2"/>
    <w:rsid w:val="00AA32F8"/>
    <w:rsid w:val="00AA39CC"/>
    <w:rsid w:val="00AA41A0"/>
    <w:rsid w:val="00AA543E"/>
    <w:rsid w:val="00AA5E54"/>
    <w:rsid w:val="00AA6EB5"/>
    <w:rsid w:val="00AB08AB"/>
    <w:rsid w:val="00AB3458"/>
    <w:rsid w:val="00AB4AEE"/>
    <w:rsid w:val="00AB4B2D"/>
    <w:rsid w:val="00AB5B93"/>
    <w:rsid w:val="00AB5C9E"/>
    <w:rsid w:val="00AB6B19"/>
    <w:rsid w:val="00AB7056"/>
    <w:rsid w:val="00AB7F9F"/>
    <w:rsid w:val="00AC1135"/>
    <w:rsid w:val="00AC1D96"/>
    <w:rsid w:val="00AC1F31"/>
    <w:rsid w:val="00AC3BD9"/>
    <w:rsid w:val="00AC55EB"/>
    <w:rsid w:val="00AC7583"/>
    <w:rsid w:val="00AC783B"/>
    <w:rsid w:val="00AD0A42"/>
    <w:rsid w:val="00AD10CE"/>
    <w:rsid w:val="00AD17F8"/>
    <w:rsid w:val="00AD2EDF"/>
    <w:rsid w:val="00AD4720"/>
    <w:rsid w:val="00AD5447"/>
    <w:rsid w:val="00AD656C"/>
    <w:rsid w:val="00AE07B9"/>
    <w:rsid w:val="00AE2304"/>
    <w:rsid w:val="00AE241B"/>
    <w:rsid w:val="00AE2D4D"/>
    <w:rsid w:val="00AE43EB"/>
    <w:rsid w:val="00AF0472"/>
    <w:rsid w:val="00AF0863"/>
    <w:rsid w:val="00AF103C"/>
    <w:rsid w:val="00AF226A"/>
    <w:rsid w:val="00AF4BE7"/>
    <w:rsid w:val="00AF4DA0"/>
    <w:rsid w:val="00AF78DB"/>
    <w:rsid w:val="00B00A2A"/>
    <w:rsid w:val="00B00E22"/>
    <w:rsid w:val="00B00F4C"/>
    <w:rsid w:val="00B015EE"/>
    <w:rsid w:val="00B01B27"/>
    <w:rsid w:val="00B0235E"/>
    <w:rsid w:val="00B037E3"/>
    <w:rsid w:val="00B040AC"/>
    <w:rsid w:val="00B047E7"/>
    <w:rsid w:val="00B05758"/>
    <w:rsid w:val="00B0585F"/>
    <w:rsid w:val="00B05E8E"/>
    <w:rsid w:val="00B06122"/>
    <w:rsid w:val="00B07323"/>
    <w:rsid w:val="00B07701"/>
    <w:rsid w:val="00B07B94"/>
    <w:rsid w:val="00B10AB6"/>
    <w:rsid w:val="00B10FF1"/>
    <w:rsid w:val="00B127C8"/>
    <w:rsid w:val="00B1315E"/>
    <w:rsid w:val="00B13769"/>
    <w:rsid w:val="00B1393A"/>
    <w:rsid w:val="00B153E5"/>
    <w:rsid w:val="00B16600"/>
    <w:rsid w:val="00B177EC"/>
    <w:rsid w:val="00B224F9"/>
    <w:rsid w:val="00B22F29"/>
    <w:rsid w:val="00B247AA"/>
    <w:rsid w:val="00B24BF8"/>
    <w:rsid w:val="00B276DA"/>
    <w:rsid w:val="00B27A76"/>
    <w:rsid w:val="00B27DEC"/>
    <w:rsid w:val="00B29BBB"/>
    <w:rsid w:val="00B30348"/>
    <w:rsid w:val="00B315AD"/>
    <w:rsid w:val="00B32D2C"/>
    <w:rsid w:val="00B330AE"/>
    <w:rsid w:val="00B3364C"/>
    <w:rsid w:val="00B33C79"/>
    <w:rsid w:val="00B34599"/>
    <w:rsid w:val="00B3683D"/>
    <w:rsid w:val="00B36B73"/>
    <w:rsid w:val="00B4070C"/>
    <w:rsid w:val="00B41597"/>
    <w:rsid w:val="00B42E43"/>
    <w:rsid w:val="00B42E72"/>
    <w:rsid w:val="00B43CE1"/>
    <w:rsid w:val="00B43DEC"/>
    <w:rsid w:val="00B43F39"/>
    <w:rsid w:val="00B45BEE"/>
    <w:rsid w:val="00B47A21"/>
    <w:rsid w:val="00B519E1"/>
    <w:rsid w:val="00B5279A"/>
    <w:rsid w:val="00B5323A"/>
    <w:rsid w:val="00B53AA3"/>
    <w:rsid w:val="00B56B46"/>
    <w:rsid w:val="00B56D41"/>
    <w:rsid w:val="00B57375"/>
    <w:rsid w:val="00B57E22"/>
    <w:rsid w:val="00B60765"/>
    <w:rsid w:val="00B614D7"/>
    <w:rsid w:val="00B61754"/>
    <w:rsid w:val="00B628BF"/>
    <w:rsid w:val="00B629E6"/>
    <w:rsid w:val="00B631B0"/>
    <w:rsid w:val="00B64A9D"/>
    <w:rsid w:val="00B664EF"/>
    <w:rsid w:val="00B70E7E"/>
    <w:rsid w:val="00B735BA"/>
    <w:rsid w:val="00B7388D"/>
    <w:rsid w:val="00B738B0"/>
    <w:rsid w:val="00B741D0"/>
    <w:rsid w:val="00B74F8E"/>
    <w:rsid w:val="00B7503B"/>
    <w:rsid w:val="00B76951"/>
    <w:rsid w:val="00B80406"/>
    <w:rsid w:val="00B80521"/>
    <w:rsid w:val="00B80F5B"/>
    <w:rsid w:val="00B81CA4"/>
    <w:rsid w:val="00B8308C"/>
    <w:rsid w:val="00B8351A"/>
    <w:rsid w:val="00B83554"/>
    <w:rsid w:val="00B84EB6"/>
    <w:rsid w:val="00B85287"/>
    <w:rsid w:val="00B87772"/>
    <w:rsid w:val="00B87DEF"/>
    <w:rsid w:val="00B90616"/>
    <w:rsid w:val="00B91314"/>
    <w:rsid w:val="00B91F37"/>
    <w:rsid w:val="00B920A1"/>
    <w:rsid w:val="00B92D45"/>
    <w:rsid w:val="00B9327B"/>
    <w:rsid w:val="00B9516E"/>
    <w:rsid w:val="00B954F8"/>
    <w:rsid w:val="00B95590"/>
    <w:rsid w:val="00B962BB"/>
    <w:rsid w:val="00B96E0F"/>
    <w:rsid w:val="00BA0EF3"/>
    <w:rsid w:val="00BA188C"/>
    <w:rsid w:val="00BA2282"/>
    <w:rsid w:val="00BA2633"/>
    <w:rsid w:val="00BA38C9"/>
    <w:rsid w:val="00BA47C3"/>
    <w:rsid w:val="00BA5928"/>
    <w:rsid w:val="00BA5D62"/>
    <w:rsid w:val="00BA6719"/>
    <w:rsid w:val="00BA72E0"/>
    <w:rsid w:val="00BB3C52"/>
    <w:rsid w:val="00BB46C4"/>
    <w:rsid w:val="00BB4710"/>
    <w:rsid w:val="00BB4D47"/>
    <w:rsid w:val="00BB59CD"/>
    <w:rsid w:val="00BB5A9F"/>
    <w:rsid w:val="00BB600C"/>
    <w:rsid w:val="00BB6BB7"/>
    <w:rsid w:val="00BB7DFC"/>
    <w:rsid w:val="00BB7F65"/>
    <w:rsid w:val="00BC022A"/>
    <w:rsid w:val="00BC14BC"/>
    <w:rsid w:val="00BC1F75"/>
    <w:rsid w:val="00BC25B3"/>
    <w:rsid w:val="00BC3D1C"/>
    <w:rsid w:val="00BC43FB"/>
    <w:rsid w:val="00BC5CF9"/>
    <w:rsid w:val="00BC6114"/>
    <w:rsid w:val="00BD0046"/>
    <w:rsid w:val="00BD0839"/>
    <w:rsid w:val="00BD0DBA"/>
    <w:rsid w:val="00BD172E"/>
    <w:rsid w:val="00BD1DE9"/>
    <w:rsid w:val="00BD1FEE"/>
    <w:rsid w:val="00BD237D"/>
    <w:rsid w:val="00BD2F19"/>
    <w:rsid w:val="00BD30CB"/>
    <w:rsid w:val="00BD3894"/>
    <w:rsid w:val="00BD3BE4"/>
    <w:rsid w:val="00BD4BCE"/>
    <w:rsid w:val="00BD4E5D"/>
    <w:rsid w:val="00BD4EFD"/>
    <w:rsid w:val="00BD5170"/>
    <w:rsid w:val="00BD5EF9"/>
    <w:rsid w:val="00BD62EA"/>
    <w:rsid w:val="00BD6671"/>
    <w:rsid w:val="00BD7134"/>
    <w:rsid w:val="00BE01DD"/>
    <w:rsid w:val="00BE0DA0"/>
    <w:rsid w:val="00BE2AB1"/>
    <w:rsid w:val="00BE37C8"/>
    <w:rsid w:val="00BE411F"/>
    <w:rsid w:val="00BE4270"/>
    <w:rsid w:val="00BE5C69"/>
    <w:rsid w:val="00BE66F8"/>
    <w:rsid w:val="00BE715D"/>
    <w:rsid w:val="00BE7298"/>
    <w:rsid w:val="00BE7CDD"/>
    <w:rsid w:val="00BF04C1"/>
    <w:rsid w:val="00BF26E3"/>
    <w:rsid w:val="00BF2ABC"/>
    <w:rsid w:val="00BF431C"/>
    <w:rsid w:val="00BF442C"/>
    <w:rsid w:val="00BF4A4B"/>
    <w:rsid w:val="00BF4D04"/>
    <w:rsid w:val="00BF5590"/>
    <w:rsid w:val="00BF6818"/>
    <w:rsid w:val="00BF6BFF"/>
    <w:rsid w:val="00C003AB"/>
    <w:rsid w:val="00C007F4"/>
    <w:rsid w:val="00C01C22"/>
    <w:rsid w:val="00C036DC"/>
    <w:rsid w:val="00C058BA"/>
    <w:rsid w:val="00C06BE6"/>
    <w:rsid w:val="00C078E2"/>
    <w:rsid w:val="00C07B99"/>
    <w:rsid w:val="00C1185B"/>
    <w:rsid w:val="00C12C54"/>
    <w:rsid w:val="00C14E8F"/>
    <w:rsid w:val="00C1617F"/>
    <w:rsid w:val="00C21E0A"/>
    <w:rsid w:val="00C21F4F"/>
    <w:rsid w:val="00C2241D"/>
    <w:rsid w:val="00C22B50"/>
    <w:rsid w:val="00C235A7"/>
    <w:rsid w:val="00C24068"/>
    <w:rsid w:val="00C24424"/>
    <w:rsid w:val="00C245E7"/>
    <w:rsid w:val="00C25AE2"/>
    <w:rsid w:val="00C26435"/>
    <w:rsid w:val="00C26B13"/>
    <w:rsid w:val="00C30EA5"/>
    <w:rsid w:val="00C314D3"/>
    <w:rsid w:val="00C31E67"/>
    <w:rsid w:val="00C327B6"/>
    <w:rsid w:val="00C32FE5"/>
    <w:rsid w:val="00C33B48"/>
    <w:rsid w:val="00C33EE7"/>
    <w:rsid w:val="00C3495D"/>
    <w:rsid w:val="00C34D1D"/>
    <w:rsid w:val="00C34D52"/>
    <w:rsid w:val="00C36406"/>
    <w:rsid w:val="00C36C18"/>
    <w:rsid w:val="00C372DD"/>
    <w:rsid w:val="00C3792E"/>
    <w:rsid w:val="00C42CE1"/>
    <w:rsid w:val="00C43795"/>
    <w:rsid w:val="00C44092"/>
    <w:rsid w:val="00C4436D"/>
    <w:rsid w:val="00C44856"/>
    <w:rsid w:val="00C47384"/>
    <w:rsid w:val="00C4790D"/>
    <w:rsid w:val="00C47E15"/>
    <w:rsid w:val="00C503CA"/>
    <w:rsid w:val="00C509D9"/>
    <w:rsid w:val="00C50BD5"/>
    <w:rsid w:val="00C517A1"/>
    <w:rsid w:val="00C5322D"/>
    <w:rsid w:val="00C544F6"/>
    <w:rsid w:val="00C5465C"/>
    <w:rsid w:val="00C55C42"/>
    <w:rsid w:val="00C567F1"/>
    <w:rsid w:val="00C56F79"/>
    <w:rsid w:val="00C577A1"/>
    <w:rsid w:val="00C577EF"/>
    <w:rsid w:val="00C600CF"/>
    <w:rsid w:val="00C60296"/>
    <w:rsid w:val="00C60546"/>
    <w:rsid w:val="00C637F3"/>
    <w:rsid w:val="00C64508"/>
    <w:rsid w:val="00C6514E"/>
    <w:rsid w:val="00C705BD"/>
    <w:rsid w:val="00C70BE6"/>
    <w:rsid w:val="00C715E2"/>
    <w:rsid w:val="00C722AA"/>
    <w:rsid w:val="00C7272D"/>
    <w:rsid w:val="00C72BC0"/>
    <w:rsid w:val="00C74683"/>
    <w:rsid w:val="00C75F46"/>
    <w:rsid w:val="00C767E5"/>
    <w:rsid w:val="00C77EAA"/>
    <w:rsid w:val="00C77F70"/>
    <w:rsid w:val="00C824AD"/>
    <w:rsid w:val="00C8328F"/>
    <w:rsid w:val="00C8352F"/>
    <w:rsid w:val="00C8399B"/>
    <w:rsid w:val="00C86112"/>
    <w:rsid w:val="00C86A98"/>
    <w:rsid w:val="00C905CF"/>
    <w:rsid w:val="00C90697"/>
    <w:rsid w:val="00C90AA3"/>
    <w:rsid w:val="00C932C9"/>
    <w:rsid w:val="00C934B5"/>
    <w:rsid w:val="00C93788"/>
    <w:rsid w:val="00C9453B"/>
    <w:rsid w:val="00C95FE6"/>
    <w:rsid w:val="00C96033"/>
    <w:rsid w:val="00C97F61"/>
    <w:rsid w:val="00CA07E1"/>
    <w:rsid w:val="00CA07EB"/>
    <w:rsid w:val="00CA2465"/>
    <w:rsid w:val="00CA3612"/>
    <w:rsid w:val="00CA3C58"/>
    <w:rsid w:val="00CA3E7A"/>
    <w:rsid w:val="00CA4D5E"/>
    <w:rsid w:val="00CA57D8"/>
    <w:rsid w:val="00CA6B8C"/>
    <w:rsid w:val="00CB111D"/>
    <w:rsid w:val="00CB1544"/>
    <w:rsid w:val="00CB1764"/>
    <w:rsid w:val="00CB1BE3"/>
    <w:rsid w:val="00CB1F78"/>
    <w:rsid w:val="00CB1FF7"/>
    <w:rsid w:val="00CB2E8F"/>
    <w:rsid w:val="00CB38A5"/>
    <w:rsid w:val="00CB4531"/>
    <w:rsid w:val="00CB4A35"/>
    <w:rsid w:val="00CB4B42"/>
    <w:rsid w:val="00CB5C26"/>
    <w:rsid w:val="00CB6930"/>
    <w:rsid w:val="00CB6BEB"/>
    <w:rsid w:val="00CB6D26"/>
    <w:rsid w:val="00CB72C7"/>
    <w:rsid w:val="00CB7C93"/>
    <w:rsid w:val="00CC05EA"/>
    <w:rsid w:val="00CC1AF6"/>
    <w:rsid w:val="00CC2B39"/>
    <w:rsid w:val="00CC33F7"/>
    <w:rsid w:val="00CC4071"/>
    <w:rsid w:val="00CC4F8B"/>
    <w:rsid w:val="00CC6960"/>
    <w:rsid w:val="00CC726B"/>
    <w:rsid w:val="00CD0801"/>
    <w:rsid w:val="00CD099E"/>
    <w:rsid w:val="00CD166C"/>
    <w:rsid w:val="00CD1A34"/>
    <w:rsid w:val="00CD1C0A"/>
    <w:rsid w:val="00CD1F99"/>
    <w:rsid w:val="00CD323D"/>
    <w:rsid w:val="00CD3E63"/>
    <w:rsid w:val="00CD4C26"/>
    <w:rsid w:val="00CD54EB"/>
    <w:rsid w:val="00CD598D"/>
    <w:rsid w:val="00CE0D54"/>
    <w:rsid w:val="00CE180C"/>
    <w:rsid w:val="00CE1F57"/>
    <w:rsid w:val="00CE2E2F"/>
    <w:rsid w:val="00CE3BD9"/>
    <w:rsid w:val="00CE3BF7"/>
    <w:rsid w:val="00CE4793"/>
    <w:rsid w:val="00CE5E0B"/>
    <w:rsid w:val="00CE610A"/>
    <w:rsid w:val="00CE643F"/>
    <w:rsid w:val="00CE6445"/>
    <w:rsid w:val="00CE6886"/>
    <w:rsid w:val="00CE7301"/>
    <w:rsid w:val="00CE7AEE"/>
    <w:rsid w:val="00CF3BC4"/>
    <w:rsid w:val="00CF47BD"/>
    <w:rsid w:val="00CF5598"/>
    <w:rsid w:val="00CF60FF"/>
    <w:rsid w:val="00D02684"/>
    <w:rsid w:val="00D02A57"/>
    <w:rsid w:val="00D04EFA"/>
    <w:rsid w:val="00D05B3C"/>
    <w:rsid w:val="00D06096"/>
    <w:rsid w:val="00D110D7"/>
    <w:rsid w:val="00D117EE"/>
    <w:rsid w:val="00D11C6B"/>
    <w:rsid w:val="00D124FC"/>
    <w:rsid w:val="00D13E22"/>
    <w:rsid w:val="00D146BA"/>
    <w:rsid w:val="00D14702"/>
    <w:rsid w:val="00D14780"/>
    <w:rsid w:val="00D15CB4"/>
    <w:rsid w:val="00D17E32"/>
    <w:rsid w:val="00D20DCB"/>
    <w:rsid w:val="00D20DF4"/>
    <w:rsid w:val="00D2109B"/>
    <w:rsid w:val="00D21A5D"/>
    <w:rsid w:val="00D229FB"/>
    <w:rsid w:val="00D22E59"/>
    <w:rsid w:val="00D23EB7"/>
    <w:rsid w:val="00D26F3F"/>
    <w:rsid w:val="00D312C1"/>
    <w:rsid w:val="00D31784"/>
    <w:rsid w:val="00D33290"/>
    <w:rsid w:val="00D338B0"/>
    <w:rsid w:val="00D344CB"/>
    <w:rsid w:val="00D3460D"/>
    <w:rsid w:val="00D353AF"/>
    <w:rsid w:val="00D359F1"/>
    <w:rsid w:val="00D35D47"/>
    <w:rsid w:val="00D369A3"/>
    <w:rsid w:val="00D37417"/>
    <w:rsid w:val="00D374B6"/>
    <w:rsid w:val="00D407BD"/>
    <w:rsid w:val="00D41E9E"/>
    <w:rsid w:val="00D430A2"/>
    <w:rsid w:val="00D44D03"/>
    <w:rsid w:val="00D44FBD"/>
    <w:rsid w:val="00D45AF2"/>
    <w:rsid w:val="00D4639E"/>
    <w:rsid w:val="00D47702"/>
    <w:rsid w:val="00D503CB"/>
    <w:rsid w:val="00D5081F"/>
    <w:rsid w:val="00D533B6"/>
    <w:rsid w:val="00D53E62"/>
    <w:rsid w:val="00D542F2"/>
    <w:rsid w:val="00D5485E"/>
    <w:rsid w:val="00D54AE9"/>
    <w:rsid w:val="00D5697F"/>
    <w:rsid w:val="00D57494"/>
    <w:rsid w:val="00D57AF5"/>
    <w:rsid w:val="00D57F9D"/>
    <w:rsid w:val="00D5C6D6"/>
    <w:rsid w:val="00D60262"/>
    <w:rsid w:val="00D603BC"/>
    <w:rsid w:val="00D60E8C"/>
    <w:rsid w:val="00D634C1"/>
    <w:rsid w:val="00D64392"/>
    <w:rsid w:val="00D668A7"/>
    <w:rsid w:val="00D67985"/>
    <w:rsid w:val="00D706E5"/>
    <w:rsid w:val="00D71E33"/>
    <w:rsid w:val="00D72665"/>
    <w:rsid w:val="00D739D5"/>
    <w:rsid w:val="00D740FF"/>
    <w:rsid w:val="00D77BD9"/>
    <w:rsid w:val="00D810A9"/>
    <w:rsid w:val="00D812A2"/>
    <w:rsid w:val="00D81EE2"/>
    <w:rsid w:val="00D8344B"/>
    <w:rsid w:val="00D86723"/>
    <w:rsid w:val="00D8693B"/>
    <w:rsid w:val="00D86950"/>
    <w:rsid w:val="00D86FD6"/>
    <w:rsid w:val="00D8775C"/>
    <w:rsid w:val="00D87A24"/>
    <w:rsid w:val="00D87E53"/>
    <w:rsid w:val="00D90799"/>
    <w:rsid w:val="00D93986"/>
    <w:rsid w:val="00D95683"/>
    <w:rsid w:val="00D9703F"/>
    <w:rsid w:val="00D9723A"/>
    <w:rsid w:val="00DA0D20"/>
    <w:rsid w:val="00DA3172"/>
    <w:rsid w:val="00DA43B8"/>
    <w:rsid w:val="00DA488C"/>
    <w:rsid w:val="00DA4C59"/>
    <w:rsid w:val="00DA6323"/>
    <w:rsid w:val="00DA650B"/>
    <w:rsid w:val="00DA777C"/>
    <w:rsid w:val="00DA7E56"/>
    <w:rsid w:val="00DB14B3"/>
    <w:rsid w:val="00DB2D75"/>
    <w:rsid w:val="00DB3EDA"/>
    <w:rsid w:val="00DB41DD"/>
    <w:rsid w:val="00DB594A"/>
    <w:rsid w:val="00DB7620"/>
    <w:rsid w:val="00DC0C9D"/>
    <w:rsid w:val="00DC1A8D"/>
    <w:rsid w:val="00DC26D7"/>
    <w:rsid w:val="00DC271B"/>
    <w:rsid w:val="00DC2D5A"/>
    <w:rsid w:val="00DC3133"/>
    <w:rsid w:val="00DC403E"/>
    <w:rsid w:val="00DC4D30"/>
    <w:rsid w:val="00DC7614"/>
    <w:rsid w:val="00DC791F"/>
    <w:rsid w:val="00DD1A2A"/>
    <w:rsid w:val="00DD2766"/>
    <w:rsid w:val="00DD2899"/>
    <w:rsid w:val="00DD391A"/>
    <w:rsid w:val="00DD55D2"/>
    <w:rsid w:val="00DD56F7"/>
    <w:rsid w:val="00DD5888"/>
    <w:rsid w:val="00DD6A66"/>
    <w:rsid w:val="00DD7030"/>
    <w:rsid w:val="00DE0688"/>
    <w:rsid w:val="00DE0955"/>
    <w:rsid w:val="00DE166A"/>
    <w:rsid w:val="00DE24F0"/>
    <w:rsid w:val="00DE3352"/>
    <w:rsid w:val="00DE3474"/>
    <w:rsid w:val="00DE4592"/>
    <w:rsid w:val="00DE4627"/>
    <w:rsid w:val="00DE4D0F"/>
    <w:rsid w:val="00DE4D1D"/>
    <w:rsid w:val="00DE5AFD"/>
    <w:rsid w:val="00DE5E3E"/>
    <w:rsid w:val="00DE6F78"/>
    <w:rsid w:val="00DF12FC"/>
    <w:rsid w:val="00DF310C"/>
    <w:rsid w:val="00DF4C42"/>
    <w:rsid w:val="00DF5364"/>
    <w:rsid w:val="00DF5556"/>
    <w:rsid w:val="00DF5786"/>
    <w:rsid w:val="00DF620C"/>
    <w:rsid w:val="00DF666C"/>
    <w:rsid w:val="00DF6BD8"/>
    <w:rsid w:val="00DF76B5"/>
    <w:rsid w:val="00E00C2F"/>
    <w:rsid w:val="00E019BA"/>
    <w:rsid w:val="00E02B9C"/>
    <w:rsid w:val="00E03DAD"/>
    <w:rsid w:val="00E040FC"/>
    <w:rsid w:val="00E047E9"/>
    <w:rsid w:val="00E04E95"/>
    <w:rsid w:val="00E0590A"/>
    <w:rsid w:val="00E065D7"/>
    <w:rsid w:val="00E06C83"/>
    <w:rsid w:val="00E101D0"/>
    <w:rsid w:val="00E10AB9"/>
    <w:rsid w:val="00E1116B"/>
    <w:rsid w:val="00E11E27"/>
    <w:rsid w:val="00E125AC"/>
    <w:rsid w:val="00E13397"/>
    <w:rsid w:val="00E14236"/>
    <w:rsid w:val="00E14E31"/>
    <w:rsid w:val="00E152B4"/>
    <w:rsid w:val="00E165B4"/>
    <w:rsid w:val="00E20111"/>
    <w:rsid w:val="00E2094C"/>
    <w:rsid w:val="00E21200"/>
    <w:rsid w:val="00E2368E"/>
    <w:rsid w:val="00E27CB3"/>
    <w:rsid w:val="00E27DDF"/>
    <w:rsid w:val="00E301B9"/>
    <w:rsid w:val="00E31CCA"/>
    <w:rsid w:val="00E334DD"/>
    <w:rsid w:val="00E3372F"/>
    <w:rsid w:val="00E350B1"/>
    <w:rsid w:val="00E35401"/>
    <w:rsid w:val="00E36C1A"/>
    <w:rsid w:val="00E36C79"/>
    <w:rsid w:val="00E40D15"/>
    <w:rsid w:val="00E411A6"/>
    <w:rsid w:val="00E41678"/>
    <w:rsid w:val="00E42186"/>
    <w:rsid w:val="00E42B24"/>
    <w:rsid w:val="00E4535E"/>
    <w:rsid w:val="00E45644"/>
    <w:rsid w:val="00E45B47"/>
    <w:rsid w:val="00E45BF0"/>
    <w:rsid w:val="00E4643C"/>
    <w:rsid w:val="00E47E48"/>
    <w:rsid w:val="00E50185"/>
    <w:rsid w:val="00E50D7D"/>
    <w:rsid w:val="00E5302A"/>
    <w:rsid w:val="00E5405A"/>
    <w:rsid w:val="00E54974"/>
    <w:rsid w:val="00E54F0E"/>
    <w:rsid w:val="00E5596D"/>
    <w:rsid w:val="00E559E2"/>
    <w:rsid w:val="00E55CFA"/>
    <w:rsid w:val="00E560BA"/>
    <w:rsid w:val="00E57E81"/>
    <w:rsid w:val="00E6011C"/>
    <w:rsid w:val="00E612D0"/>
    <w:rsid w:val="00E62FE0"/>
    <w:rsid w:val="00E646CA"/>
    <w:rsid w:val="00E65BFB"/>
    <w:rsid w:val="00E66C80"/>
    <w:rsid w:val="00E6756F"/>
    <w:rsid w:val="00E707CA"/>
    <w:rsid w:val="00E7088E"/>
    <w:rsid w:val="00E72955"/>
    <w:rsid w:val="00E730C9"/>
    <w:rsid w:val="00E7392A"/>
    <w:rsid w:val="00E749E3"/>
    <w:rsid w:val="00E74BD5"/>
    <w:rsid w:val="00E74D02"/>
    <w:rsid w:val="00E74E32"/>
    <w:rsid w:val="00E75139"/>
    <w:rsid w:val="00E761FE"/>
    <w:rsid w:val="00E77DE7"/>
    <w:rsid w:val="00E802EF"/>
    <w:rsid w:val="00E80A44"/>
    <w:rsid w:val="00E82CF0"/>
    <w:rsid w:val="00E858B2"/>
    <w:rsid w:val="00E85E40"/>
    <w:rsid w:val="00E86A94"/>
    <w:rsid w:val="00E87819"/>
    <w:rsid w:val="00E87AE3"/>
    <w:rsid w:val="00E90265"/>
    <w:rsid w:val="00E90615"/>
    <w:rsid w:val="00E91C65"/>
    <w:rsid w:val="00E940B9"/>
    <w:rsid w:val="00E9452A"/>
    <w:rsid w:val="00E94841"/>
    <w:rsid w:val="00E94D13"/>
    <w:rsid w:val="00E95219"/>
    <w:rsid w:val="00EA0CEE"/>
    <w:rsid w:val="00EA0E8B"/>
    <w:rsid w:val="00EA1792"/>
    <w:rsid w:val="00EA335A"/>
    <w:rsid w:val="00EA3669"/>
    <w:rsid w:val="00EA4DE2"/>
    <w:rsid w:val="00EA552E"/>
    <w:rsid w:val="00EA5601"/>
    <w:rsid w:val="00EA70FD"/>
    <w:rsid w:val="00EA7614"/>
    <w:rsid w:val="00EA76B2"/>
    <w:rsid w:val="00EB0A8B"/>
    <w:rsid w:val="00EB2414"/>
    <w:rsid w:val="00EB3BA9"/>
    <w:rsid w:val="00EB52EA"/>
    <w:rsid w:val="00EB5619"/>
    <w:rsid w:val="00EB65C1"/>
    <w:rsid w:val="00EB74F8"/>
    <w:rsid w:val="00EB769C"/>
    <w:rsid w:val="00EC0A18"/>
    <w:rsid w:val="00EC1023"/>
    <w:rsid w:val="00EC2386"/>
    <w:rsid w:val="00EC26AC"/>
    <w:rsid w:val="00EC2702"/>
    <w:rsid w:val="00EC2A95"/>
    <w:rsid w:val="00EC2EA5"/>
    <w:rsid w:val="00EC339A"/>
    <w:rsid w:val="00EC3A56"/>
    <w:rsid w:val="00EC3DE8"/>
    <w:rsid w:val="00EC5390"/>
    <w:rsid w:val="00EC589D"/>
    <w:rsid w:val="00EC597F"/>
    <w:rsid w:val="00EC6BB0"/>
    <w:rsid w:val="00EC7215"/>
    <w:rsid w:val="00EC7231"/>
    <w:rsid w:val="00EC7322"/>
    <w:rsid w:val="00ED0818"/>
    <w:rsid w:val="00ED081D"/>
    <w:rsid w:val="00ED107F"/>
    <w:rsid w:val="00ED1252"/>
    <w:rsid w:val="00ED1332"/>
    <w:rsid w:val="00ED2634"/>
    <w:rsid w:val="00ED2A79"/>
    <w:rsid w:val="00ED6218"/>
    <w:rsid w:val="00ED6C0E"/>
    <w:rsid w:val="00ED6D3A"/>
    <w:rsid w:val="00ED6DE9"/>
    <w:rsid w:val="00ED7372"/>
    <w:rsid w:val="00EE13B6"/>
    <w:rsid w:val="00EE19A4"/>
    <w:rsid w:val="00EE25B4"/>
    <w:rsid w:val="00EE2AA0"/>
    <w:rsid w:val="00EE4729"/>
    <w:rsid w:val="00EE566A"/>
    <w:rsid w:val="00EE5EF0"/>
    <w:rsid w:val="00EF03AD"/>
    <w:rsid w:val="00EF0E85"/>
    <w:rsid w:val="00EF113D"/>
    <w:rsid w:val="00EF23F6"/>
    <w:rsid w:val="00EF2FBD"/>
    <w:rsid w:val="00EF41C8"/>
    <w:rsid w:val="00EF4894"/>
    <w:rsid w:val="00EF52EE"/>
    <w:rsid w:val="00EF56A6"/>
    <w:rsid w:val="00EF7B57"/>
    <w:rsid w:val="00F005FE"/>
    <w:rsid w:val="00F00D89"/>
    <w:rsid w:val="00F025EC"/>
    <w:rsid w:val="00F02CD4"/>
    <w:rsid w:val="00F05612"/>
    <w:rsid w:val="00F0655E"/>
    <w:rsid w:val="00F10203"/>
    <w:rsid w:val="00F10DE4"/>
    <w:rsid w:val="00F111AD"/>
    <w:rsid w:val="00F12878"/>
    <w:rsid w:val="00F13976"/>
    <w:rsid w:val="00F14791"/>
    <w:rsid w:val="00F14D4C"/>
    <w:rsid w:val="00F16EEA"/>
    <w:rsid w:val="00F171DD"/>
    <w:rsid w:val="00F173AF"/>
    <w:rsid w:val="00F2096C"/>
    <w:rsid w:val="00F20DC1"/>
    <w:rsid w:val="00F21D2A"/>
    <w:rsid w:val="00F233E7"/>
    <w:rsid w:val="00F23535"/>
    <w:rsid w:val="00F23ECB"/>
    <w:rsid w:val="00F257BF"/>
    <w:rsid w:val="00F2661D"/>
    <w:rsid w:val="00F308AB"/>
    <w:rsid w:val="00F31F21"/>
    <w:rsid w:val="00F34BAC"/>
    <w:rsid w:val="00F35D4E"/>
    <w:rsid w:val="00F362F4"/>
    <w:rsid w:val="00F36B32"/>
    <w:rsid w:val="00F3721F"/>
    <w:rsid w:val="00F42F7F"/>
    <w:rsid w:val="00F43296"/>
    <w:rsid w:val="00F443BD"/>
    <w:rsid w:val="00F45522"/>
    <w:rsid w:val="00F46409"/>
    <w:rsid w:val="00F464AE"/>
    <w:rsid w:val="00F466B8"/>
    <w:rsid w:val="00F50774"/>
    <w:rsid w:val="00F50E6F"/>
    <w:rsid w:val="00F53489"/>
    <w:rsid w:val="00F5445C"/>
    <w:rsid w:val="00F54926"/>
    <w:rsid w:val="00F54B62"/>
    <w:rsid w:val="00F54B76"/>
    <w:rsid w:val="00F54C32"/>
    <w:rsid w:val="00F55034"/>
    <w:rsid w:val="00F55D6B"/>
    <w:rsid w:val="00F5697C"/>
    <w:rsid w:val="00F574D5"/>
    <w:rsid w:val="00F605F9"/>
    <w:rsid w:val="00F6082D"/>
    <w:rsid w:val="00F61481"/>
    <w:rsid w:val="00F61C33"/>
    <w:rsid w:val="00F62E65"/>
    <w:rsid w:val="00F6367E"/>
    <w:rsid w:val="00F64903"/>
    <w:rsid w:val="00F6622C"/>
    <w:rsid w:val="00F6689B"/>
    <w:rsid w:val="00F6698C"/>
    <w:rsid w:val="00F67578"/>
    <w:rsid w:val="00F67EDF"/>
    <w:rsid w:val="00F70423"/>
    <w:rsid w:val="00F70D0E"/>
    <w:rsid w:val="00F7103C"/>
    <w:rsid w:val="00F72137"/>
    <w:rsid w:val="00F723F1"/>
    <w:rsid w:val="00F726D5"/>
    <w:rsid w:val="00F73FF8"/>
    <w:rsid w:val="00F74481"/>
    <w:rsid w:val="00F75612"/>
    <w:rsid w:val="00F76935"/>
    <w:rsid w:val="00F76A64"/>
    <w:rsid w:val="00F80A5F"/>
    <w:rsid w:val="00F80A7D"/>
    <w:rsid w:val="00F82AF0"/>
    <w:rsid w:val="00F847FF"/>
    <w:rsid w:val="00F84AE8"/>
    <w:rsid w:val="00F85295"/>
    <w:rsid w:val="00F91B66"/>
    <w:rsid w:val="00F93606"/>
    <w:rsid w:val="00F9472A"/>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3569"/>
    <w:rsid w:val="00FB4334"/>
    <w:rsid w:val="00FB7375"/>
    <w:rsid w:val="00FC2518"/>
    <w:rsid w:val="00FC27E9"/>
    <w:rsid w:val="00FC2E1B"/>
    <w:rsid w:val="00FC42D7"/>
    <w:rsid w:val="00FC4A11"/>
    <w:rsid w:val="00FC5A9E"/>
    <w:rsid w:val="00FC6A27"/>
    <w:rsid w:val="00FC6D6F"/>
    <w:rsid w:val="00FC76F6"/>
    <w:rsid w:val="00FD05CA"/>
    <w:rsid w:val="00FD27FA"/>
    <w:rsid w:val="00FD2B4C"/>
    <w:rsid w:val="00FD397F"/>
    <w:rsid w:val="00FD4292"/>
    <w:rsid w:val="00FD5008"/>
    <w:rsid w:val="00FD6F4C"/>
    <w:rsid w:val="00FD778D"/>
    <w:rsid w:val="00FE1BC9"/>
    <w:rsid w:val="00FE2A60"/>
    <w:rsid w:val="00FE53B0"/>
    <w:rsid w:val="00FE670E"/>
    <w:rsid w:val="00FF00C8"/>
    <w:rsid w:val="00FF02BB"/>
    <w:rsid w:val="00FF0674"/>
    <w:rsid w:val="00FF0C52"/>
    <w:rsid w:val="00FF1750"/>
    <w:rsid w:val="00FF19D7"/>
    <w:rsid w:val="00FF19EE"/>
    <w:rsid w:val="00FF1D71"/>
    <w:rsid w:val="00FF2C35"/>
    <w:rsid w:val="00FF31C1"/>
    <w:rsid w:val="00FF45B2"/>
    <w:rsid w:val="00FF460F"/>
    <w:rsid w:val="00FF5773"/>
    <w:rsid w:val="00FF6184"/>
    <w:rsid w:val="00FF7A65"/>
    <w:rsid w:val="00FF7F4C"/>
    <w:rsid w:val="0127F11C"/>
    <w:rsid w:val="0144117D"/>
    <w:rsid w:val="01940749"/>
    <w:rsid w:val="01BF7CDD"/>
    <w:rsid w:val="01DA9506"/>
    <w:rsid w:val="01DCF0E0"/>
    <w:rsid w:val="02177440"/>
    <w:rsid w:val="0236C2C0"/>
    <w:rsid w:val="0266E86B"/>
    <w:rsid w:val="027BEC80"/>
    <w:rsid w:val="029B7D7B"/>
    <w:rsid w:val="02A8B731"/>
    <w:rsid w:val="02A96A98"/>
    <w:rsid w:val="02D09E76"/>
    <w:rsid w:val="030F1F19"/>
    <w:rsid w:val="032BA92C"/>
    <w:rsid w:val="03672A75"/>
    <w:rsid w:val="03DFD29E"/>
    <w:rsid w:val="041D2136"/>
    <w:rsid w:val="0427137D"/>
    <w:rsid w:val="04351FF4"/>
    <w:rsid w:val="04594EF3"/>
    <w:rsid w:val="0463215A"/>
    <w:rsid w:val="04828E15"/>
    <w:rsid w:val="04B63F4F"/>
    <w:rsid w:val="05FDC2CB"/>
    <w:rsid w:val="0632FCD2"/>
    <w:rsid w:val="063CF83E"/>
    <w:rsid w:val="06446B8C"/>
    <w:rsid w:val="064E8E3F"/>
    <w:rsid w:val="0651C982"/>
    <w:rsid w:val="065C64F9"/>
    <w:rsid w:val="06D065E2"/>
    <w:rsid w:val="06F60DDE"/>
    <w:rsid w:val="071BAB2D"/>
    <w:rsid w:val="074D9ECC"/>
    <w:rsid w:val="075533B5"/>
    <w:rsid w:val="077D115B"/>
    <w:rsid w:val="07D92CEA"/>
    <w:rsid w:val="07F90ED3"/>
    <w:rsid w:val="0828BE6B"/>
    <w:rsid w:val="083F98C7"/>
    <w:rsid w:val="08473C56"/>
    <w:rsid w:val="0861878D"/>
    <w:rsid w:val="086C3643"/>
    <w:rsid w:val="08783D74"/>
    <w:rsid w:val="091572A1"/>
    <w:rsid w:val="09367DE7"/>
    <w:rsid w:val="096C65D7"/>
    <w:rsid w:val="09752946"/>
    <w:rsid w:val="09A0FF0A"/>
    <w:rsid w:val="09BE687E"/>
    <w:rsid w:val="0AF88E2F"/>
    <w:rsid w:val="0B103690"/>
    <w:rsid w:val="0B1054CB"/>
    <w:rsid w:val="0BC9F3B8"/>
    <w:rsid w:val="0C391661"/>
    <w:rsid w:val="0CE6C6D2"/>
    <w:rsid w:val="0D172931"/>
    <w:rsid w:val="0D2BFA75"/>
    <w:rsid w:val="0D440878"/>
    <w:rsid w:val="0E3F1FAF"/>
    <w:rsid w:val="0E486E6E"/>
    <w:rsid w:val="0EC0BC2F"/>
    <w:rsid w:val="0F5FCC5D"/>
    <w:rsid w:val="0F8D0193"/>
    <w:rsid w:val="0FA4A511"/>
    <w:rsid w:val="0FE43ECF"/>
    <w:rsid w:val="1030F000"/>
    <w:rsid w:val="10559C24"/>
    <w:rsid w:val="10AF8292"/>
    <w:rsid w:val="10C77BFF"/>
    <w:rsid w:val="1139A341"/>
    <w:rsid w:val="1158F1C1"/>
    <w:rsid w:val="116124E4"/>
    <w:rsid w:val="117E7BF5"/>
    <w:rsid w:val="11F07066"/>
    <w:rsid w:val="1299CAFF"/>
    <w:rsid w:val="12D59147"/>
    <w:rsid w:val="1332C8A5"/>
    <w:rsid w:val="13974545"/>
    <w:rsid w:val="13C97C32"/>
    <w:rsid w:val="141F3F2C"/>
    <w:rsid w:val="144B18B2"/>
    <w:rsid w:val="147BD579"/>
    <w:rsid w:val="14E9B95B"/>
    <w:rsid w:val="154E6E4F"/>
    <w:rsid w:val="156C709F"/>
    <w:rsid w:val="1573F883"/>
    <w:rsid w:val="15A86953"/>
    <w:rsid w:val="16208AC0"/>
    <w:rsid w:val="167ED604"/>
    <w:rsid w:val="16ABD386"/>
    <w:rsid w:val="16B1DDD1"/>
    <w:rsid w:val="16C06816"/>
    <w:rsid w:val="16FAEC06"/>
    <w:rsid w:val="17AC1595"/>
    <w:rsid w:val="184080AA"/>
    <w:rsid w:val="1840E64C"/>
    <w:rsid w:val="1866ACA6"/>
    <w:rsid w:val="18779747"/>
    <w:rsid w:val="188FB6D3"/>
    <w:rsid w:val="18943C20"/>
    <w:rsid w:val="1924054C"/>
    <w:rsid w:val="1947E5F6"/>
    <w:rsid w:val="1A715D3F"/>
    <w:rsid w:val="1AE3B657"/>
    <w:rsid w:val="1B04300A"/>
    <w:rsid w:val="1B103A6B"/>
    <w:rsid w:val="1BD4C1B7"/>
    <w:rsid w:val="1BE46828"/>
    <w:rsid w:val="1C6B24B3"/>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3A9EAF"/>
    <w:rsid w:val="23572F85"/>
    <w:rsid w:val="236D47B3"/>
    <w:rsid w:val="237907D3"/>
    <w:rsid w:val="23BCAC80"/>
    <w:rsid w:val="23BFBAD3"/>
    <w:rsid w:val="23DF278E"/>
    <w:rsid w:val="2429D5E3"/>
    <w:rsid w:val="24604DC5"/>
    <w:rsid w:val="250C2A66"/>
    <w:rsid w:val="2516F8EC"/>
    <w:rsid w:val="252924B2"/>
    <w:rsid w:val="25639E99"/>
    <w:rsid w:val="25AE62FB"/>
    <w:rsid w:val="26116F81"/>
    <w:rsid w:val="261A631F"/>
    <w:rsid w:val="26333270"/>
    <w:rsid w:val="26A179E0"/>
    <w:rsid w:val="272CB665"/>
    <w:rsid w:val="273E812F"/>
    <w:rsid w:val="27CA4ED3"/>
    <w:rsid w:val="27D4A41C"/>
    <w:rsid w:val="27D4B8B2"/>
    <w:rsid w:val="280C3370"/>
    <w:rsid w:val="2871F623"/>
    <w:rsid w:val="28C67873"/>
    <w:rsid w:val="28ED1264"/>
    <w:rsid w:val="291D19D4"/>
    <w:rsid w:val="293C868F"/>
    <w:rsid w:val="298F0E45"/>
    <w:rsid w:val="29B2029C"/>
    <w:rsid w:val="2AB220AB"/>
    <w:rsid w:val="2AFBC1F9"/>
    <w:rsid w:val="2B7DB66D"/>
    <w:rsid w:val="2BB2273D"/>
    <w:rsid w:val="2CB22C93"/>
    <w:rsid w:val="2CE28EF2"/>
    <w:rsid w:val="2D4DBAEA"/>
    <w:rsid w:val="2D53791D"/>
    <w:rsid w:val="2DBFE9CA"/>
    <w:rsid w:val="2DD127E1"/>
    <w:rsid w:val="2DECACDD"/>
    <w:rsid w:val="2E4AA436"/>
    <w:rsid w:val="2E626AD2"/>
    <w:rsid w:val="2F013E8A"/>
    <w:rsid w:val="2F0F00E9"/>
    <w:rsid w:val="2F3ECA62"/>
    <w:rsid w:val="2F829A74"/>
    <w:rsid w:val="2F92698C"/>
    <w:rsid w:val="2FA6FAD3"/>
    <w:rsid w:val="2FBA86FB"/>
    <w:rsid w:val="2FD46499"/>
    <w:rsid w:val="3004A8BD"/>
    <w:rsid w:val="3018A252"/>
    <w:rsid w:val="30FA96BF"/>
    <w:rsid w:val="313196FF"/>
    <w:rsid w:val="317034FA"/>
    <w:rsid w:val="320640CD"/>
    <w:rsid w:val="320BA99E"/>
    <w:rsid w:val="3228E1AD"/>
    <w:rsid w:val="3257E760"/>
    <w:rsid w:val="32818005"/>
    <w:rsid w:val="32A6E661"/>
    <w:rsid w:val="32C492C3"/>
    <w:rsid w:val="32C64423"/>
    <w:rsid w:val="32DC4290"/>
    <w:rsid w:val="32FA64E2"/>
    <w:rsid w:val="3323B89A"/>
    <w:rsid w:val="334A73EE"/>
    <w:rsid w:val="337AB4A9"/>
    <w:rsid w:val="33FA254B"/>
    <w:rsid w:val="34879F9D"/>
    <w:rsid w:val="348BB948"/>
    <w:rsid w:val="34D5F597"/>
    <w:rsid w:val="351CFC39"/>
    <w:rsid w:val="35251529"/>
    <w:rsid w:val="353FA472"/>
    <w:rsid w:val="35772A0E"/>
    <w:rsid w:val="35A43028"/>
    <w:rsid w:val="35AE58AD"/>
    <w:rsid w:val="35C6CFAB"/>
    <w:rsid w:val="35D3FC2F"/>
    <w:rsid w:val="364610DD"/>
    <w:rsid w:val="36484DB1"/>
    <w:rsid w:val="364D96BF"/>
    <w:rsid w:val="3684DEAC"/>
    <w:rsid w:val="369A68DD"/>
    <w:rsid w:val="36F6E7B3"/>
    <w:rsid w:val="3720DB47"/>
    <w:rsid w:val="3738652F"/>
    <w:rsid w:val="373F886C"/>
    <w:rsid w:val="37907C02"/>
    <w:rsid w:val="379D2EB9"/>
    <w:rsid w:val="3864AB4C"/>
    <w:rsid w:val="38A08456"/>
    <w:rsid w:val="38F5364C"/>
    <w:rsid w:val="393FA91A"/>
    <w:rsid w:val="3957844C"/>
    <w:rsid w:val="3957A287"/>
    <w:rsid w:val="3978D72C"/>
    <w:rsid w:val="39D0EC0B"/>
    <w:rsid w:val="3A5B0CBA"/>
    <w:rsid w:val="3AEC4FAB"/>
    <w:rsid w:val="3B290834"/>
    <w:rsid w:val="3B7329F6"/>
    <w:rsid w:val="3B744F4B"/>
    <w:rsid w:val="3B9296B1"/>
    <w:rsid w:val="3BEB3A70"/>
    <w:rsid w:val="3C8C4D9D"/>
    <w:rsid w:val="3C96157A"/>
    <w:rsid w:val="3CEBA27B"/>
    <w:rsid w:val="3D3410BC"/>
    <w:rsid w:val="3D55C059"/>
    <w:rsid w:val="3D5C2947"/>
    <w:rsid w:val="3D773EBE"/>
    <w:rsid w:val="3DC66899"/>
    <w:rsid w:val="3F26D7BE"/>
    <w:rsid w:val="3F367E2F"/>
    <w:rsid w:val="3FA02142"/>
    <w:rsid w:val="3FB838EA"/>
    <w:rsid w:val="4007DEA5"/>
    <w:rsid w:val="401848B5"/>
    <w:rsid w:val="403F1335"/>
    <w:rsid w:val="409348AA"/>
    <w:rsid w:val="40D0A732"/>
    <w:rsid w:val="41377092"/>
    <w:rsid w:val="41427D68"/>
    <w:rsid w:val="417A1661"/>
    <w:rsid w:val="418E7E7B"/>
    <w:rsid w:val="41E3999B"/>
    <w:rsid w:val="4251D70C"/>
    <w:rsid w:val="42AA5FDB"/>
    <w:rsid w:val="42EC4CDC"/>
    <w:rsid w:val="4368BE89"/>
    <w:rsid w:val="43ADCA0E"/>
    <w:rsid w:val="43C7895C"/>
    <w:rsid w:val="4464B56E"/>
    <w:rsid w:val="44C623C0"/>
    <w:rsid w:val="454889BA"/>
    <w:rsid w:val="4584277F"/>
    <w:rsid w:val="45F10F96"/>
    <w:rsid w:val="460E66A7"/>
    <w:rsid w:val="46236731"/>
    <w:rsid w:val="465AD0E4"/>
    <w:rsid w:val="4672FD22"/>
    <w:rsid w:val="4687CE66"/>
    <w:rsid w:val="46B966B6"/>
    <w:rsid w:val="47313D95"/>
    <w:rsid w:val="4731522B"/>
    <w:rsid w:val="47372111"/>
    <w:rsid w:val="47AA9BAF"/>
    <w:rsid w:val="47B8361B"/>
    <w:rsid w:val="47FD2D0A"/>
    <w:rsid w:val="4822846D"/>
    <w:rsid w:val="4842830E"/>
    <w:rsid w:val="485A31FC"/>
    <w:rsid w:val="48716051"/>
    <w:rsid w:val="48844D83"/>
    <w:rsid w:val="48FFE508"/>
    <w:rsid w:val="4920188E"/>
    <w:rsid w:val="49204B5F"/>
    <w:rsid w:val="49618003"/>
    <w:rsid w:val="4991EEC4"/>
    <w:rsid w:val="4995988E"/>
    <w:rsid w:val="49B15B7F"/>
    <w:rsid w:val="49B17015"/>
    <w:rsid w:val="4A0B5683"/>
    <w:rsid w:val="4ACBB049"/>
    <w:rsid w:val="4ADA4FE6"/>
    <w:rsid w:val="4B6BE3E3"/>
    <w:rsid w:val="4C07D5A0"/>
    <w:rsid w:val="4C122AE9"/>
    <w:rsid w:val="4C33BF82"/>
    <w:rsid w:val="4C64C5FC"/>
    <w:rsid w:val="4D1920AB"/>
    <w:rsid w:val="4D255023"/>
    <w:rsid w:val="4D3FA7E3"/>
    <w:rsid w:val="4D7A5F71"/>
    <w:rsid w:val="4D9F5029"/>
    <w:rsid w:val="4E0D1B47"/>
    <w:rsid w:val="4E4DD800"/>
    <w:rsid w:val="4E53A0F5"/>
    <w:rsid w:val="4E6BC79A"/>
    <w:rsid w:val="4E7D5954"/>
    <w:rsid w:val="4EAA4240"/>
    <w:rsid w:val="4F791A6C"/>
    <w:rsid w:val="4FDAA9F5"/>
    <w:rsid w:val="5034A4F9"/>
    <w:rsid w:val="50F60D95"/>
    <w:rsid w:val="50F99924"/>
    <w:rsid w:val="519CBA3D"/>
    <w:rsid w:val="51C1DECF"/>
    <w:rsid w:val="51C4D427"/>
    <w:rsid w:val="520E5DA2"/>
    <w:rsid w:val="52EC6866"/>
    <w:rsid w:val="530A5E2C"/>
    <w:rsid w:val="536ED79E"/>
    <w:rsid w:val="53BB553F"/>
    <w:rsid w:val="53C8B335"/>
    <w:rsid w:val="53D02683"/>
    <w:rsid w:val="53E83486"/>
    <w:rsid w:val="54155043"/>
    <w:rsid w:val="546EE41D"/>
    <w:rsid w:val="54A69334"/>
    <w:rsid w:val="54D390B6"/>
    <w:rsid w:val="54F30D77"/>
    <w:rsid w:val="54FFB2C5"/>
    <w:rsid w:val="55533545"/>
    <w:rsid w:val="563B4058"/>
    <w:rsid w:val="5641A138"/>
    <w:rsid w:val="56B7E395"/>
    <w:rsid w:val="56BAC590"/>
    <w:rsid w:val="571F3DD0"/>
    <w:rsid w:val="574C3B52"/>
    <w:rsid w:val="575F896E"/>
    <w:rsid w:val="576BA80D"/>
    <w:rsid w:val="577D5CC0"/>
    <w:rsid w:val="5783D44B"/>
    <w:rsid w:val="57913241"/>
    <w:rsid w:val="57C08CD4"/>
    <w:rsid w:val="57ED5785"/>
    <w:rsid w:val="57F3D7E7"/>
    <w:rsid w:val="5842BCAC"/>
    <w:rsid w:val="589DA511"/>
    <w:rsid w:val="590951B3"/>
    <w:rsid w:val="59760802"/>
    <w:rsid w:val="599806A7"/>
    <w:rsid w:val="599A63B8"/>
    <w:rsid w:val="599FACC6"/>
    <w:rsid w:val="5B41B7E0"/>
    <w:rsid w:val="5B4E9CCC"/>
    <w:rsid w:val="5B61249B"/>
    <w:rsid w:val="5B613931"/>
    <w:rsid w:val="5B75EBFC"/>
    <w:rsid w:val="5BCB9128"/>
    <w:rsid w:val="5C91BF21"/>
    <w:rsid w:val="5C984008"/>
    <w:rsid w:val="5CF1863E"/>
    <w:rsid w:val="5D125766"/>
    <w:rsid w:val="5D1B8EC4"/>
    <w:rsid w:val="5D3AFB7F"/>
    <w:rsid w:val="5E06CCB9"/>
    <w:rsid w:val="5E36274C"/>
    <w:rsid w:val="5E6EEEC3"/>
    <w:rsid w:val="5EBDB819"/>
    <w:rsid w:val="5EE4ACB8"/>
    <w:rsid w:val="5F14D263"/>
    <w:rsid w:val="5F25C82E"/>
    <w:rsid w:val="5F46CE48"/>
    <w:rsid w:val="5F50341F"/>
    <w:rsid w:val="5F7E886E"/>
    <w:rsid w:val="5FAB8DF5"/>
    <w:rsid w:val="5FC9B185"/>
    <w:rsid w:val="6015146D"/>
    <w:rsid w:val="601BC825"/>
    <w:rsid w:val="6056A67F"/>
    <w:rsid w:val="60585A0F"/>
    <w:rsid w:val="6130780D"/>
    <w:rsid w:val="6140FE6A"/>
    <w:rsid w:val="61852A03"/>
    <w:rsid w:val="6206E4BE"/>
    <w:rsid w:val="623B4BE9"/>
    <w:rsid w:val="62985A80"/>
    <w:rsid w:val="62CB2E14"/>
    <w:rsid w:val="62EAE236"/>
    <w:rsid w:val="630A6387"/>
    <w:rsid w:val="631025D9"/>
    <w:rsid w:val="640DD48E"/>
    <w:rsid w:val="6422BD39"/>
    <w:rsid w:val="64431148"/>
    <w:rsid w:val="6508E4F1"/>
    <w:rsid w:val="651F76D7"/>
    <w:rsid w:val="6525E7B1"/>
    <w:rsid w:val="656ED8A1"/>
    <w:rsid w:val="65BF7CB9"/>
    <w:rsid w:val="65E467DF"/>
    <w:rsid w:val="661AE9F4"/>
    <w:rsid w:val="667195E1"/>
    <w:rsid w:val="66D4B2B9"/>
    <w:rsid w:val="66E1D35A"/>
    <w:rsid w:val="66E7D212"/>
    <w:rsid w:val="6718AA4D"/>
    <w:rsid w:val="672CC901"/>
    <w:rsid w:val="67D63830"/>
    <w:rsid w:val="67F89A3B"/>
    <w:rsid w:val="67FAF74C"/>
    <w:rsid w:val="6800405A"/>
    <w:rsid w:val="680B29DD"/>
    <w:rsid w:val="68378847"/>
    <w:rsid w:val="6860BC45"/>
    <w:rsid w:val="689C6ED0"/>
    <w:rsid w:val="68A88974"/>
    <w:rsid w:val="68A9914E"/>
    <w:rsid w:val="69078B8D"/>
    <w:rsid w:val="696AF9EA"/>
    <w:rsid w:val="69C4F4EE"/>
    <w:rsid w:val="69D9E46D"/>
    <w:rsid w:val="6A83539C"/>
    <w:rsid w:val="6A945C6F"/>
    <w:rsid w:val="6AD2F957"/>
    <w:rsid w:val="6B2D46AB"/>
    <w:rsid w:val="6BBA349A"/>
    <w:rsid w:val="6BC37658"/>
    <w:rsid w:val="6C796364"/>
    <w:rsid w:val="6CA20334"/>
    <w:rsid w:val="6CDAC9DC"/>
    <w:rsid w:val="6CE20199"/>
    <w:rsid w:val="6D037186"/>
    <w:rsid w:val="6D06986E"/>
    <w:rsid w:val="6D5D6C8A"/>
    <w:rsid w:val="6D8014C3"/>
    <w:rsid w:val="6D9AF02B"/>
    <w:rsid w:val="6DF4912E"/>
    <w:rsid w:val="6E0F0EDC"/>
    <w:rsid w:val="6EAA8C57"/>
    <w:rsid w:val="6EE0B1B3"/>
    <w:rsid w:val="6F0B5645"/>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B3583D"/>
    <w:rsid w:val="72C40F17"/>
    <w:rsid w:val="72D2C4F8"/>
    <w:rsid w:val="73254CAE"/>
    <w:rsid w:val="732C2A6F"/>
    <w:rsid w:val="732CBFFC"/>
    <w:rsid w:val="73503969"/>
    <w:rsid w:val="73911A01"/>
    <w:rsid w:val="73B6E0AB"/>
    <w:rsid w:val="73EE2898"/>
    <w:rsid w:val="742EB407"/>
    <w:rsid w:val="747553EF"/>
    <w:rsid w:val="74E917B4"/>
    <w:rsid w:val="74EED044"/>
    <w:rsid w:val="7607E5DB"/>
    <w:rsid w:val="761E95A3"/>
    <w:rsid w:val="766A1BCF"/>
    <w:rsid w:val="76744F65"/>
    <w:rsid w:val="772A4A8A"/>
    <w:rsid w:val="773A68C8"/>
    <w:rsid w:val="775AF02C"/>
    <w:rsid w:val="77E0E29F"/>
    <w:rsid w:val="77E3A526"/>
    <w:rsid w:val="77F135ED"/>
    <w:rsid w:val="780403FF"/>
    <w:rsid w:val="7842D083"/>
    <w:rsid w:val="785234BA"/>
    <w:rsid w:val="789148F7"/>
    <w:rsid w:val="78AA4B8D"/>
    <w:rsid w:val="78C60F07"/>
    <w:rsid w:val="78D113A2"/>
    <w:rsid w:val="792BD304"/>
    <w:rsid w:val="79637FC5"/>
    <w:rsid w:val="797633AB"/>
    <w:rsid w:val="799AE726"/>
    <w:rsid w:val="799DC7E8"/>
    <w:rsid w:val="79DFDE15"/>
    <w:rsid w:val="7A214860"/>
    <w:rsid w:val="7A410FB3"/>
    <w:rsid w:val="7A5978A5"/>
    <w:rsid w:val="7B177C64"/>
    <w:rsid w:val="7B1AC306"/>
    <w:rsid w:val="7B250C5A"/>
    <w:rsid w:val="7B2FE556"/>
    <w:rsid w:val="7B6363BF"/>
    <w:rsid w:val="7B74BE0A"/>
    <w:rsid w:val="7BC12847"/>
    <w:rsid w:val="7BDCE014"/>
    <w:rsid w:val="7C116F33"/>
    <w:rsid w:val="7CF18FFC"/>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811D"/>
  <w15:chartTrackingRefBased/>
  <w15:docId w15:val="{B552177C-91E0-4CC9-8AC9-E7EABB4F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pPr>
      <w:spacing w:after="0" w:line="276" w:lineRule="auto"/>
    </w:pPr>
    <w:rPr>
      <w:rFonts w:ascii="Arial" w:eastAsia="Arial" w:hAnsi="Arial" w:cs="Arial"/>
      <w:lang w:val="en"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CE"/>
    <w:rPr>
      <w:rFonts w:ascii="Arial" w:eastAsia="Arial" w:hAnsi="Arial" w:cs="Arial"/>
      <w:sz w:val="40"/>
      <w:szCs w:val="40"/>
      <w:lang w:val="en"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val="en"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val="en"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val="en" w:eastAsia="en-GB"/>
    </w:rPr>
  </w:style>
  <w:style w:type="table" w:styleId="TableGrid">
    <w:name w:val="Table Grid"/>
    <w:basedOn w:val="Table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val="en" w:eastAsia="en-GB"/>
    </w:rPr>
  </w:style>
  <w:style w:type="character" w:styleId="Mention">
    <w:name w:val="Mention"/>
    <w:basedOn w:val="DefaultParagraphFont"/>
    <w:uiPriority w:val="99"/>
    <w:unhideWhenUsed/>
    <w:rsid w:val="00AA32F8"/>
    <w:rPr>
      <w:color w:val="2B579A"/>
      <w:shd w:val="clear" w:color="auto" w:fill="E6E6E6"/>
    </w:rPr>
  </w:style>
  <w:style w:type="character" w:styleId="UnresolvedMention">
    <w:name w:val="Unresolved Mention"/>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val="en-US" w:eastAsia="ja-JP"/>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after="0" w:line="240" w:lineRule="auto"/>
    </w:pPr>
    <w:rPr>
      <w:rFonts w:ascii="Arial" w:eastAsia="Arial" w:hAnsi="Arial" w:cs="Arial"/>
      <w:lang w:val="en"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2"/>
      </w:numPr>
    </w:pPr>
  </w:style>
  <w:style w:type="numbering" w:customStyle="1" w:styleId="CurrentList2">
    <w:name w:val="Current List2"/>
    <w:uiPriority w:val="99"/>
    <w:rsid w:val="00F73FF8"/>
    <w:pPr>
      <w:numPr>
        <w:numId w:val="3"/>
      </w:numPr>
    </w:pPr>
  </w:style>
  <w:style w:type="numbering" w:customStyle="1" w:styleId="CurrentList3">
    <w:name w:val="Current List3"/>
    <w:uiPriority w:val="99"/>
    <w:rsid w:val="001E1C11"/>
    <w:pPr>
      <w:numPr>
        <w:numId w:val="4"/>
      </w:numPr>
    </w:pPr>
  </w:style>
  <w:style w:type="paragraph" w:styleId="NoSpacing">
    <w:name w:val="No Spacing"/>
    <w:uiPriority w:val="1"/>
    <w:qFormat/>
    <w:rsid w:val="00284A22"/>
    <w:pPr>
      <w:spacing w:after="0" w:line="240" w:lineRule="auto"/>
    </w:pPr>
    <w:rPr>
      <w:rFonts w:ascii="Arial" w:eastAsia="Arial" w:hAnsi="Arial" w:cs="Arial"/>
      <w:lang w:val="en"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val="en" w:eastAsia="en-GB"/>
    </w:rPr>
  </w:style>
  <w:style w:type="character" w:styleId="FootnoteReference">
    <w:name w:val="footnote reference"/>
    <w:basedOn w:val="DefaultParagraphFont"/>
    <w:uiPriority w:val="99"/>
    <w:semiHidden/>
    <w:unhideWhenUsed/>
    <w:rsid w:val="00D77B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2643">
      <w:bodyDiv w:val="1"/>
      <w:marLeft w:val="0"/>
      <w:marRight w:val="0"/>
      <w:marTop w:val="0"/>
      <w:marBottom w:val="0"/>
      <w:divBdr>
        <w:top w:val="none" w:sz="0" w:space="0" w:color="auto"/>
        <w:left w:val="none" w:sz="0" w:space="0" w:color="auto"/>
        <w:bottom w:val="none" w:sz="0" w:space="0" w:color="auto"/>
        <w:right w:val="none" w:sz="0" w:space="0" w:color="auto"/>
      </w:divBdr>
      <w:divsChild>
        <w:div w:id="355815566">
          <w:marLeft w:val="0"/>
          <w:marRight w:val="0"/>
          <w:marTop w:val="0"/>
          <w:marBottom w:val="0"/>
          <w:divBdr>
            <w:top w:val="none" w:sz="0" w:space="0" w:color="auto"/>
            <w:left w:val="none" w:sz="0" w:space="0" w:color="auto"/>
            <w:bottom w:val="none" w:sz="0" w:space="0" w:color="auto"/>
            <w:right w:val="none" w:sz="0" w:space="0" w:color="auto"/>
          </w:divBdr>
        </w:div>
      </w:divsChild>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806165785">
      <w:bodyDiv w:val="1"/>
      <w:marLeft w:val="0"/>
      <w:marRight w:val="0"/>
      <w:marTop w:val="0"/>
      <w:marBottom w:val="0"/>
      <w:divBdr>
        <w:top w:val="none" w:sz="0" w:space="0" w:color="auto"/>
        <w:left w:val="none" w:sz="0" w:space="0" w:color="auto"/>
        <w:bottom w:val="none" w:sz="0" w:space="0" w:color="auto"/>
        <w:right w:val="none" w:sz="0" w:space="0" w:color="auto"/>
      </w:divBdr>
    </w:div>
    <w:div w:id="914437088">
      <w:bodyDiv w:val="1"/>
      <w:marLeft w:val="0"/>
      <w:marRight w:val="0"/>
      <w:marTop w:val="0"/>
      <w:marBottom w:val="0"/>
      <w:divBdr>
        <w:top w:val="none" w:sz="0" w:space="0" w:color="auto"/>
        <w:left w:val="none" w:sz="0" w:space="0" w:color="auto"/>
        <w:bottom w:val="none" w:sz="0" w:space="0" w:color="auto"/>
        <w:right w:val="none" w:sz="0" w:space="0" w:color="auto"/>
      </w:divBdr>
      <w:divsChild>
        <w:div w:id="852497277">
          <w:marLeft w:val="0"/>
          <w:marRight w:val="0"/>
          <w:marTop w:val="0"/>
          <w:marBottom w:val="0"/>
          <w:divBdr>
            <w:top w:val="none" w:sz="0" w:space="0" w:color="auto"/>
            <w:left w:val="none" w:sz="0" w:space="0" w:color="auto"/>
            <w:bottom w:val="none" w:sz="0" w:space="0" w:color="auto"/>
            <w:right w:val="none" w:sz="0" w:space="0" w:color="auto"/>
          </w:divBdr>
        </w:div>
      </w:divsChild>
    </w:div>
    <w:div w:id="1107508096">
      <w:bodyDiv w:val="1"/>
      <w:marLeft w:val="0"/>
      <w:marRight w:val="0"/>
      <w:marTop w:val="0"/>
      <w:marBottom w:val="0"/>
      <w:divBdr>
        <w:top w:val="none" w:sz="0" w:space="0" w:color="auto"/>
        <w:left w:val="none" w:sz="0" w:space="0" w:color="auto"/>
        <w:bottom w:val="none" w:sz="0" w:space="0" w:color="auto"/>
        <w:right w:val="none" w:sz="0" w:space="0" w:color="auto"/>
      </w:divBdr>
      <w:divsChild>
        <w:div w:id="2010283869">
          <w:marLeft w:val="0"/>
          <w:marRight w:val="0"/>
          <w:marTop w:val="0"/>
          <w:marBottom w:val="0"/>
          <w:divBdr>
            <w:top w:val="none" w:sz="0" w:space="0" w:color="auto"/>
            <w:left w:val="none" w:sz="0" w:space="0" w:color="auto"/>
            <w:bottom w:val="none" w:sz="0" w:space="0" w:color="auto"/>
            <w:right w:val="none" w:sz="0" w:space="0" w:color="auto"/>
          </w:divBdr>
        </w:div>
      </w:divsChild>
    </w:div>
    <w:div w:id="1215970411">
      <w:bodyDiv w:val="1"/>
      <w:marLeft w:val="0"/>
      <w:marRight w:val="0"/>
      <w:marTop w:val="0"/>
      <w:marBottom w:val="0"/>
      <w:divBdr>
        <w:top w:val="none" w:sz="0" w:space="0" w:color="auto"/>
        <w:left w:val="none" w:sz="0" w:space="0" w:color="auto"/>
        <w:bottom w:val="none" w:sz="0" w:space="0" w:color="auto"/>
        <w:right w:val="none" w:sz="0" w:space="0" w:color="auto"/>
      </w:divBdr>
    </w:div>
    <w:div w:id="1488278206">
      <w:bodyDiv w:val="1"/>
      <w:marLeft w:val="0"/>
      <w:marRight w:val="0"/>
      <w:marTop w:val="0"/>
      <w:marBottom w:val="0"/>
      <w:divBdr>
        <w:top w:val="none" w:sz="0" w:space="0" w:color="auto"/>
        <w:left w:val="none" w:sz="0" w:space="0" w:color="auto"/>
        <w:bottom w:val="none" w:sz="0" w:space="0" w:color="auto"/>
        <w:right w:val="none" w:sz="0" w:space="0" w:color="auto"/>
      </w:divBdr>
      <w:divsChild>
        <w:div w:id="725838938">
          <w:marLeft w:val="0"/>
          <w:marRight w:val="0"/>
          <w:marTop w:val="0"/>
          <w:marBottom w:val="0"/>
          <w:divBdr>
            <w:top w:val="none" w:sz="0" w:space="0" w:color="auto"/>
            <w:left w:val="none" w:sz="0" w:space="0" w:color="auto"/>
            <w:bottom w:val="none" w:sz="0" w:space="0" w:color="auto"/>
            <w:right w:val="none" w:sz="0" w:space="0" w:color="auto"/>
          </w:divBdr>
        </w:div>
      </w:divsChild>
    </w:div>
    <w:div w:id="1497067885">
      <w:bodyDiv w:val="1"/>
      <w:marLeft w:val="0"/>
      <w:marRight w:val="0"/>
      <w:marTop w:val="0"/>
      <w:marBottom w:val="0"/>
      <w:divBdr>
        <w:top w:val="none" w:sz="0" w:space="0" w:color="auto"/>
        <w:left w:val="none" w:sz="0" w:space="0" w:color="auto"/>
        <w:bottom w:val="none" w:sz="0" w:space="0" w:color="auto"/>
        <w:right w:val="none" w:sz="0" w:space="0" w:color="auto"/>
      </w:divBdr>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news/document-library/gavi-programme-funding-guideli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sites/default/files/support/TCA-guidelines.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cb0222-e980-4273-ad97-85dba3159c09" ContentTypeId="0x0101000ECC9CB1D2D1C844AAE9B2B7191C5509"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GAVI-438364776-957854</_dlc_DocId>
    <_dlc_DocIdUrl xmlns="55894003-98dc-4f3e-8669-85b90bdbcc8c">
      <Url>https://gavinet.sharepoint.com/teams/PAP/srp/_layouts/15/DocIdRedir.aspx?ID=GAVI-438364776-957854</Url>
      <Description>GAVI-438364776-957854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Gavi Word Document" ma:contentTypeID="0x0101000ECC9CB1D2D1C844AAE9B2B7191C550900286F96ADC165234798F7253E0F31955B" ma:contentTypeVersion="71" ma:contentTypeDescription="" ma:contentTypeScope="" ma:versionID="16c061c5c4dc4ea17f5e261d47d5b2e1">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db612b8eac850b8548cf89fa5e8ec8fa" ns2:_="" ns3:_="">
    <xsd:import namespace="d0706217-df7c-4bf4-936d-b09aa3b837af"/>
    <xsd:import namespace="55894003-98dc-4f3e-8669-85b90bdbcc8c"/>
    <xsd:element name="properties">
      <xsd:complexType>
        <xsd:sequence>
          <xsd:element name="documentManagement">
            <xsd:complexType>
              <xsd:all>
                <xsd:element ref="ns2:TaxCatchAllLabel"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F1EFA-B0D4-4C26-8468-847100CEAF31}">
  <ds:schemaRefs>
    <ds:schemaRef ds:uri="Microsoft.SharePoint.Taxonomy.ContentTypeSync"/>
  </ds:schemaRefs>
</ds:datastoreItem>
</file>

<file path=customXml/itemProps2.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700359ba-e36c-422a-9925-ddada98091a9"/>
  </ds:schemaRefs>
</ds:datastoreItem>
</file>

<file path=customXml/itemProps3.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4.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5.xml><?xml version="1.0" encoding="utf-8"?>
<ds:datastoreItem xmlns:ds="http://schemas.openxmlformats.org/officeDocument/2006/customXml" ds:itemID="{8046A321-9346-4C24-BD12-D0AF171E1442}">
  <ds:schemaRefs>
    <ds:schemaRef ds:uri="http://schemas.openxmlformats.org/officeDocument/2006/bibliography"/>
  </ds:schemaRefs>
</ds:datastoreItem>
</file>

<file path=customXml/itemProps6.xml><?xml version="1.0" encoding="utf-8"?>
<ds:datastoreItem xmlns:ds="http://schemas.openxmlformats.org/officeDocument/2006/customXml" ds:itemID="{1C0615AF-6C29-4BF1-90D1-09F4A45E21CE}"/>
</file>

<file path=docProps/app.xml><?xml version="1.0" encoding="utf-8"?>
<Properties xmlns="http://schemas.openxmlformats.org/officeDocument/2006/extended-properties" xmlns:vt="http://schemas.openxmlformats.org/officeDocument/2006/docPropsVTypes">
  <Template>Normal</Template>
  <TotalTime>6</TotalTime>
  <Pages>12</Pages>
  <Words>4618</Words>
  <Characters>26327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seeee</vt:lpstr>
    </vt:vector>
  </TitlesOfParts>
  <Company/>
  <LinksUpToDate>false</LinksUpToDate>
  <CharactersWithSpaces>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kamponsa.achiano@outlook.com</cp:lastModifiedBy>
  <cp:revision>3</cp:revision>
  <dcterms:created xsi:type="dcterms:W3CDTF">2022-05-31T10:11:00Z</dcterms:created>
  <dcterms:modified xsi:type="dcterms:W3CDTF">2022-05-31T19:51:00Z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0x0101000ECC9CB1D2D1C844AAE9B2B7191C550900286F96ADC165234798F7253E0F31955B</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e6a3b8da-011d-4972-a2a2-07036a9bafed</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ies>
</file>