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85" w:rsidRDefault="006339F9" w:rsidP="00430D81">
      <w:pPr>
        <w:jc w:val="both"/>
        <w:rPr>
          <w:rFonts w:ascii="Arial" w:hAnsi="Arial" w:cs="Arial"/>
          <w:b/>
        </w:rPr>
      </w:pPr>
      <w:r>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59.75pt;margin-top:91.75pt;width:575.25pt;height:23.1pt;z-index:5" filled="f" stroked="f">
            <v:textbox style="mso-next-textbox:#_x0000_s1026">
              <w:txbxContent>
                <w:p w:rsidR="00593F85" w:rsidRPr="009815AC" w:rsidRDefault="00593F85" w:rsidP="009815AC">
                  <w:pPr>
                    <w:jc w:val="center"/>
                    <w:rPr>
                      <w:rFonts w:ascii="Arial" w:hAnsi="Arial" w:cs="Arial"/>
                      <w:b/>
                      <w:color w:val="FFFFFF"/>
                      <w:sz w:val="32"/>
                      <w:szCs w:val="34"/>
                    </w:rPr>
                  </w:pPr>
                  <w:r w:rsidRPr="009815AC">
                    <w:rPr>
                      <w:rFonts w:ascii="Arial" w:hAnsi="Arial" w:cs="Arial"/>
                      <w:b/>
                      <w:color w:val="FFFFFF"/>
                      <w:sz w:val="32"/>
                      <w:szCs w:val="34"/>
                    </w:rPr>
                    <w:t>COMMON PROPOSAL FORM</w:t>
                  </w:r>
                  <w:r>
                    <w:rPr>
                      <w:rFonts w:ascii="Arial" w:hAnsi="Arial" w:cs="Arial"/>
                      <w:b/>
                      <w:color w:val="FFFFFF"/>
                      <w:sz w:val="32"/>
                      <w:szCs w:val="34"/>
                    </w:rPr>
                    <w:t xml:space="preserve"> – APPLICATION SUPPLEMENT</w:t>
                  </w:r>
                </w:p>
              </w:txbxContent>
            </v:textbox>
          </v:shape>
        </w:pict>
      </w:r>
      <w:r>
        <w:rPr>
          <w:noProof/>
          <w:lang w:val="en-US" w:eastAsia="en-US"/>
        </w:rPr>
        <w:pict>
          <v:rect id="_x0000_s1027" style="position:absolute;left:0;text-align:left;margin-left:-75.4pt;margin-top:91.75pt;width:601.8pt;height:23.1pt;z-index:4" fillcolor="#31849b" stroked="f"/>
        </w:pic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gavi_glow" style="position:absolute;left:0;text-align:left;margin-left:260.25pt;margin-top:-51pt;width:131.55pt;height:56.25pt;z-index:3;visibility:visible">
            <v:imagedata r:id="rId8" o:title=""/>
          </v:shape>
        </w:pict>
      </w:r>
      <w:r>
        <w:rPr>
          <w:noProof/>
          <w:lang w:val="en-US" w:eastAsia="en-US"/>
        </w:rPr>
        <w:pict>
          <v:shape id="Picture 5" o:spid="_x0000_s1029" type="#_x0000_t75" alt="GF_color_white_TransBckground_en" style="position:absolute;left:0;text-align:left;margin-left:15.75pt;margin-top:-45pt;width:180.75pt;height:38.25pt;z-index:2;visibility:visible">
            <v:imagedata r:id="rId9" o:title=""/>
          </v:shape>
        </w:pict>
      </w:r>
      <w:r>
        <w:rPr>
          <w:noProof/>
          <w:lang w:val="en-US" w:eastAsia="en-US"/>
        </w:rPr>
        <w:pict>
          <v:shape id="_x0000_s1030" type="#_x0000_t202" style="position:absolute;left:0;text-align:left;margin-left:-55.65pt;margin-top:6.15pt;width:563.75pt;height:74pt;z-index:1" filled="f" stroked="f">
            <v:textbox style="mso-next-textbox:#_x0000_s1030">
              <w:txbxContent>
                <w:p w:rsidR="00593F85" w:rsidRPr="009815AC" w:rsidRDefault="00593F85" w:rsidP="009815AC">
                  <w:pPr>
                    <w:jc w:val="center"/>
                    <w:rPr>
                      <w:rFonts w:ascii="Arial" w:hAnsi="Arial" w:cs="Arial"/>
                      <w:b/>
                      <w:color w:val="173E49"/>
                      <w:sz w:val="36"/>
                      <w:szCs w:val="34"/>
                    </w:rPr>
                  </w:pPr>
                  <w:r w:rsidRPr="009815AC">
                    <w:rPr>
                      <w:rFonts w:ascii="Arial" w:hAnsi="Arial" w:cs="Arial"/>
                      <w:b/>
                      <w:color w:val="173E49"/>
                      <w:sz w:val="36"/>
                      <w:szCs w:val="34"/>
                    </w:rPr>
                    <w:t>Health Systems Funding Platform (HSFP)</w:t>
                  </w:r>
                </w:p>
                <w:p w:rsidR="00593F85" w:rsidRPr="009815AC" w:rsidRDefault="00593F85" w:rsidP="009815AC">
                  <w:pPr>
                    <w:jc w:val="center"/>
                    <w:rPr>
                      <w:rFonts w:ascii="Arial" w:hAnsi="Arial" w:cs="Arial"/>
                      <w:b/>
                      <w:color w:val="173E49"/>
                      <w:sz w:val="36"/>
                      <w:szCs w:val="34"/>
                    </w:rPr>
                  </w:pPr>
                </w:p>
                <w:p w:rsidR="00593F85" w:rsidRPr="009815AC" w:rsidRDefault="00593F85" w:rsidP="009815AC">
                  <w:pPr>
                    <w:jc w:val="center"/>
                    <w:rPr>
                      <w:rFonts w:ascii="Arial" w:hAnsi="Arial" w:cs="Arial"/>
                      <w:b/>
                      <w:color w:val="173E49"/>
                      <w:sz w:val="36"/>
                      <w:szCs w:val="34"/>
                    </w:rPr>
                  </w:pPr>
                  <w:r w:rsidRPr="009815AC">
                    <w:rPr>
                      <w:rFonts w:ascii="Arial" w:hAnsi="Arial" w:cs="Arial"/>
                      <w:b/>
                      <w:color w:val="173E49"/>
                      <w:sz w:val="36"/>
                      <w:szCs w:val="34"/>
                    </w:rPr>
                    <w:t>Health Systems Strengthening (HSS) Support</w:t>
                  </w:r>
                </w:p>
                <w:p w:rsidR="00593F85" w:rsidRPr="007C0EE4" w:rsidRDefault="00593F85" w:rsidP="009815AC">
                  <w:pPr>
                    <w:rPr>
                      <w:rFonts w:cs="Arial"/>
                      <w:b/>
                      <w:color w:val="215868"/>
                      <w:sz w:val="36"/>
                      <w:szCs w:val="34"/>
                    </w:rPr>
                  </w:pPr>
                </w:p>
                <w:p w:rsidR="00593F85" w:rsidRPr="007C0EE4" w:rsidRDefault="00593F85" w:rsidP="009815AC">
                  <w:pPr>
                    <w:rPr>
                      <w:rFonts w:cs="Arial"/>
                      <w:color w:val="215868"/>
                      <w:sz w:val="32"/>
                    </w:rPr>
                  </w:pPr>
                </w:p>
              </w:txbxContent>
            </v:textbox>
          </v:shape>
        </w:pict>
      </w:r>
      <w:r>
        <w:rPr>
          <w:noProof/>
          <w:lang w:val="en-US" w:eastAsia="en-US"/>
        </w:rPr>
        <w:pict>
          <v:rect id="_x0000_s1031" style="position:absolute;left:0;text-align:left;margin-left:-75.4pt;margin-top:-71.95pt;width:601.8pt;height:186.8pt;z-index:-1" fillcolor="#92cddc" stroked="f">
            <v:fill rotate="t"/>
          </v:rect>
        </w:pict>
      </w:r>
    </w:p>
    <w:p w:rsidR="00593F85" w:rsidRDefault="00593F85" w:rsidP="00430D81">
      <w:pPr>
        <w:jc w:val="both"/>
        <w:rPr>
          <w:rFonts w:ascii="Arial" w:hAnsi="Arial" w:cs="Arial"/>
          <w:b/>
        </w:rPr>
      </w:pPr>
    </w:p>
    <w:p w:rsidR="00593F85" w:rsidRDefault="00593F85" w:rsidP="00430D81">
      <w:pPr>
        <w:jc w:val="both"/>
        <w:rPr>
          <w:rFonts w:ascii="Arial" w:hAnsi="Arial" w:cs="Arial"/>
          <w:b/>
        </w:rPr>
      </w:pPr>
    </w:p>
    <w:p w:rsidR="00593F85" w:rsidRDefault="00593F85" w:rsidP="00430D81">
      <w:pPr>
        <w:jc w:val="both"/>
        <w:rPr>
          <w:rFonts w:ascii="Arial" w:hAnsi="Arial" w:cs="Arial"/>
          <w:b/>
        </w:rPr>
      </w:pPr>
    </w:p>
    <w:p w:rsidR="00593F85" w:rsidRDefault="00593F85" w:rsidP="00430D81">
      <w:pPr>
        <w:jc w:val="both"/>
        <w:rPr>
          <w:rFonts w:ascii="Arial" w:hAnsi="Arial" w:cs="Arial"/>
          <w:b/>
        </w:rPr>
      </w:pPr>
    </w:p>
    <w:p w:rsidR="00593F85" w:rsidRDefault="00593F85" w:rsidP="00430D81">
      <w:pPr>
        <w:jc w:val="both"/>
        <w:rPr>
          <w:rFonts w:ascii="Arial" w:hAnsi="Arial" w:cs="Arial"/>
          <w:b/>
        </w:rPr>
      </w:pPr>
    </w:p>
    <w:p w:rsidR="00593F85" w:rsidRDefault="00593F85" w:rsidP="00430D81">
      <w:pPr>
        <w:jc w:val="both"/>
        <w:rPr>
          <w:rFonts w:ascii="Arial" w:hAnsi="Arial" w:cs="Arial"/>
          <w:b/>
        </w:rPr>
      </w:pPr>
    </w:p>
    <w:p w:rsidR="00593F85" w:rsidRDefault="00593F85" w:rsidP="00430D81">
      <w:pPr>
        <w:jc w:val="both"/>
        <w:rPr>
          <w:rFonts w:ascii="Arial" w:hAnsi="Arial" w:cs="Arial"/>
          <w:b/>
        </w:rPr>
      </w:pPr>
    </w:p>
    <w:p w:rsidR="00593F85" w:rsidRDefault="00593F85" w:rsidP="00430D81">
      <w:pPr>
        <w:jc w:val="both"/>
        <w:rPr>
          <w:rFonts w:ascii="Arial" w:hAnsi="Arial" w:cs="Arial"/>
          <w:b/>
        </w:rPr>
      </w:pPr>
    </w:p>
    <w:p w:rsidR="00593F85" w:rsidRDefault="00593F85" w:rsidP="00430D81">
      <w:pPr>
        <w:jc w:val="both"/>
        <w:rPr>
          <w:rFonts w:ascii="Arial" w:hAnsi="Arial" w:cs="Arial"/>
          <w:b/>
        </w:rPr>
      </w:pPr>
    </w:p>
    <w:p w:rsidR="00593F85" w:rsidRPr="009815AC" w:rsidRDefault="00593F85" w:rsidP="009815AC">
      <w:pPr>
        <w:rPr>
          <w:rFonts w:ascii="Arial" w:hAnsi="Arial" w:cs="Arial"/>
          <w:color w:val="000000"/>
          <w:szCs w:val="24"/>
        </w:rPr>
      </w:pPr>
      <w:r w:rsidRPr="009815AC">
        <w:rPr>
          <w:rFonts w:ascii="Arial" w:hAnsi="Arial" w:cs="Arial"/>
          <w:color w:val="000000"/>
          <w:szCs w:val="24"/>
        </w:rPr>
        <w:t xml:space="preserve">This common proposal form </w:t>
      </w:r>
      <w:r>
        <w:rPr>
          <w:rFonts w:ascii="Arial" w:hAnsi="Arial" w:cs="Arial"/>
          <w:color w:val="000000"/>
          <w:szCs w:val="24"/>
        </w:rPr>
        <w:t xml:space="preserve">application supplement </w:t>
      </w:r>
      <w:r w:rsidRPr="009815AC">
        <w:rPr>
          <w:rFonts w:ascii="Arial" w:hAnsi="Arial" w:cs="Arial"/>
          <w:color w:val="000000"/>
          <w:szCs w:val="24"/>
        </w:rPr>
        <w:t xml:space="preserve">is for use by applicants seeking to request Health Systems Strengthening (HSS) Support from GAVI. </w:t>
      </w:r>
      <w:r>
        <w:rPr>
          <w:rFonts w:ascii="Arial" w:hAnsi="Arial" w:cs="Arial"/>
          <w:color w:val="000000"/>
          <w:szCs w:val="24"/>
        </w:rPr>
        <w:t>This form should be filled out in addition to the Common Proposal form for submissions to GAVI.</w:t>
      </w:r>
    </w:p>
    <w:p w:rsidR="00593F85" w:rsidRPr="001065CE" w:rsidRDefault="00593F85" w:rsidP="001065CE">
      <w:pPr>
        <w:spacing w:before="60" w:after="60"/>
        <w:jc w:val="both"/>
        <w:rPr>
          <w:rFonts w:cs="Arial"/>
          <w:b/>
          <w:i/>
          <w:sz w:val="20"/>
        </w:rPr>
      </w:pPr>
    </w:p>
    <w:tbl>
      <w:tblPr>
        <w:tblW w:w="4963" w:type="pct"/>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ook w:val="0000" w:firstRow="0" w:lastRow="0" w:firstColumn="0" w:lastColumn="0" w:noHBand="0" w:noVBand="0"/>
      </w:tblPr>
      <w:tblGrid>
        <w:gridCol w:w="9174"/>
      </w:tblGrid>
      <w:tr w:rsidR="00593F85" w:rsidRPr="00A92017" w:rsidTr="00C97A35">
        <w:trPr>
          <w:trHeight w:val="437"/>
        </w:trPr>
        <w:tc>
          <w:tcPr>
            <w:tcW w:w="5000" w:type="pct"/>
            <w:tcBorders>
              <w:top w:val="nil"/>
              <w:left w:val="nil"/>
              <w:bottom w:val="nil"/>
              <w:right w:val="nil"/>
            </w:tcBorders>
            <w:shd w:val="clear" w:color="auto" w:fill="31849B"/>
            <w:vAlign w:val="center"/>
          </w:tcPr>
          <w:p w:rsidR="00593F85" w:rsidRPr="00A92017" w:rsidRDefault="00593F85" w:rsidP="001065CE">
            <w:pPr>
              <w:spacing w:before="60" w:after="60"/>
              <w:rPr>
                <w:rFonts w:ascii="Arial" w:hAnsi="Arial" w:cs="Arial"/>
                <w:b/>
                <w:i/>
                <w:sz w:val="20"/>
              </w:rPr>
            </w:pPr>
            <w:r>
              <w:rPr>
                <w:rFonts w:ascii="Arial" w:hAnsi="Arial" w:cs="Arial"/>
                <w:b/>
                <w:color w:val="FFFFFF"/>
                <w:sz w:val="24"/>
              </w:rPr>
              <w:t xml:space="preserve">Part </w:t>
            </w:r>
            <w:r w:rsidRPr="00A92017">
              <w:rPr>
                <w:rFonts w:ascii="Arial" w:hAnsi="Arial" w:cs="Arial"/>
                <w:b/>
                <w:color w:val="FFFFFF"/>
                <w:sz w:val="24"/>
              </w:rPr>
              <w:t xml:space="preserve"> – Applicant Eligibility</w:t>
            </w:r>
          </w:p>
        </w:tc>
      </w:tr>
    </w:tbl>
    <w:p w:rsidR="00593F85" w:rsidRDefault="00593F85" w:rsidP="00430D81">
      <w:pPr>
        <w:jc w:val="both"/>
        <w:rPr>
          <w:rFonts w:ascii="Arial" w:hAnsi="Arial" w:cs="Arial"/>
        </w:rPr>
      </w:pPr>
    </w:p>
    <w:p w:rsidR="00593F85" w:rsidRPr="00430D81" w:rsidRDefault="00593F85" w:rsidP="00430D81">
      <w:pPr>
        <w:jc w:val="both"/>
        <w:rPr>
          <w:rFonts w:ascii="Arial" w:hAnsi="Arial" w:cs="Arial"/>
        </w:rPr>
      </w:pPr>
      <w:r>
        <w:rPr>
          <w:rFonts w:ascii="Arial" w:hAnsi="Arial" w:cs="Arial"/>
        </w:rPr>
        <w:t>I</w:t>
      </w:r>
      <w:r w:rsidRPr="00430D81">
        <w:rPr>
          <w:rFonts w:ascii="Arial" w:hAnsi="Arial" w:cs="Arial"/>
        </w:rPr>
        <w:t xml:space="preserve">f this application includes a request to GAVI, please click </w:t>
      </w:r>
      <w:hyperlink r:id="rId10" w:history="1">
        <w:r w:rsidRPr="00430D81">
          <w:rPr>
            <w:rStyle w:val="Hyperlink"/>
            <w:rFonts w:ascii="Arial" w:hAnsi="Arial" w:cs="Arial"/>
          </w:rPr>
          <w:t>here</w:t>
        </w:r>
      </w:hyperlink>
      <w:r w:rsidRPr="00430D81">
        <w:rPr>
          <w:rFonts w:ascii="Arial" w:hAnsi="Arial" w:cs="Arial"/>
          <w:color w:val="0000FF"/>
        </w:rPr>
        <w:t xml:space="preserve"> </w:t>
      </w:r>
      <w:r w:rsidRPr="00430D81">
        <w:rPr>
          <w:rFonts w:ascii="Arial" w:hAnsi="Arial" w:cs="Arial"/>
        </w:rPr>
        <w:t>to verify the applicant’s eligibility for GAVI support and fill in the below table.</w:t>
      </w:r>
    </w:p>
    <w:p w:rsidR="00593F85" w:rsidRPr="00430D81" w:rsidRDefault="00593F85" w:rsidP="00430D81">
      <w:pPr>
        <w:ind w:left="142" w:hanging="142"/>
        <w:jc w:val="both"/>
        <w:rPr>
          <w:rFonts w:ascii="Arial" w:hAnsi="Arial" w:cs="Arial"/>
        </w:rPr>
      </w:pPr>
    </w:p>
    <w:tbl>
      <w:tblPr>
        <w:tblpPr w:leftFromText="180" w:rightFromText="180" w:vertAnchor="text" w:horzAnchor="margin" w:tblpXSpec="center" w:tblpY="92"/>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1E0" w:firstRow="1" w:lastRow="1" w:firstColumn="1" w:lastColumn="1" w:noHBand="0" w:noVBand="0"/>
      </w:tblPr>
      <w:tblGrid>
        <w:gridCol w:w="9120"/>
      </w:tblGrid>
      <w:tr w:rsidR="00593F85" w:rsidRPr="00A92017" w:rsidTr="001065CE">
        <w:trPr>
          <w:trHeight w:val="634"/>
        </w:trPr>
        <w:tc>
          <w:tcPr>
            <w:tcW w:w="9120" w:type="dxa"/>
            <w:shd w:val="clear" w:color="auto" w:fill="B6DDE8"/>
          </w:tcPr>
          <w:p w:rsidR="00593F85" w:rsidRPr="00A92017" w:rsidRDefault="00593F85" w:rsidP="005714BB">
            <w:pPr>
              <w:widowControl w:val="0"/>
              <w:spacing w:before="120" w:after="120"/>
              <w:jc w:val="both"/>
              <w:rPr>
                <w:rFonts w:ascii="Arial" w:hAnsi="Arial" w:cs="Arial"/>
              </w:rPr>
            </w:pPr>
            <w:r w:rsidRPr="00A92017">
              <w:rPr>
                <w:rFonts w:ascii="Arial" w:hAnsi="Arial" w:cs="Arial"/>
                <w:b/>
              </w:rPr>
              <w:t>GAVI eligibility - Government endorsement and other requirements for requests to GAVI</w:t>
            </w:r>
          </w:p>
        </w:tc>
      </w:tr>
      <w:tr w:rsidR="00593F85" w:rsidRPr="00A92017" w:rsidTr="001065CE">
        <w:trPr>
          <w:trHeight w:val="2883"/>
        </w:trPr>
        <w:tc>
          <w:tcPr>
            <w:tcW w:w="9120" w:type="dxa"/>
          </w:tcPr>
          <w:p w:rsidR="00593F85" w:rsidRPr="00A92017" w:rsidRDefault="00593F85" w:rsidP="005714BB">
            <w:pPr>
              <w:spacing w:before="120"/>
              <w:jc w:val="both"/>
              <w:rPr>
                <w:rFonts w:ascii="Arial" w:hAnsi="Arial" w:cs="Arial"/>
                <w:kern w:val="28"/>
                <w:sz w:val="18"/>
                <w:szCs w:val="18"/>
                <w:lang w:val="en-US"/>
              </w:rPr>
            </w:pPr>
            <w:r w:rsidRPr="00A92017">
              <w:rPr>
                <w:rFonts w:ascii="Arial" w:hAnsi="Arial" w:cs="Arial"/>
                <w:kern w:val="28"/>
                <w:sz w:val="18"/>
                <w:szCs w:val="18"/>
                <w:lang w:val="en-US"/>
              </w:rPr>
              <w:t xml:space="preserve">Please note that this application will not be reviewed or approved by GAVI without the signatures of </w:t>
            </w:r>
            <w:proofErr w:type="gramStart"/>
            <w:r w:rsidRPr="00A92017">
              <w:rPr>
                <w:rFonts w:ascii="Arial" w:hAnsi="Arial" w:cs="Arial"/>
                <w:kern w:val="28"/>
                <w:sz w:val="18"/>
                <w:szCs w:val="18"/>
                <w:lang w:val="en-US"/>
              </w:rPr>
              <w:t>both the Minister of Health &amp; Finance or</w:t>
            </w:r>
            <w:proofErr w:type="gramEnd"/>
            <w:r w:rsidRPr="00A92017">
              <w:rPr>
                <w:rFonts w:ascii="Arial" w:hAnsi="Arial" w:cs="Arial"/>
                <w:kern w:val="28"/>
                <w:sz w:val="18"/>
                <w:szCs w:val="18"/>
                <w:lang w:val="en-US"/>
              </w:rPr>
              <w:t xml:space="preserve"> their delegated authority.</w:t>
            </w:r>
          </w:p>
          <w:p w:rsidR="00593F85" w:rsidRPr="00A92017" w:rsidRDefault="00593F85" w:rsidP="00E51E54">
            <w:pPr>
              <w:spacing w:before="120"/>
              <w:jc w:val="both"/>
              <w:rPr>
                <w:rFonts w:ascii="Arial" w:hAnsi="Arial" w:cs="Arial"/>
                <w:kern w:val="28"/>
                <w:sz w:val="18"/>
                <w:szCs w:val="18"/>
                <w:lang w:val="en-US"/>
              </w:rPr>
            </w:pPr>
            <w:r>
              <w:rPr>
                <w:rFonts w:ascii="Arial" w:hAnsi="Arial" w:cs="Arial"/>
                <w:kern w:val="28"/>
                <w:sz w:val="18"/>
                <w:szCs w:val="18"/>
                <w:lang w:val="en-US"/>
              </w:rPr>
              <w:t>Secretary</w:t>
            </w:r>
            <w:r w:rsidRPr="00A92017">
              <w:rPr>
                <w:rFonts w:ascii="Arial" w:hAnsi="Arial" w:cs="Arial"/>
                <w:kern w:val="28"/>
                <w:sz w:val="18"/>
                <w:szCs w:val="18"/>
                <w:lang w:val="en-US"/>
              </w:rPr>
              <w:t xml:space="preserve"> of Health                                </w:t>
            </w:r>
            <w:r>
              <w:rPr>
                <w:rFonts w:ascii="Arial" w:hAnsi="Arial" w:cs="Arial"/>
                <w:kern w:val="28"/>
                <w:sz w:val="18"/>
                <w:szCs w:val="18"/>
                <w:lang w:val="en-US"/>
              </w:rPr>
              <w:t xml:space="preserve">                             Executive Manager Corporate Services</w:t>
            </w:r>
          </w:p>
          <w:p w:rsidR="00593F85" w:rsidRPr="00A92017" w:rsidRDefault="00593F85" w:rsidP="00BD0D30">
            <w:pPr>
              <w:tabs>
                <w:tab w:val="left" w:pos="4958"/>
              </w:tabs>
              <w:spacing w:before="120"/>
              <w:jc w:val="both"/>
              <w:rPr>
                <w:rFonts w:ascii="Arial" w:hAnsi="Arial" w:cs="Arial"/>
                <w:kern w:val="28"/>
                <w:sz w:val="18"/>
                <w:szCs w:val="18"/>
                <w:lang w:val="en-US"/>
              </w:rPr>
            </w:pPr>
            <w:r w:rsidRPr="00A92017">
              <w:rPr>
                <w:rFonts w:ascii="Arial" w:hAnsi="Arial" w:cs="Arial"/>
                <w:kern w:val="28"/>
                <w:sz w:val="18"/>
                <w:szCs w:val="18"/>
                <w:lang w:val="en-US"/>
              </w:rPr>
              <w:t xml:space="preserve">Name: </w:t>
            </w:r>
            <w:r>
              <w:rPr>
                <w:rFonts w:ascii="Arial" w:hAnsi="Arial" w:cs="Arial"/>
                <w:kern w:val="28"/>
                <w:sz w:val="18"/>
                <w:szCs w:val="18"/>
                <w:lang w:val="en-US"/>
              </w:rPr>
              <w:t xml:space="preserve">Mr. Pascoe </w:t>
            </w:r>
            <w:proofErr w:type="spellStart"/>
            <w:r>
              <w:rPr>
                <w:rFonts w:ascii="Arial" w:hAnsi="Arial" w:cs="Arial"/>
                <w:kern w:val="28"/>
                <w:sz w:val="18"/>
                <w:szCs w:val="18"/>
                <w:lang w:val="en-US"/>
              </w:rPr>
              <w:t>Kase</w:t>
            </w:r>
            <w:proofErr w:type="spellEnd"/>
            <w:r w:rsidRPr="00A92017">
              <w:rPr>
                <w:rFonts w:ascii="Arial" w:hAnsi="Arial" w:cs="Arial"/>
                <w:kern w:val="28"/>
                <w:sz w:val="18"/>
                <w:szCs w:val="18"/>
                <w:lang w:val="en-US"/>
              </w:rPr>
              <w:t xml:space="preserve">                       </w:t>
            </w:r>
            <w:r>
              <w:rPr>
                <w:rFonts w:ascii="Arial" w:hAnsi="Arial" w:cs="Arial"/>
                <w:kern w:val="28"/>
                <w:sz w:val="18"/>
                <w:szCs w:val="18"/>
                <w:lang w:val="en-US"/>
              </w:rPr>
              <w:t xml:space="preserve">                              </w:t>
            </w:r>
            <w:r w:rsidRPr="00A92017">
              <w:rPr>
                <w:rFonts w:ascii="Arial" w:hAnsi="Arial" w:cs="Arial"/>
                <w:kern w:val="28"/>
                <w:sz w:val="18"/>
                <w:szCs w:val="18"/>
                <w:lang w:val="en-US"/>
              </w:rPr>
              <w:t>Name:</w:t>
            </w:r>
            <w:r>
              <w:rPr>
                <w:rFonts w:ascii="Arial" w:hAnsi="Arial" w:cs="Arial"/>
                <w:kern w:val="28"/>
                <w:sz w:val="18"/>
                <w:szCs w:val="18"/>
                <w:lang w:val="en-US"/>
              </w:rPr>
              <w:t xml:space="preserve"> Mr. Paul </w:t>
            </w:r>
            <w:proofErr w:type="spellStart"/>
            <w:r>
              <w:rPr>
                <w:rFonts w:ascii="Arial" w:hAnsi="Arial" w:cs="Arial"/>
                <w:kern w:val="28"/>
                <w:sz w:val="18"/>
                <w:szCs w:val="18"/>
                <w:lang w:val="en-US"/>
              </w:rPr>
              <w:t>Dopsie</w:t>
            </w:r>
            <w:proofErr w:type="spellEnd"/>
          </w:p>
          <w:p w:rsidR="00593F85" w:rsidRPr="00A92017" w:rsidRDefault="00593F85" w:rsidP="005714BB">
            <w:pPr>
              <w:spacing w:before="120"/>
              <w:jc w:val="both"/>
              <w:rPr>
                <w:rFonts w:ascii="Arial" w:hAnsi="Arial" w:cs="Arial"/>
                <w:kern w:val="28"/>
                <w:sz w:val="18"/>
                <w:szCs w:val="18"/>
                <w:lang w:val="en-US"/>
              </w:rPr>
            </w:pPr>
            <w:r w:rsidRPr="00A92017">
              <w:rPr>
                <w:rFonts w:ascii="Arial" w:hAnsi="Arial" w:cs="Arial"/>
                <w:kern w:val="28"/>
                <w:sz w:val="18"/>
                <w:szCs w:val="18"/>
                <w:lang w:val="en-US"/>
              </w:rPr>
              <w:t xml:space="preserve">Signature:                                                                           Signature: </w:t>
            </w:r>
          </w:p>
          <w:p w:rsidR="00593F85" w:rsidRPr="00A92017" w:rsidRDefault="00593F85" w:rsidP="005714BB">
            <w:pPr>
              <w:spacing w:before="120"/>
              <w:jc w:val="both"/>
              <w:rPr>
                <w:rFonts w:ascii="Arial" w:hAnsi="Arial" w:cs="Arial"/>
                <w:kern w:val="28"/>
                <w:sz w:val="18"/>
                <w:szCs w:val="18"/>
                <w:lang w:val="en-US"/>
              </w:rPr>
            </w:pPr>
            <w:r w:rsidRPr="00A92017">
              <w:rPr>
                <w:rFonts w:ascii="Arial" w:hAnsi="Arial" w:cs="Arial"/>
                <w:kern w:val="28"/>
                <w:sz w:val="18"/>
                <w:szCs w:val="18"/>
                <w:lang w:val="en-US"/>
              </w:rPr>
              <w:t>Date:                                                                                   Date:</w:t>
            </w:r>
          </w:p>
          <w:p w:rsidR="00593F85" w:rsidRPr="00A92017" w:rsidRDefault="00593F85" w:rsidP="005714BB">
            <w:pPr>
              <w:jc w:val="both"/>
              <w:rPr>
                <w:rFonts w:ascii="Arial" w:hAnsi="Arial" w:cs="Arial"/>
                <w:sz w:val="18"/>
                <w:szCs w:val="18"/>
              </w:rPr>
            </w:pPr>
          </w:p>
          <w:p w:rsidR="00593F85" w:rsidRPr="00A92017" w:rsidRDefault="00593F85" w:rsidP="005714BB">
            <w:pPr>
              <w:jc w:val="both"/>
              <w:rPr>
                <w:rFonts w:ascii="Arial" w:hAnsi="Arial" w:cs="Arial"/>
                <w:color w:val="FF0000"/>
              </w:rPr>
            </w:pPr>
            <w:r w:rsidRPr="00A92017">
              <w:rPr>
                <w:rFonts w:ascii="Arial" w:hAnsi="Arial" w:cs="Arial"/>
                <w:sz w:val="18"/>
                <w:szCs w:val="18"/>
              </w:rPr>
              <w:t>For more information on GAVI eligibility, please refer</w:t>
            </w:r>
            <w:r w:rsidRPr="00A92017">
              <w:rPr>
                <w:rFonts w:ascii="Arial" w:hAnsi="Arial" w:cs="Arial"/>
                <w:b/>
                <w:i/>
                <w:sz w:val="18"/>
                <w:szCs w:val="18"/>
              </w:rPr>
              <w:t xml:space="preserve"> </w:t>
            </w:r>
            <w:r w:rsidRPr="00A92017">
              <w:rPr>
                <w:rFonts w:ascii="Arial" w:hAnsi="Arial" w:cs="Arial"/>
                <w:sz w:val="18"/>
                <w:szCs w:val="18"/>
              </w:rPr>
              <w:t>to</w:t>
            </w:r>
            <w:r w:rsidRPr="00A92017">
              <w:rPr>
                <w:rFonts w:ascii="Arial" w:hAnsi="Arial" w:cs="Arial"/>
                <w:b/>
                <w:i/>
                <w:sz w:val="18"/>
                <w:szCs w:val="18"/>
              </w:rPr>
              <w:t xml:space="preserve"> </w:t>
            </w:r>
            <w:r w:rsidRPr="00A92017">
              <w:rPr>
                <w:rFonts w:ascii="Arial" w:hAnsi="Arial" w:cs="Arial"/>
                <w:sz w:val="18"/>
                <w:szCs w:val="18"/>
              </w:rPr>
              <w:t xml:space="preserve">the following </w:t>
            </w:r>
            <w:hyperlink r:id="rId11" w:history="1">
              <w:r w:rsidRPr="00A92017">
                <w:rPr>
                  <w:rStyle w:val="Hyperlink"/>
                  <w:rFonts w:ascii="Arial" w:hAnsi="Arial" w:cs="Arial"/>
                  <w:sz w:val="18"/>
                  <w:szCs w:val="18"/>
                </w:rPr>
                <w:t>document</w:t>
              </w:r>
            </w:hyperlink>
            <w:r w:rsidRPr="00A92017">
              <w:rPr>
                <w:rFonts w:ascii="Arial" w:hAnsi="Arial" w:cs="Arial"/>
                <w:sz w:val="18"/>
                <w:szCs w:val="18"/>
              </w:rPr>
              <w:t>.</w:t>
            </w:r>
          </w:p>
        </w:tc>
      </w:tr>
    </w:tbl>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p w:rsidR="00593F85" w:rsidRDefault="00593F85" w:rsidP="00EE5F8E">
      <w:pPr>
        <w:spacing w:before="120" w:after="120"/>
        <w:rPr>
          <w:rFonts w:ascii="Arial" w:hAnsi="Arial" w:cs="Arial"/>
          <w:b/>
          <w:bCs/>
        </w:rPr>
      </w:pPr>
    </w:p>
    <w:tbl>
      <w:tblPr>
        <w:tblW w:w="4963" w:type="pct"/>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ook w:val="0000" w:firstRow="0" w:lastRow="0" w:firstColumn="0" w:lastColumn="0" w:noHBand="0" w:noVBand="0"/>
      </w:tblPr>
      <w:tblGrid>
        <w:gridCol w:w="9174"/>
      </w:tblGrid>
      <w:tr w:rsidR="00593F85" w:rsidRPr="00A92017" w:rsidTr="00C97A35">
        <w:trPr>
          <w:trHeight w:val="437"/>
        </w:trPr>
        <w:tc>
          <w:tcPr>
            <w:tcW w:w="5000" w:type="pct"/>
            <w:tcBorders>
              <w:top w:val="nil"/>
              <w:left w:val="nil"/>
              <w:bottom w:val="nil"/>
              <w:right w:val="nil"/>
            </w:tcBorders>
            <w:shd w:val="clear" w:color="auto" w:fill="31849B"/>
            <w:vAlign w:val="center"/>
          </w:tcPr>
          <w:p w:rsidR="00593F85" w:rsidRPr="00A92017" w:rsidRDefault="00593F85" w:rsidP="001065CE">
            <w:pPr>
              <w:spacing w:before="60" w:after="60"/>
              <w:rPr>
                <w:rFonts w:ascii="Arial" w:hAnsi="Arial" w:cs="Arial"/>
                <w:b/>
                <w:i/>
                <w:sz w:val="20"/>
              </w:rPr>
            </w:pPr>
          </w:p>
        </w:tc>
      </w:tr>
    </w:tbl>
    <w:p w:rsidR="00593F85" w:rsidRDefault="00593F85" w:rsidP="00EE5F8E">
      <w:pPr>
        <w:rPr>
          <w:rFonts w:ascii="Arial" w:hAnsi="Arial" w:cs="Arial"/>
        </w:rPr>
      </w:pPr>
    </w:p>
    <w:p w:rsidR="00593F85" w:rsidRPr="001065CE" w:rsidRDefault="00593F85" w:rsidP="00EE5F8E">
      <w:pPr>
        <w:rPr>
          <w:rFonts w:ascii="Arial" w:hAnsi="Arial" w:cs="Arial"/>
        </w:rPr>
      </w:pPr>
      <w:r w:rsidRPr="001065CE">
        <w:rPr>
          <w:rFonts w:ascii="Arial" w:hAnsi="Arial" w:cs="Arial"/>
        </w:rPr>
        <w:sym w:font="Wingdings" w:char="F0E0"/>
      </w:r>
      <w:r w:rsidRPr="001065CE">
        <w:rPr>
          <w:rFonts w:ascii="Arial" w:hAnsi="Arial" w:cs="Arial"/>
        </w:rPr>
        <w:t>Please fill in the below table outlining all HSS support from external funders.  Please add columns as needed for additional external funders.</w:t>
      </w:r>
    </w:p>
    <w:p w:rsidR="00862BAA" w:rsidRDefault="00593F85" w:rsidP="00862BAA">
      <w:pPr>
        <w:spacing w:before="120" w:after="120"/>
        <w:rPr>
          <w:rFonts w:ascii="Arial" w:hAnsi="Arial" w:cs="Arial"/>
        </w:rPr>
      </w:pPr>
      <w:r w:rsidRPr="001065CE">
        <w:rPr>
          <w:rFonts w:ascii="Arial" w:hAnsi="Arial" w:cs="Arial"/>
        </w:rPr>
        <w:t xml:space="preserve">Countries should fill in </w:t>
      </w:r>
      <w:r>
        <w:rPr>
          <w:rFonts w:ascii="Arial" w:hAnsi="Arial" w:cs="Arial"/>
        </w:rPr>
        <w:t>the table below</w:t>
      </w:r>
      <w:r w:rsidRPr="001065CE">
        <w:rPr>
          <w:rFonts w:ascii="Arial" w:hAnsi="Arial" w:cs="Arial"/>
        </w:rPr>
        <w:t xml:space="preserve"> to include all HSS efforts supported by existing HSS g</w:t>
      </w:r>
      <w:r>
        <w:rPr>
          <w:rFonts w:ascii="Arial" w:hAnsi="Arial" w:cs="Arial"/>
        </w:rPr>
        <w:t>rants from each external funder</w:t>
      </w:r>
      <w:r w:rsidRPr="001065CE">
        <w:rPr>
          <w:rFonts w:ascii="Arial" w:hAnsi="Arial" w:cs="Arial"/>
        </w:rPr>
        <w:t>.  For the timeframe section, countries should include the full period of the grants, including start year and end year.  Funding amount should include the total amount of each HSS grant in US Dollars.  Areas of support should capture the HSS objectives for each respective grant.  Information for the Geographic location section should describe where HSS activities are taking place for the respective grant; whether at the national or regional level, and th</w:t>
      </w:r>
      <w:r w:rsidR="00862BAA">
        <w:rPr>
          <w:rFonts w:ascii="Arial" w:hAnsi="Arial" w:cs="Arial"/>
        </w:rPr>
        <w:t>e type and number of districts.</w:t>
      </w:r>
    </w:p>
    <w:p w:rsidR="00862BAA" w:rsidRPr="006339F9" w:rsidRDefault="00862BAA" w:rsidP="00862BAA">
      <w:pPr>
        <w:spacing w:before="120" w:after="120"/>
        <w:rPr>
          <w:rFonts w:ascii="Arial" w:hAnsi="Arial" w:cs="Arial"/>
          <w:color w:val="1F497D"/>
          <w:u w:val="single"/>
        </w:rPr>
      </w:pPr>
      <w:r w:rsidRPr="006339F9">
        <w:rPr>
          <w:rFonts w:ascii="Arial" w:hAnsi="Arial" w:cs="Arial"/>
          <w:color w:val="1F497D"/>
          <w:u w:val="single"/>
        </w:rPr>
        <w:t>Response:</w:t>
      </w:r>
    </w:p>
    <w:p w:rsidR="00862BAA" w:rsidRDefault="00862BAA" w:rsidP="00862BAA">
      <w:pPr>
        <w:spacing w:before="120" w:after="120"/>
        <w:rPr>
          <w:rFonts w:ascii="Arial" w:hAnsi="Arial" w:cs="Arial"/>
        </w:rPr>
      </w:pPr>
      <w:r>
        <w:rPr>
          <w:rFonts w:ascii="Arial" w:hAnsi="Arial" w:cs="Arial"/>
        </w:rPr>
        <w:t>A comprehensive list of External Funding on HSS in PNG is provided below:</w:t>
      </w:r>
    </w:p>
    <w:p w:rsidR="00862BAA" w:rsidRPr="0094019C" w:rsidRDefault="00862BAA" w:rsidP="00862BAA">
      <w:pPr>
        <w:pStyle w:val="ListParagraph"/>
        <w:numPr>
          <w:ilvl w:val="1"/>
          <w:numId w:val="2"/>
        </w:numPr>
        <w:spacing w:after="0" w:line="240" w:lineRule="auto"/>
        <w:contextualSpacing w:val="0"/>
        <w:rPr>
          <w:rFonts w:ascii="Arial" w:hAnsi="Arial" w:cs="Arial"/>
        </w:rPr>
      </w:pPr>
      <w:r w:rsidRPr="0094019C">
        <w:rPr>
          <w:rFonts w:ascii="Arial" w:hAnsi="Arial" w:cs="Arial"/>
        </w:rPr>
        <w:t>The Rural Primary Health service Delivery Project ($80 million)</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Timeframe- 2011 to 2019 (starting was delayed to 2012</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ADB - 20 million loan</w:t>
      </w:r>
    </w:p>
    <w:p w:rsidR="00862BAA" w:rsidRPr="0094019C" w:rsidRDefault="00862BAA" w:rsidP="00862BAA">
      <w:pPr>
        <w:pStyle w:val="ListParagraph"/>
        <w:numPr>
          <w:ilvl w:val="2"/>
          <w:numId w:val="2"/>
        </w:numPr>
        <w:spacing w:after="0" w:line="240" w:lineRule="auto"/>
        <w:contextualSpacing w:val="0"/>
        <w:rPr>
          <w:rFonts w:ascii="Arial" w:hAnsi="Arial" w:cs="Arial"/>
        </w:rPr>
      </w:pPr>
      <w:proofErr w:type="spellStart"/>
      <w:r w:rsidRPr="0094019C">
        <w:rPr>
          <w:rFonts w:ascii="Arial" w:hAnsi="Arial" w:cs="Arial"/>
        </w:rPr>
        <w:t>AuSAID</w:t>
      </w:r>
      <w:proofErr w:type="spellEnd"/>
      <w:r w:rsidRPr="0094019C">
        <w:rPr>
          <w:rFonts w:ascii="Arial" w:hAnsi="Arial" w:cs="Arial"/>
        </w:rPr>
        <w:t xml:space="preserve"> – 40 million grant</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OPEC/OFID - $9 million</w:t>
      </w:r>
    </w:p>
    <w:p w:rsidR="00862BAA" w:rsidRPr="0094019C" w:rsidRDefault="00862BAA" w:rsidP="00862BAA">
      <w:pPr>
        <w:pStyle w:val="ListParagraph"/>
        <w:numPr>
          <w:ilvl w:val="2"/>
          <w:numId w:val="2"/>
        </w:numPr>
        <w:spacing w:after="0" w:line="240" w:lineRule="auto"/>
        <w:contextualSpacing w:val="0"/>
        <w:rPr>
          <w:rFonts w:ascii="Arial" w:hAnsi="Arial" w:cs="Arial"/>
        </w:rPr>
      </w:pPr>
      <w:proofErr w:type="spellStart"/>
      <w:r w:rsidRPr="0094019C">
        <w:rPr>
          <w:rFonts w:ascii="Arial" w:hAnsi="Arial" w:cs="Arial"/>
        </w:rPr>
        <w:t>GoPNG</w:t>
      </w:r>
      <w:proofErr w:type="spellEnd"/>
      <w:r w:rsidRPr="0094019C">
        <w:rPr>
          <w:rFonts w:ascii="Arial" w:hAnsi="Arial" w:cs="Arial"/>
        </w:rPr>
        <w:t xml:space="preserve"> – 10 million</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WHO - $3 million (staff full time equivalent I technical inputs</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 xml:space="preserve">Areas of support – Strengthening health service Delivery with HSS related output areas: </w:t>
      </w:r>
    </w:p>
    <w:p w:rsidR="00862BAA" w:rsidRPr="0094019C" w:rsidRDefault="00862BAA" w:rsidP="00862BAA">
      <w:pPr>
        <w:pStyle w:val="ListParagraph"/>
        <w:numPr>
          <w:ilvl w:val="3"/>
          <w:numId w:val="2"/>
        </w:numPr>
        <w:spacing w:after="0" w:line="240" w:lineRule="auto"/>
        <w:contextualSpacing w:val="0"/>
        <w:rPr>
          <w:rFonts w:ascii="Arial" w:hAnsi="Arial" w:cs="Arial"/>
        </w:rPr>
      </w:pPr>
      <w:r w:rsidRPr="0094019C">
        <w:rPr>
          <w:rFonts w:ascii="Arial" w:hAnsi="Arial" w:cs="Arial"/>
        </w:rPr>
        <w:t xml:space="preserve">Output 1: National Policies and Standards – HRH, Community health post Policy &amp; NHIS; </w:t>
      </w:r>
    </w:p>
    <w:p w:rsidR="00862BAA" w:rsidRPr="0094019C" w:rsidRDefault="00862BAA" w:rsidP="00862BAA">
      <w:pPr>
        <w:pStyle w:val="ListParagraph"/>
        <w:numPr>
          <w:ilvl w:val="3"/>
          <w:numId w:val="2"/>
        </w:numPr>
        <w:spacing w:after="0" w:line="240" w:lineRule="auto"/>
        <w:contextualSpacing w:val="0"/>
        <w:rPr>
          <w:rFonts w:ascii="Arial" w:hAnsi="Arial" w:cs="Arial"/>
        </w:rPr>
      </w:pPr>
      <w:r w:rsidRPr="0094019C">
        <w:rPr>
          <w:rFonts w:ascii="Arial" w:hAnsi="Arial" w:cs="Arial"/>
        </w:rPr>
        <w:t>Output 2: Sustainable Partnerships between Provinces and Non-s</w:t>
      </w:r>
      <w:bookmarkStart w:id="0" w:name="_GoBack"/>
      <w:bookmarkEnd w:id="0"/>
      <w:r w:rsidRPr="0094019C">
        <w:rPr>
          <w:rFonts w:ascii="Arial" w:hAnsi="Arial" w:cs="Arial"/>
        </w:rPr>
        <w:t xml:space="preserve">tate Actors </w:t>
      </w:r>
    </w:p>
    <w:p w:rsidR="00862BAA" w:rsidRPr="0094019C" w:rsidRDefault="00862BAA" w:rsidP="00862BAA">
      <w:pPr>
        <w:pStyle w:val="ListParagraph"/>
        <w:numPr>
          <w:ilvl w:val="3"/>
          <w:numId w:val="2"/>
        </w:numPr>
        <w:spacing w:after="0" w:line="240" w:lineRule="auto"/>
        <w:contextualSpacing w:val="0"/>
        <w:rPr>
          <w:rFonts w:ascii="Arial" w:hAnsi="Arial" w:cs="Arial"/>
        </w:rPr>
      </w:pPr>
      <w:r w:rsidRPr="0094019C">
        <w:rPr>
          <w:rFonts w:ascii="Arial" w:hAnsi="Arial" w:cs="Arial"/>
        </w:rPr>
        <w:t>Output 3: Human resources Development in the Health sector – HR Capacity and skills audit</w:t>
      </w:r>
    </w:p>
    <w:p w:rsidR="00862BAA" w:rsidRPr="0094019C" w:rsidRDefault="00862BAA" w:rsidP="00862BAA">
      <w:pPr>
        <w:pStyle w:val="ListParagraph"/>
        <w:numPr>
          <w:ilvl w:val="3"/>
          <w:numId w:val="2"/>
        </w:numPr>
        <w:spacing w:after="0" w:line="240" w:lineRule="auto"/>
        <w:contextualSpacing w:val="0"/>
        <w:rPr>
          <w:rFonts w:ascii="Arial" w:hAnsi="Arial" w:cs="Arial"/>
        </w:rPr>
      </w:pPr>
      <w:r w:rsidRPr="0094019C">
        <w:rPr>
          <w:rFonts w:ascii="Arial" w:hAnsi="Arial" w:cs="Arial"/>
        </w:rPr>
        <w:t xml:space="preserve">Output 4: Community Health Post upgrading – facility construction, medical equipment </w:t>
      </w:r>
    </w:p>
    <w:p w:rsidR="00862BAA" w:rsidRPr="0094019C" w:rsidRDefault="00862BAA" w:rsidP="00862BAA">
      <w:pPr>
        <w:pStyle w:val="ListParagraph"/>
        <w:numPr>
          <w:ilvl w:val="3"/>
          <w:numId w:val="2"/>
        </w:numPr>
        <w:spacing w:after="0" w:line="240" w:lineRule="auto"/>
        <w:contextualSpacing w:val="0"/>
        <w:rPr>
          <w:rFonts w:ascii="Arial" w:hAnsi="Arial" w:cs="Arial"/>
        </w:rPr>
      </w:pPr>
      <w:r w:rsidRPr="0094019C">
        <w:rPr>
          <w:rFonts w:ascii="Arial" w:hAnsi="Arial" w:cs="Arial"/>
        </w:rPr>
        <w:t>Output 5: Is not HSS: Health promotion in local communities</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Geographic location: National (</w:t>
      </w:r>
      <w:proofErr w:type="spellStart"/>
      <w:r w:rsidRPr="0094019C">
        <w:rPr>
          <w:rFonts w:ascii="Arial" w:hAnsi="Arial" w:cs="Arial"/>
        </w:rPr>
        <w:t>NDoH</w:t>
      </w:r>
      <w:proofErr w:type="spellEnd"/>
      <w:r w:rsidRPr="0094019C">
        <w:rPr>
          <w:rFonts w:ascii="Arial" w:hAnsi="Arial" w:cs="Arial"/>
        </w:rPr>
        <w:t xml:space="preserve">) and Subnational focus targeting 16 Districts in 8 Provinces (Western Highlands; </w:t>
      </w:r>
      <w:proofErr w:type="spellStart"/>
      <w:r w:rsidRPr="0094019C">
        <w:rPr>
          <w:rFonts w:ascii="Arial" w:hAnsi="Arial" w:cs="Arial"/>
        </w:rPr>
        <w:t>Enga</w:t>
      </w:r>
      <w:proofErr w:type="spellEnd"/>
      <w:r w:rsidRPr="0094019C">
        <w:rPr>
          <w:rFonts w:ascii="Arial" w:hAnsi="Arial" w:cs="Arial"/>
        </w:rPr>
        <w:t xml:space="preserve">, Eastern Highlands, </w:t>
      </w:r>
      <w:proofErr w:type="spellStart"/>
      <w:r w:rsidRPr="0094019C">
        <w:rPr>
          <w:rFonts w:ascii="Arial" w:hAnsi="Arial" w:cs="Arial"/>
        </w:rPr>
        <w:t>Morobe</w:t>
      </w:r>
      <w:proofErr w:type="spellEnd"/>
      <w:r w:rsidRPr="0094019C">
        <w:rPr>
          <w:rFonts w:ascii="Arial" w:hAnsi="Arial" w:cs="Arial"/>
        </w:rPr>
        <w:t xml:space="preserve">, East Sepik, West New Britain, Milne Bay, Autonomous Region of Bougainville) </w:t>
      </w:r>
    </w:p>
    <w:p w:rsidR="00862BAA" w:rsidRPr="0094019C" w:rsidRDefault="00862BAA" w:rsidP="00862BAA">
      <w:pPr>
        <w:pStyle w:val="ListParagraph"/>
        <w:numPr>
          <w:ilvl w:val="1"/>
          <w:numId w:val="2"/>
        </w:numPr>
        <w:spacing w:after="0" w:line="240" w:lineRule="auto"/>
        <w:contextualSpacing w:val="0"/>
        <w:rPr>
          <w:rFonts w:ascii="Arial" w:hAnsi="Arial" w:cs="Arial"/>
        </w:rPr>
      </w:pPr>
      <w:r w:rsidRPr="0094019C">
        <w:rPr>
          <w:rFonts w:ascii="Arial" w:hAnsi="Arial" w:cs="Arial"/>
        </w:rPr>
        <w:t xml:space="preserve"> WHO- </w:t>
      </w:r>
      <w:proofErr w:type="spellStart"/>
      <w:r w:rsidRPr="0094019C">
        <w:rPr>
          <w:rFonts w:ascii="Arial" w:hAnsi="Arial" w:cs="Arial"/>
        </w:rPr>
        <w:t>AusAID</w:t>
      </w:r>
      <w:proofErr w:type="spellEnd"/>
      <w:r w:rsidRPr="0094019C">
        <w:rPr>
          <w:rFonts w:ascii="Arial" w:hAnsi="Arial" w:cs="Arial"/>
        </w:rPr>
        <w:t xml:space="preserve"> Partnership Financing</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Time Frame: 2012-2015</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Funding amount: Budget for HSS component: $2,383,000</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Areas of support: Health financing; Monitoring, Evaluation and Research; HRH, health laboratories and pharmaceuticals;</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Geographic Focus: National</w:t>
      </w:r>
    </w:p>
    <w:p w:rsidR="00862BAA" w:rsidRPr="0094019C" w:rsidRDefault="00862BAA" w:rsidP="00862BAA">
      <w:pPr>
        <w:pStyle w:val="ListParagraph"/>
        <w:numPr>
          <w:ilvl w:val="1"/>
          <w:numId w:val="2"/>
        </w:numPr>
        <w:spacing w:after="0" w:line="240" w:lineRule="auto"/>
        <w:contextualSpacing w:val="0"/>
        <w:rPr>
          <w:rFonts w:ascii="Arial" w:hAnsi="Arial" w:cs="Arial"/>
        </w:rPr>
      </w:pPr>
      <w:r w:rsidRPr="0094019C">
        <w:rPr>
          <w:rFonts w:ascii="Arial" w:hAnsi="Arial" w:cs="Arial"/>
        </w:rPr>
        <w:t xml:space="preserve">KOICA – is rehabilitating or upgrading health infrastructure </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Time frame originally: 2010-2013</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Funding amount: $5.5 million</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Areas of support: Rehabilitation/Construction of 2 District Health centres, District management capacity building and provision of medical equipment</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 xml:space="preserve">Geographic location: 2 Districts in 2 provinces (Central Province and Eastern Highlands Province) </w:t>
      </w:r>
    </w:p>
    <w:p w:rsidR="00862BAA" w:rsidRPr="0094019C" w:rsidRDefault="00862BAA" w:rsidP="00862BAA">
      <w:pPr>
        <w:pStyle w:val="ListParagraph"/>
        <w:numPr>
          <w:ilvl w:val="1"/>
          <w:numId w:val="2"/>
        </w:numPr>
        <w:spacing w:after="0" w:line="240" w:lineRule="auto"/>
        <w:contextualSpacing w:val="0"/>
        <w:rPr>
          <w:rFonts w:ascii="Arial" w:hAnsi="Arial" w:cs="Arial"/>
        </w:rPr>
      </w:pPr>
      <w:r w:rsidRPr="0094019C">
        <w:rPr>
          <w:rFonts w:ascii="Arial" w:hAnsi="Arial" w:cs="Arial"/>
        </w:rPr>
        <w:t>Global Fund Round 10: Health system component</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lastRenderedPageBreak/>
        <w:t>Time Frame: 2011-2016</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Funding amount: $4 million</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Areas of support: Strengthening District Management capacity and rehabilitation of 6 Area Medical Stores</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 xml:space="preserve">Geographic location: National </w:t>
      </w:r>
    </w:p>
    <w:p w:rsidR="00862BAA" w:rsidRPr="0094019C" w:rsidRDefault="00862BAA" w:rsidP="00862BAA">
      <w:pPr>
        <w:pStyle w:val="ListParagraph"/>
        <w:numPr>
          <w:ilvl w:val="1"/>
          <w:numId w:val="2"/>
        </w:numPr>
        <w:spacing w:after="0" w:line="240" w:lineRule="auto"/>
        <w:contextualSpacing w:val="0"/>
        <w:rPr>
          <w:rFonts w:ascii="Arial" w:hAnsi="Arial" w:cs="Arial"/>
        </w:rPr>
      </w:pPr>
      <w:r w:rsidRPr="0094019C">
        <w:rPr>
          <w:rFonts w:ascii="Arial" w:hAnsi="Arial" w:cs="Arial"/>
        </w:rPr>
        <w:t>Commission on Information and Accountability (COIA) Women’s and Children’s Health – coordinated by WHO</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Time frame: 2012-2013</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Funding: total $250 000 catalytic funding (of which $220 000 is directly related to HSS)</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 xml:space="preserve">Areas of support: Monitoring of Results –M&amp;E; Monitoring of Resources – National Health Accounts &amp; RMNCH Sub accounts; Civil Registration and Vital Statistics </w:t>
      </w:r>
    </w:p>
    <w:p w:rsidR="00862BAA" w:rsidRPr="0094019C" w:rsidRDefault="00862BAA" w:rsidP="00862BAA">
      <w:pPr>
        <w:pStyle w:val="ListParagraph"/>
        <w:numPr>
          <w:ilvl w:val="2"/>
          <w:numId w:val="2"/>
        </w:numPr>
        <w:spacing w:after="0" w:line="240" w:lineRule="auto"/>
        <w:contextualSpacing w:val="0"/>
        <w:rPr>
          <w:rFonts w:ascii="Arial" w:hAnsi="Arial" w:cs="Arial"/>
        </w:rPr>
      </w:pPr>
      <w:r w:rsidRPr="0094019C">
        <w:rPr>
          <w:rFonts w:ascii="Arial" w:hAnsi="Arial" w:cs="Arial"/>
        </w:rPr>
        <w:t>Geographic location: National</w:t>
      </w:r>
    </w:p>
    <w:p w:rsidR="00862BAA" w:rsidRDefault="00862BAA" w:rsidP="00862BAA">
      <w:pPr>
        <w:rPr>
          <w:color w:val="1F497D"/>
        </w:rPr>
      </w:pPr>
    </w:p>
    <w:p w:rsidR="00862BAA" w:rsidRDefault="00862BAA" w:rsidP="00862BAA"/>
    <w:p w:rsidR="00862BAA" w:rsidRDefault="00862BAA" w:rsidP="00862BAA">
      <w:pPr>
        <w:spacing w:before="120" w:after="120"/>
        <w:rPr>
          <w:rFonts w:ascii="Arial" w:hAnsi="Arial" w:cs="Arial"/>
        </w:rPr>
        <w:sectPr w:rsidR="00862BAA" w:rsidSect="00592614">
          <w:pgSz w:w="11906" w:h="16838"/>
          <w:pgMar w:top="1440" w:right="1440" w:bottom="1440" w:left="1440" w:header="708" w:footer="708" w:gutter="0"/>
          <w:cols w:space="708"/>
          <w:docGrid w:linePitch="360"/>
        </w:sectPr>
      </w:pPr>
    </w:p>
    <w:p w:rsidR="00593F85" w:rsidRPr="001065CE" w:rsidRDefault="00593F85" w:rsidP="005714BB">
      <w:pPr>
        <w:spacing w:before="120" w:after="120"/>
        <w:rPr>
          <w:rFonts w:ascii="Arial" w:hAnsi="Arial" w:cs="Arial"/>
        </w:rPr>
      </w:pPr>
    </w:p>
    <w:tbl>
      <w:tblPr>
        <w:tblW w:w="14754" w:type="dxa"/>
        <w:tblLayout w:type="fixed"/>
        <w:tblCellMar>
          <w:left w:w="0" w:type="dxa"/>
          <w:right w:w="0" w:type="dxa"/>
        </w:tblCellMar>
        <w:tblLook w:val="00A0" w:firstRow="1" w:lastRow="0" w:firstColumn="1" w:lastColumn="0" w:noHBand="0" w:noVBand="0"/>
      </w:tblPr>
      <w:tblGrid>
        <w:gridCol w:w="880"/>
        <w:gridCol w:w="1391"/>
        <w:gridCol w:w="1050"/>
        <w:gridCol w:w="992"/>
        <w:gridCol w:w="1191"/>
        <w:gridCol w:w="1621"/>
        <w:gridCol w:w="1411"/>
        <w:gridCol w:w="1589"/>
        <w:gridCol w:w="1191"/>
        <w:gridCol w:w="1185"/>
        <w:gridCol w:w="751"/>
        <w:gridCol w:w="751"/>
        <w:gridCol w:w="751"/>
      </w:tblGrid>
      <w:tr w:rsidR="00593F85" w:rsidRPr="00A92017" w:rsidTr="006901CA">
        <w:trPr>
          <w:trHeight w:val="1218"/>
        </w:trPr>
        <w:tc>
          <w:tcPr>
            <w:tcW w:w="14754" w:type="dxa"/>
            <w:gridSpan w:val="13"/>
            <w:tcBorders>
              <w:top w:val="single" w:sz="8" w:space="0" w:color="333333"/>
              <w:left w:val="single" w:sz="8" w:space="0" w:color="333333"/>
              <w:bottom w:val="single" w:sz="8" w:space="0" w:color="333333"/>
              <w:right w:val="single" w:sz="8" w:space="0" w:color="333333"/>
            </w:tcBorders>
            <w:shd w:val="clear" w:color="auto" w:fill="90D1DF"/>
            <w:tcMar>
              <w:top w:w="72" w:type="dxa"/>
              <w:left w:w="144" w:type="dxa"/>
              <w:bottom w:w="72" w:type="dxa"/>
              <w:right w:w="144" w:type="dxa"/>
            </w:tcMar>
          </w:tcPr>
          <w:p w:rsidR="00593F85" w:rsidRPr="00A92017" w:rsidRDefault="00593F85" w:rsidP="005714BB">
            <w:pPr>
              <w:spacing w:before="120" w:after="120"/>
              <w:rPr>
                <w:rFonts w:ascii="Arial" w:hAnsi="Arial" w:cs="Arial"/>
                <w:b/>
              </w:rPr>
            </w:pPr>
            <w:r w:rsidRPr="00A92017">
              <w:rPr>
                <w:rFonts w:ascii="Arial" w:hAnsi="Arial" w:cs="Arial"/>
                <w:b/>
              </w:rPr>
              <w:t>HSS External Funding</w:t>
            </w:r>
          </w:p>
          <w:p w:rsidR="00593F85" w:rsidRPr="00A92017" w:rsidRDefault="00593F85" w:rsidP="005714BB">
            <w:pPr>
              <w:spacing w:before="120" w:after="120"/>
              <w:rPr>
                <w:rFonts w:ascii="Arial" w:hAnsi="Arial" w:cs="Arial"/>
              </w:rPr>
            </w:pPr>
            <w:r w:rsidRPr="00A92017">
              <w:rPr>
                <w:rFonts w:ascii="Arial" w:hAnsi="Arial" w:cs="Arial"/>
              </w:rPr>
              <w:sym w:font="Wingdings" w:char="F0E0"/>
            </w:r>
            <w:r w:rsidRPr="00A92017">
              <w:rPr>
                <w:rFonts w:ascii="Arial" w:hAnsi="Arial" w:cs="Arial"/>
              </w:rPr>
              <w:t xml:space="preserve"> Please fill in the below table outlining all HSS support from external funders.  Please add columns as needed for additional external funders. </w:t>
            </w:r>
          </w:p>
        </w:tc>
      </w:tr>
      <w:tr w:rsidR="006901CA" w:rsidRPr="00A92017" w:rsidTr="006901CA">
        <w:trPr>
          <w:trHeight w:val="2730"/>
        </w:trPr>
        <w:tc>
          <w:tcPr>
            <w:tcW w:w="880"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A92017" w:rsidRDefault="00BF506C" w:rsidP="005714BB">
            <w:pPr>
              <w:spacing w:before="120" w:after="120"/>
              <w:rPr>
                <w:rFonts w:ascii="Arial" w:hAnsi="Arial" w:cs="Arial"/>
                <w:b/>
              </w:rPr>
            </w:pPr>
          </w:p>
        </w:tc>
        <w:tc>
          <w:tcPr>
            <w:tcW w:w="139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A92017" w:rsidRDefault="00BF506C" w:rsidP="005714BB">
            <w:pPr>
              <w:spacing w:before="120" w:after="120"/>
              <w:jc w:val="center"/>
              <w:rPr>
                <w:rFonts w:ascii="Arial" w:hAnsi="Arial" w:cs="Arial"/>
                <w:b/>
              </w:rPr>
            </w:pPr>
            <w:r w:rsidRPr="00D93AF1">
              <w:rPr>
                <w:rFonts w:ascii="Arial" w:hAnsi="Arial" w:cs="Arial"/>
                <w:b/>
                <w:bCs/>
              </w:rPr>
              <w:t>ADB</w:t>
            </w:r>
          </w:p>
        </w:tc>
        <w:tc>
          <w:tcPr>
            <w:tcW w:w="1050"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BF506C" w:rsidP="005714BB">
            <w:pPr>
              <w:spacing w:before="120" w:after="120"/>
              <w:jc w:val="center"/>
              <w:rPr>
                <w:rFonts w:ascii="Arial" w:hAnsi="Arial" w:cs="Arial"/>
                <w:b/>
                <w:bCs/>
              </w:rPr>
            </w:pPr>
            <w:r w:rsidRPr="00A92017">
              <w:rPr>
                <w:rFonts w:ascii="Arial" w:hAnsi="Arial" w:cs="Arial"/>
                <w:b/>
                <w:bCs/>
              </w:rPr>
              <w:t>Global Fund</w:t>
            </w:r>
          </w:p>
        </w:tc>
        <w:tc>
          <w:tcPr>
            <w:tcW w:w="992"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BF506C" w:rsidP="005714BB">
            <w:pPr>
              <w:spacing w:before="120" w:after="120"/>
              <w:jc w:val="center"/>
              <w:rPr>
                <w:rFonts w:ascii="Arial" w:hAnsi="Arial" w:cs="Arial"/>
                <w:b/>
                <w:bCs/>
              </w:rPr>
            </w:pPr>
            <w:r w:rsidRPr="00A92017">
              <w:rPr>
                <w:rFonts w:ascii="Arial" w:hAnsi="Arial" w:cs="Arial"/>
                <w:b/>
                <w:bCs/>
              </w:rPr>
              <w:t>World Bank</w:t>
            </w:r>
          </w:p>
        </w:tc>
        <w:tc>
          <w:tcPr>
            <w:tcW w:w="119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6901CA" w:rsidP="006901CA">
            <w:pPr>
              <w:spacing w:before="120" w:after="120"/>
              <w:jc w:val="center"/>
              <w:rPr>
                <w:rFonts w:ascii="Arial" w:hAnsi="Arial" w:cs="Arial"/>
                <w:b/>
                <w:bCs/>
              </w:rPr>
            </w:pPr>
            <w:proofErr w:type="spellStart"/>
            <w:r>
              <w:rPr>
                <w:rFonts w:ascii="Arial" w:hAnsi="Arial" w:cs="Arial"/>
                <w:b/>
                <w:bCs/>
              </w:rPr>
              <w:t>Aus</w:t>
            </w:r>
            <w:r w:rsidR="00BF506C" w:rsidRPr="00A92017">
              <w:rPr>
                <w:rFonts w:ascii="Arial" w:hAnsi="Arial" w:cs="Arial"/>
                <w:b/>
                <w:bCs/>
              </w:rPr>
              <w:t>AID</w:t>
            </w:r>
            <w:proofErr w:type="spellEnd"/>
          </w:p>
        </w:tc>
        <w:tc>
          <w:tcPr>
            <w:tcW w:w="162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BF506C" w:rsidP="006901CA">
            <w:pPr>
              <w:pStyle w:val="ListParagraph"/>
              <w:spacing w:after="0" w:line="240" w:lineRule="auto"/>
              <w:ind w:left="0"/>
              <w:contextualSpacing w:val="0"/>
              <w:rPr>
                <w:rFonts w:ascii="Arial" w:hAnsi="Arial" w:cs="Arial"/>
                <w:b/>
                <w:bCs/>
                <w:lang w:eastAsia="en-GB"/>
              </w:rPr>
            </w:pPr>
            <w:r w:rsidRPr="006901CA">
              <w:rPr>
                <w:rFonts w:ascii="Arial" w:hAnsi="Arial" w:cs="Arial"/>
                <w:b/>
                <w:bCs/>
                <w:lang w:eastAsia="en-GB"/>
              </w:rPr>
              <w:t>Commission o</w:t>
            </w:r>
            <w:r w:rsidR="006901CA">
              <w:rPr>
                <w:rFonts w:ascii="Arial" w:hAnsi="Arial" w:cs="Arial"/>
                <w:b/>
                <w:bCs/>
                <w:lang w:eastAsia="en-GB"/>
              </w:rPr>
              <w:t xml:space="preserve">n Information &amp; </w:t>
            </w:r>
            <w:r w:rsidRPr="006901CA">
              <w:rPr>
                <w:rFonts w:ascii="Arial" w:hAnsi="Arial" w:cs="Arial"/>
                <w:b/>
                <w:bCs/>
                <w:lang w:eastAsia="en-GB"/>
              </w:rPr>
              <w:t>Accountability (COIA</w:t>
            </w:r>
            <w:r w:rsidR="006901CA">
              <w:rPr>
                <w:rFonts w:ascii="Arial" w:hAnsi="Arial" w:cs="Arial"/>
                <w:b/>
                <w:bCs/>
                <w:lang w:eastAsia="en-GB"/>
              </w:rPr>
              <w:t xml:space="preserve">) Women’s &amp; </w:t>
            </w:r>
            <w:r w:rsidRPr="006901CA">
              <w:rPr>
                <w:rFonts w:ascii="Arial" w:hAnsi="Arial" w:cs="Arial"/>
                <w:b/>
                <w:bCs/>
                <w:lang w:eastAsia="en-GB"/>
              </w:rPr>
              <w:t>Children’s Health</w:t>
            </w:r>
          </w:p>
        </w:tc>
        <w:tc>
          <w:tcPr>
            <w:tcW w:w="141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BF506C" w:rsidP="00E97501">
            <w:pPr>
              <w:spacing w:before="120" w:after="120"/>
              <w:rPr>
                <w:rFonts w:ascii="Arial" w:hAnsi="Arial" w:cs="Arial"/>
                <w:b/>
                <w:bCs/>
              </w:rPr>
            </w:pPr>
            <w:r w:rsidRPr="006901CA">
              <w:rPr>
                <w:rFonts w:ascii="Arial" w:hAnsi="Arial" w:cs="Arial"/>
                <w:b/>
                <w:bCs/>
              </w:rPr>
              <w:t>KOICA</w:t>
            </w:r>
          </w:p>
        </w:tc>
        <w:tc>
          <w:tcPr>
            <w:tcW w:w="1589"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BF506C" w:rsidP="00BF506C">
            <w:pPr>
              <w:spacing w:before="120" w:after="120"/>
              <w:rPr>
                <w:rFonts w:ascii="Arial" w:hAnsi="Arial" w:cs="Arial"/>
                <w:b/>
                <w:bCs/>
              </w:rPr>
            </w:pPr>
            <w:r w:rsidRPr="006901CA">
              <w:rPr>
                <w:rFonts w:ascii="Arial" w:hAnsi="Arial" w:cs="Arial"/>
                <w:b/>
                <w:bCs/>
              </w:rPr>
              <w:t xml:space="preserve">WHO- </w:t>
            </w:r>
            <w:proofErr w:type="spellStart"/>
            <w:r w:rsidRPr="006901CA">
              <w:rPr>
                <w:rFonts w:ascii="Arial" w:hAnsi="Arial" w:cs="Arial"/>
                <w:b/>
                <w:bCs/>
              </w:rPr>
              <w:t>AusAID</w:t>
            </w:r>
            <w:proofErr w:type="spellEnd"/>
            <w:r w:rsidRPr="006901CA">
              <w:rPr>
                <w:rFonts w:ascii="Arial" w:hAnsi="Arial" w:cs="Arial"/>
                <w:b/>
                <w:bCs/>
              </w:rPr>
              <w:t xml:space="preserve"> Partnership Financing</w:t>
            </w:r>
          </w:p>
        </w:tc>
        <w:tc>
          <w:tcPr>
            <w:tcW w:w="119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Default="00BF506C" w:rsidP="005714BB">
            <w:pPr>
              <w:spacing w:before="120" w:after="120"/>
              <w:jc w:val="center"/>
              <w:rPr>
                <w:rFonts w:ascii="Arial" w:hAnsi="Arial" w:cs="Arial"/>
                <w:b/>
                <w:bCs/>
              </w:rPr>
            </w:pPr>
            <w:r w:rsidRPr="006901CA">
              <w:rPr>
                <w:rFonts w:ascii="Arial" w:hAnsi="Arial" w:cs="Arial"/>
                <w:b/>
                <w:bCs/>
              </w:rPr>
              <w:t>OPEC</w:t>
            </w:r>
            <w:r w:rsidR="006901CA">
              <w:rPr>
                <w:rFonts w:ascii="Arial" w:hAnsi="Arial" w:cs="Arial"/>
                <w:b/>
                <w:bCs/>
              </w:rPr>
              <w:t xml:space="preserve"> </w:t>
            </w:r>
            <w:r w:rsidRPr="006901CA">
              <w:rPr>
                <w:rFonts w:ascii="Arial" w:hAnsi="Arial" w:cs="Arial"/>
                <w:b/>
                <w:bCs/>
              </w:rPr>
              <w:t>/</w:t>
            </w:r>
          </w:p>
          <w:p w:rsidR="00BF506C" w:rsidRPr="006901CA" w:rsidRDefault="00BF506C" w:rsidP="005714BB">
            <w:pPr>
              <w:spacing w:before="120" w:after="120"/>
              <w:jc w:val="center"/>
              <w:rPr>
                <w:rFonts w:ascii="Arial" w:hAnsi="Arial" w:cs="Arial"/>
                <w:b/>
                <w:bCs/>
              </w:rPr>
            </w:pPr>
            <w:r w:rsidRPr="006901CA">
              <w:rPr>
                <w:rFonts w:ascii="Arial" w:hAnsi="Arial" w:cs="Arial"/>
                <w:b/>
                <w:bCs/>
              </w:rPr>
              <w:t>OFID</w:t>
            </w:r>
          </w:p>
        </w:tc>
        <w:tc>
          <w:tcPr>
            <w:tcW w:w="1185"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BF506C" w:rsidP="006C630B">
            <w:pPr>
              <w:spacing w:before="120" w:after="120"/>
              <w:jc w:val="center"/>
              <w:rPr>
                <w:rFonts w:ascii="Arial" w:hAnsi="Arial" w:cs="Arial"/>
                <w:b/>
                <w:bCs/>
              </w:rPr>
            </w:pPr>
            <w:r w:rsidRPr="00A92017">
              <w:rPr>
                <w:rFonts w:ascii="Arial" w:hAnsi="Arial" w:cs="Arial"/>
                <w:b/>
                <w:bCs/>
              </w:rPr>
              <w:t>WHO</w:t>
            </w:r>
          </w:p>
        </w:tc>
        <w:tc>
          <w:tcPr>
            <w:tcW w:w="75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BF506C" w:rsidP="005714BB">
            <w:pPr>
              <w:spacing w:before="120" w:after="120"/>
              <w:jc w:val="center"/>
              <w:rPr>
                <w:rFonts w:ascii="Arial" w:hAnsi="Arial" w:cs="Arial"/>
                <w:b/>
                <w:bCs/>
              </w:rPr>
            </w:pPr>
            <w:r w:rsidRPr="00A92017">
              <w:rPr>
                <w:rFonts w:ascii="Arial" w:hAnsi="Arial" w:cs="Arial"/>
                <w:b/>
                <w:bCs/>
              </w:rPr>
              <w:t>Other Donor</w:t>
            </w:r>
          </w:p>
        </w:tc>
        <w:tc>
          <w:tcPr>
            <w:tcW w:w="75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BF506C" w:rsidP="005714BB">
            <w:pPr>
              <w:spacing w:before="120" w:after="120"/>
              <w:jc w:val="center"/>
              <w:rPr>
                <w:rFonts w:ascii="Arial" w:hAnsi="Arial" w:cs="Arial"/>
                <w:b/>
                <w:bCs/>
              </w:rPr>
            </w:pPr>
            <w:r w:rsidRPr="00A92017">
              <w:rPr>
                <w:rFonts w:ascii="Arial" w:hAnsi="Arial" w:cs="Arial"/>
                <w:b/>
                <w:bCs/>
              </w:rPr>
              <w:t>Other Donor</w:t>
            </w:r>
          </w:p>
        </w:tc>
        <w:tc>
          <w:tcPr>
            <w:tcW w:w="75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BF506C" w:rsidRPr="006901CA" w:rsidRDefault="00BF506C" w:rsidP="005714BB">
            <w:pPr>
              <w:spacing w:before="120" w:after="120"/>
              <w:jc w:val="center"/>
              <w:rPr>
                <w:rFonts w:ascii="Arial" w:hAnsi="Arial" w:cs="Arial"/>
                <w:b/>
                <w:bCs/>
              </w:rPr>
            </w:pPr>
            <w:r w:rsidRPr="00A92017">
              <w:rPr>
                <w:rFonts w:ascii="Arial" w:hAnsi="Arial" w:cs="Arial"/>
                <w:b/>
                <w:bCs/>
              </w:rPr>
              <w:t>Other Donor</w:t>
            </w:r>
          </w:p>
        </w:tc>
      </w:tr>
      <w:tr w:rsidR="006901CA" w:rsidRPr="00A92017" w:rsidTr="006901CA">
        <w:trPr>
          <w:trHeight w:val="1077"/>
        </w:trPr>
        <w:tc>
          <w:tcPr>
            <w:tcW w:w="880"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A92017" w:rsidRDefault="006901CA" w:rsidP="005714BB">
            <w:pPr>
              <w:spacing w:before="120" w:after="120"/>
              <w:rPr>
                <w:rFonts w:ascii="Arial" w:hAnsi="Arial" w:cs="Arial"/>
                <w:b/>
              </w:rPr>
            </w:pPr>
            <w:r w:rsidRPr="00A92017">
              <w:rPr>
                <w:rFonts w:ascii="Arial" w:hAnsi="Arial" w:cs="Arial"/>
                <w:b/>
              </w:rPr>
              <w:t xml:space="preserve">Time- frame </w:t>
            </w:r>
          </w:p>
        </w:tc>
        <w:tc>
          <w:tcPr>
            <w:tcW w:w="139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A92017" w:rsidRDefault="006901CA" w:rsidP="005714BB">
            <w:pPr>
              <w:spacing w:before="120" w:after="120"/>
              <w:rPr>
                <w:rFonts w:ascii="Arial" w:hAnsi="Arial" w:cs="Arial"/>
                <w:b/>
              </w:rPr>
            </w:pPr>
            <w:r>
              <w:rPr>
                <w:color w:val="1F497D"/>
              </w:rPr>
              <w:t>2011 to 2019 (starting was delayed to 2012)</w:t>
            </w:r>
          </w:p>
        </w:tc>
        <w:tc>
          <w:tcPr>
            <w:tcW w:w="1050"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rPr>
            </w:pPr>
            <w:r>
              <w:rPr>
                <w:color w:val="1F497D"/>
              </w:rPr>
              <w:t>2011-2016</w:t>
            </w:r>
          </w:p>
        </w:tc>
        <w:tc>
          <w:tcPr>
            <w:tcW w:w="992"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rPr>
            </w:pPr>
          </w:p>
        </w:tc>
        <w:tc>
          <w:tcPr>
            <w:tcW w:w="119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6C630B">
            <w:pPr>
              <w:spacing w:before="120" w:after="120"/>
              <w:rPr>
                <w:color w:val="1F497D"/>
              </w:rPr>
            </w:pPr>
            <w:r>
              <w:rPr>
                <w:color w:val="1F497D"/>
              </w:rPr>
              <w:t>2011 to 2019 (starting was delayed to 2012)</w:t>
            </w:r>
          </w:p>
        </w:tc>
        <w:tc>
          <w:tcPr>
            <w:tcW w:w="162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Default="006901CA" w:rsidP="00E97501">
            <w:pPr>
              <w:pStyle w:val="ListParagraph"/>
              <w:spacing w:after="0" w:line="240" w:lineRule="auto"/>
              <w:ind w:left="0"/>
              <w:contextualSpacing w:val="0"/>
              <w:rPr>
                <w:color w:val="1F497D"/>
                <w:lang w:eastAsia="en-GB"/>
              </w:rPr>
            </w:pPr>
            <w:r>
              <w:rPr>
                <w:color w:val="1F497D"/>
                <w:lang w:eastAsia="en-GB"/>
              </w:rPr>
              <w:t>2012-2013</w:t>
            </w:r>
          </w:p>
          <w:p w:rsidR="006901CA" w:rsidRPr="006901CA" w:rsidRDefault="006901CA" w:rsidP="005714BB">
            <w:pPr>
              <w:spacing w:before="120" w:after="120"/>
              <w:rPr>
                <w:color w:val="1F497D"/>
              </w:rPr>
            </w:pPr>
          </w:p>
        </w:tc>
        <w:tc>
          <w:tcPr>
            <w:tcW w:w="141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rPr>
            </w:pPr>
            <w:r>
              <w:rPr>
                <w:color w:val="1F497D"/>
              </w:rPr>
              <w:t>2010-2013</w:t>
            </w:r>
          </w:p>
        </w:tc>
        <w:tc>
          <w:tcPr>
            <w:tcW w:w="1589"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Default="006901CA" w:rsidP="00BF506C">
            <w:pPr>
              <w:pStyle w:val="ListParagraph"/>
              <w:spacing w:after="0" w:line="240" w:lineRule="auto"/>
              <w:ind w:left="0"/>
              <w:contextualSpacing w:val="0"/>
              <w:rPr>
                <w:color w:val="1F497D"/>
                <w:lang w:eastAsia="en-GB"/>
              </w:rPr>
            </w:pPr>
            <w:r>
              <w:rPr>
                <w:color w:val="1F497D"/>
                <w:lang w:eastAsia="en-GB"/>
              </w:rPr>
              <w:t>2012-2015</w:t>
            </w:r>
          </w:p>
          <w:p w:rsidR="006901CA" w:rsidRPr="006901CA" w:rsidRDefault="006901CA" w:rsidP="005714BB">
            <w:pPr>
              <w:spacing w:before="120" w:after="120"/>
              <w:rPr>
                <w:color w:val="1F497D"/>
              </w:rPr>
            </w:pPr>
          </w:p>
        </w:tc>
        <w:tc>
          <w:tcPr>
            <w:tcW w:w="119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6C630B">
            <w:pPr>
              <w:spacing w:before="120" w:after="120"/>
              <w:rPr>
                <w:color w:val="1F497D"/>
              </w:rPr>
            </w:pPr>
            <w:r>
              <w:rPr>
                <w:color w:val="1F497D"/>
              </w:rPr>
              <w:t>2011 to 2019 (starting was delayed to 2012)</w:t>
            </w:r>
          </w:p>
        </w:tc>
        <w:tc>
          <w:tcPr>
            <w:tcW w:w="1185"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6C630B">
            <w:pPr>
              <w:spacing w:before="120" w:after="120"/>
              <w:rPr>
                <w:color w:val="1F497D"/>
              </w:rPr>
            </w:pPr>
            <w:r>
              <w:rPr>
                <w:color w:val="1F497D"/>
              </w:rPr>
              <w:t>2011 to 2019 (starting was delayed to 2012)</w:t>
            </w:r>
          </w:p>
        </w:tc>
        <w:tc>
          <w:tcPr>
            <w:tcW w:w="75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rPr>
            </w:pPr>
          </w:p>
        </w:tc>
        <w:tc>
          <w:tcPr>
            <w:tcW w:w="75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rPr>
            </w:pPr>
          </w:p>
        </w:tc>
        <w:tc>
          <w:tcPr>
            <w:tcW w:w="75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rPr>
            </w:pPr>
          </w:p>
        </w:tc>
      </w:tr>
      <w:tr w:rsidR="006901CA" w:rsidRPr="00A92017" w:rsidTr="006901CA">
        <w:trPr>
          <w:trHeight w:val="1077"/>
        </w:trPr>
        <w:tc>
          <w:tcPr>
            <w:tcW w:w="880"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A92017" w:rsidRDefault="006901CA" w:rsidP="005714BB">
            <w:pPr>
              <w:spacing w:before="120" w:after="120"/>
              <w:rPr>
                <w:rFonts w:ascii="Arial" w:hAnsi="Arial" w:cs="Arial"/>
                <w:b/>
              </w:rPr>
            </w:pPr>
            <w:r w:rsidRPr="00A92017">
              <w:rPr>
                <w:rFonts w:ascii="Arial" w:hAnsi="Arial" w:cs="Arial"/>
                <w:b/>
              </w:rPr>
              <w:t>Fund-</w:t>
            </w:r>
            <w:proofErr w:type="spellStart"/>
            <w:r w:rsidRPr="00A92017">
              <w:rPr>
                <w:rFonts w:ascii="Arial" w:hAnsi="Arial" w:cs="Arial"/>
                <w:b/>
              </w:rPr>
              <w:t>ing</w:t>
            </w:r>
            <w:proofErr w:type="spellEnd"/>
            <w:r w:rsidRPr="00A92017">
              <w:rPr>
                <w:rFonts w:ascii="Arial" w:hAnsi="Arial" w:cs="Arial"/>
                <w:b/>
              </w:rPr>
              <w:t xml:space="preserve"> </w:t>
            </w:r>
          </w:p>
          <w:p w:rsidR="006901CA" w:rsidRPr="00A92017" w:rsidRDefault="006901CA" w:rsidP="005714BB">
            <w:pPr>
              <w:spacing w:before="120" w:after="120"/>
              <w:rPr>
                <w:rFonts w:ascii="Arial" w:hAnsi="Arial" w:cs="Arial"/>
                <w:b/>
              </w:rPr>
            </w:pPr>
            <w:r w:rsidRPr="00A92017">
              <w:rPr>
                <w:rFonts w:ascii="Arial" w:hAnsi="Arial" w:cs="Arial"/>
                <w:b/>
              </w:rPr>
              <w:t xml:space="preserve">Amount </w:t>
            </w:r>
          </w:p>
        </w:tc>
        <w:tc>
          <w:tcPr>
            <w:tcW w:w="139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E97501">
            <w:pPr>
              <w:spacing w:before="120" w:after="120"/>
              <w:rPr>
                <w:color w:val="1F497D"/>
              </w:rPr>
            </w:pPr>
            <w:r w:rsidRPr="006901CA">
              <w:rPr>
                <w:color w:val="1F497D"/>
              </w:rPr>
              <w:t>$ 20 million</w:t>
            </w:r>
          </w:p>
        </w:tc>
        <w:tc>
          <w:tcPr>
            <w:tcW w:w="1050"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t>$4 million</w:t>
            </w:r>
          </w:p>
        </w:tc>
        <w:tc>
          <w:tcPr>
            <w:tcW w:w="992"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p>
        </w:tc>
        <w:tc>
          <w:tcPr>
            <w:tcW w:w="119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sidRPr="006901CA">
              <w:rPr>
                <w:color w:val="1F497D"/>
              </w:rPr>
              <w:t>$ 40 million</w:t>
            </w:r>
          </w:p>
        </w:tc>
        <w:tc>
          <w:tcPr>
            <w:tcW w:w="162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t>$ 250 000 catalytic funding (of which $220 000 is directly related to HSS)</w:t>
            </w:r>
          </w:p>
        </w:tc>
        <w:tc>
          <w:tcPr>
            <w:tcW w:w="141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t>$5.5 million</w:t>
            </w:r>
          </w:p>
        </w:tc>
        <w:tc>
          <w:tcPr>
            <w:tcW w:w="1589"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t>$2,383,000</w:t>
            </w:r>
          </w:p>
        </w:tc>
        <w:tc>
          <w:tcPr>
            <w:tcW w:w="119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t>$9 million</w:t>
            </w:r>
          </w:p>
        </w:tc>
        <w:tc>
          <w:tcPr>
            <w:tcW w:w="1185"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t>$3 million</w:t>
            </w:r>
          </w:p>
        </w:tc>
        <w:tc>
          <w:tcPr>
            <w:tcW w:w="75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p>
        </w:tc>
        <w:tc>
          <w:tcPr>
            <w:tcW w:w="75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A92017" w:rsidRDefault="006901CA" w:rsidP="005714BB">
            <w:pPr>
              <w:spacing w:before="120" w:after="120"/>
              <w:rPr>
                <w:rFonts w:ascii="Arial" w:hAnsi="Arial" w:cs="Arial"/>
                <w:b/>
              </w:rPr>
            </w:pPr>
          </w:p>
        </w:tc>
        <w:tc>
          <w:tcPr>
            <w:tcW w:w="75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A92017" w:rsidRDefault="006901CA" w:rsidP="005714BB">
            <w:pPr>
              <w:spacing w:before="120" w:after="120"/>
              <w:rPr>
                <w:rFonts w:ascii="Arial" w:hAnsi="Arial" w:cs="Arial"/>
                <w:b/>
              </w:rPr>
            </w:pPr>
          </w:p>
        </w:tc>
      </w:tr>
      <w:tr w:rsidR="006901CA" w:rsidRPr="00A92017" w:rsidTr="006901CA">
        <w:trPr>
          <w:trHeight w:val="1077"/>
        </w:trPr>
        <w:tc>
          <w:tcPr>
            <w:tcW w:w="880"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A92017" w:rsidRDefault="006901CA" w:rsidP="005714BB">
            <w:pPr>
              <w:spacing w:before="120" w:after="120"/>
              <w:rPr>
                <w:rFonts w:ascii="Arial" w:hAnsi="Arial" w:cs="Arial"/>
                <w:b/>
              </w:rPr>
            </w:pPr>
            <w:r w:rsidRPr="00A92017">
              <w:rPr>
                <w:rFonts w:ascii="Arial" w:hAnsi="Arial" w:cs="Arial"/>
                <w:b/>
              </w:rPr>
              <w:lastRenderedPageBreak/>
              <w:t xml:space="preserve">Areas of Sup-port </w:t>
            </w:r>
          </w:p>
        </w:tc>
        <w:tc>
          <w:tcPr>
            <w:tcW w:w="139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Default="006901CA" w:rsidP="006901CA">
            <w:pPr>
              <w:pStyle w:val="ListParagraph"/>
              <w:spacing w:after="0" w:line="240" w:lineRule="auto"/>
              <w:ind w:left="0"/>
              <w:contextualSpacing w:val="0"/>
              <w:rPr>
                <w:color w:val="1F497D"/>
              </w:rPr>
            </w:pPr>
            <w:r>
              <w:rPr>
                <w:color w:val="1F497D"/>
              </w:rPr>
              <w:t xml:space="preserve">Strengthening health service Delivery with HSS related output areas as National Policies and Standards – HRH, Community health post Policy &amp; NHIS; Sustainable Partnerships between Provinces and Non-state Actors; Human resources Development in the Health sector – HR Capacity and skills audit; </w:t>
            </w:r>
            <w:r>
              <w:rPr>
                <w:color w:val="1F497D"/>
              </w:rPr>
              <w:lastRenderedPageBreak/>
              <w:t xml:space="preserve">Community Health Post upgrading – facility construction, medical equipment </w:t>
            </w:r>
          </w:p>
          <w:p w:rsidR="006901CA" w:rsidRPr="006901CA" w:rsidRDefault="006901CA" w:rsidP="00D93AF1">
            <w:pPr>
              <w:spacing w:before="120" w:after="120"/>
              <w:rPr>
                <w:color w:val="1F497D"/>
                <w:lang w:eastAsia="en-US"/>
              </w:rPr>
            </w:pPr>
          </w:p>
        </w:tc>
        <w:tc>
          <w:tcPr>
            <w:tcW w:w="1050"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Default="006901CA" w:rsidP="00E97501">
            <w:pPr>
              <w:pStyle w:val="ListParagraph"/>
              <w:spacing w:after="0" w:line="240" w:lineRule="auto"/>
              <w:ind w:left="0"/>
              <w:contextualSpacing w:val="0"/>
              <w:rPr>
                <w:color w:val="1F497D"/>
              </w:rPr>
            </w:pPr>
            <w:r>
              <w:rPr>
                <w:color w:val="1F497D"/>
              </w:rPr>
              <w:lastRenderedPageBreak/>
              <w:t>Strengthening District Management capacity and rehabilitation of 6 Area Medical Stores</w:t>
            </w:r>
          </w:p>
          <w:p w:rsidR="006901CA" w:rsidRPr="006901CA" w:rsidRDefault="006901CA" w:rsidP="005714BB">
            <w:pPr>
              <w:spacing w:before="120" w:after="120"/>
              <w:rPr>
                <w:color w:val="1F497D"/>
                <w:lang w:eastAsia="en-US"/>
              </w:rPr>
            </w:pPr>
          </w:p>
        </w:tc>
        <w:tc>
          <w:tcPr>
            <w:tcW w:w="992"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lang w:eastAsia="en-US"/>
              </w:rPr>
            </w:pPr>
          </w:p>
        </w:tc>
        <w:tc>
          <w:tcPr>
            <w:tcW w:w="119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Default="006901CA" w:rsidP="006C630B">
            <w:pPr>
              <w:pStyle w:val="ListParagraph"/>
              <w:spacing w:after="0" w:line="240" w:lineRule="auto"/>
              <w:ind w:left="0"/>
              <w:contextualSpacing w:val="0"/>
              <w:rPr>
                <w:color w:val="1F497D"/>
              </w:rPr>
            </w:pPr>
            <w:r>
              <w:rPr>
                <w:color w:val="1F497D"/>
              </w:rPr>
              <w:t xml:space="preserve">Strengthening health service Delivery with HSS related output areas as National Policies and Standards – HRH, Community health post Policy &amp; NHIS; Sustainable Partnerships between Provinces and Non-state Actors; Human resources Development in </w:t>
            </w:r>
            <w:r>
              <w:rPr>
                <w:color w:val="1F497D"/>
              </w:rPr>
              <w:lastRenderedPageBreak/>
              <w:t xml:space="preserve">the Health sector – HR Capacity and skills audit; Community Health Post upgrading – facility construction, medical equipment </w:t>
            </w:r>
          </w:p>
          <w:p w:rsidR="006901CA" w:rsidRPr="006901CA" w:rsidRDefault="006901CA" w:rsidP="006C630B">
            <w:pPr>
              <w:spacing w:before="120" w:after="120"/>
              <w:rPr>
                <w:color w:val="1F497D"/>
                <w:lang w:eastAsia="en-US"/>
              </w:rPr>
            </w:pPr>
          </w:p>
        </w:tc>
        <w:tc>
          <w:tcPr>
            <w:tcW w:w="162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E97501" w:rsidRDefault="006901CA" w:rsidP="00E97501">
            <w:pPr>
              <w:pStyle w:val="ListParagraph"/>
              <w:spacing w:after="0" w:line="240" w:lineRule="auto"/>
              <w:ind w:left="0"/>
              <w:contextualSpacing w:val="0"/>
              <w:rPr>
                <w:color w:val="1F497D"/>
              </w:rPr>
            </w:pPr>
            <w:r>
              <w:rPr>
                <w:color w:val="1F497D"/>
              </w:rPr>
              <w:lastRenderedPageBreak/>
              <w:t>Monitoring of Results –M&amp;E; Monitoring of Resources – National Health Accounts &amp; RMNCH Sub accounts; Civil Registration and Vital Statistics</w:t>
            </w:r>
          </w:p>
        </w:tc>
        <w:tc>
          <w:tcPr>
            <w:tcW w:w="141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lang w:eastAsia="en-US"/>
              </w:rPr>
            </w:pPr>
            <w:r>
              <w:rPr>
                <w:color w:val="1F497D"/>
                <w:lang w:eastAsia="en-US"/>
              </w:rPr>
              <w:t>Rehabilitation/Construction of 2 District Health centres, District management capacity building and provision of medical equipment</w:t>
            </w:r>
          </w:p>
        </w:tc>
        <w:tc>
          <w:tcPr>
            <w:tcW w:w="1589"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lang w:eastAsia="en-US"/>
              </w:rPr>
            </w:pPr>
            <w:r>
              <w:rPr>
                <w:color w:val="1F497D"/>
                <w:lang w:eastAsia="en-US"/>
              </w:rPr>
              <w:t>Health financing; Monitoring, Evaluation and Research; HRH, health laboratories and pharmaceuticals</w:t>
            </w:r>
          </w:p>
        </w:tc>
        <w:tc>
          <w:tcPr>
            <w:tcW w:w="119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Default="006901CA" w:rsidP="006C630B">
            <w:pPr>
              <w:pStyle w:val="ListParagraph"/>
              <w:spacing w:after="0" w:line="240" w:lineRule="auto"/>
              <w:ind w:left="0"/>
              <w:contextualSpacing w:val="0"/>
              <w:rPr>
                <w:color w:val="1F497D"/>
              </w:rPr>
            </w:pPr>
            <w:r>
              <w:rPr>
                <w:color w:val="1F497D"/>
              </w:rPr>
              <w:t xml:space="preserve">Strengthening health service Delivery with HSS related output areas as National Policies and Standards – HRH, Community health post Policy &amp; NHIS; Sustainable Partnerships between Provinces and Non-state Actors; Human resources Development in </w:t>
            </w:r>
            <w:r>
              <w:rPr>
                <w:color w:val="1F497D"/>
              </w:rPr>
              <w:lastRenderedPageBreak/>
              <w:t xml:space="preserve">the Health sector – HR Capacity and skills audit; Community Health Post upgrading – facility construction, medical equipment </w:t>
            </w:r>
          </w:p>
          <w:p w:rsidR="006901CA" w:rsidRPr="006901CA" w:rsidRDefault="006901CA" w:rsidP="006C630B">
            <w:pPr>
              <w:spacing w:before="120" w:after="120"/>
              <w:rPr>
                <w:color w:val="1F497D"/>
                <w:lang w:eastAsia="en-US"/>
              </w:rPr>
            </w:pPr>
          </w:p>
        </w:tc>
        <w:tc>
          <w:tcPr>
            <w:tcW w:w="1185"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6901CA" w:rsidRDefault="006901CA" w:rsidP="005714BB">
            <w:pPr>
              <w:spacing w:before="120" w:after="120"/>
              <w:rPr>
                <w:color w:val="1F497D"/>
                <w:lang w:eastAsia="en-US"/>
              </w:rPr>
            </w:pPr>
            <w:r w:rsidRPr="006901CA">
              <w:rPr>
                <w:color w:val="1F497D"/>
                <w:lang w:eastAsia="en-US"/>
              </w:rPr>
              <w:lastRenderedPageBreak/>
              <w:t>Technical Support to Rural Primary Health Service Delivery Project</w:t>
            </w:r>
          </w:p>
        </w:tc>
        <w:tc>
          <w:tcPr>
            <w:tcW w:w="75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A92017" w:rsidRDefault="006901CA" w:rsidP="005714BB">
            <w:pPr>
              <w:spacing w:before="120" w:after="120"/>
              <w:rPr>
                <w:rFonts w:ascii="Arial" w:hAnsi="Arial" w:cs="Arial"/>
                <w:b/>
              </w:rPr>
            </w:pPr>
          </w:p>
        </w:tc>
        <w:tc>
          <w:tcPr>
            <w:tcW w:w="75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A92017" w:rsidRDefault="006901CA" w:rsidP="005714BB">
            <w:pPr>
              <w:spacing w:before="120" w:after="120"/>
              <w:rPr>
                <w:rFonts w:ascii="Arial" w:hAnsi="Arial" w:cs="Arial"/>
                <w:b/>
              </w:rPr>
            </w:pPr>
          </w:p>
        </w:tc>
        <w:tc>
          <w:tcPr>
            <w:tcW w:w="751" w:type="dxa"/>
            <w:tcBorders>
              <w:top w:val="single" w:sz="8" w:space="0" w:color="333333"/>
              <w:left w:val="single" w:sz="8" w:space="0" w:color="333333"/>
              <w:bottom w:val="single" w:sz="8" w:space="0" w:color="333333"/>
              <w:right w:val="single" w:sz="8" w:space="0" w:color="333333"/>
            </w:tcBorders>
            <w:shd w:val="clear" w:color="auto" w:fill="EEF7F9"/>
            <w:tcMar>
              <w:top w:w="72" w:type="dxa"/>
              <w:left w:w="144" w:type="dxa"/>
              <w:bottom w:w="72" w:type="dxa"/>
              <w:right w:w="144" w:type="dxa"/>
            </w:tcMar>
          </w:tcPr>
          <w:p w:rsidR="006901CA" w:rsidRPr="00A92017" w:rsidRDefault="006901CA" w:rsidP="005714BB">
            <w:pPr>
              <w:spacing w:before="120" w:after="120"/>
              <w:rPr>
                <w:rFonts w:ascii="Arial" w:hAnsi="Arial" w:cs="Arial"/>
                <w:b/>
              </w:rPr>
            </w:pPr>
          </w:p>
        </w:tc>
      </w:tr>
      <w:tr w:rsidR="006901CA" w:rsidRPr="00A92017" w:rsidTr="006901CA">
        <w:trPr>
          <w:trHeight w:val="1077"/>
        </w:trPr>
        <w:tc>
          <w:tcPr>
            <w:tcW w:w="880"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A92017" w:rsidRDefault="006901CA" w:rsidP="005714BB">
            <w:pPr>
              <w:spacing w:before="120" w:after="120"/>
              <w:rPr>
                <w:rFonts w:ascii="Arial" w:hAnsi="Arial" w:cs="Arial"/>
                <w:b/>
              </w:rPr>
            </w:pPr>
            <w:r w:rsidRPr="00A92017">
              <w:rPr>
                <w:rFonts w:ascii="Arial" w:hAnsi="Arial" w:cs="Arial"/>
                <w:b/>
              </w:rPr>
              <w:lastRenderedPageBreak/>
              <w:t>Geo-graphic Lo-</w:t>
            </w:r>
            <w:proofErr w:type="spellStart"/>
            <w:r w:rsidRPr="00A92017">
              <w:rPr>
                <w:rFonts w:ascii="Arial" w:hAnsi="Arial" w:cs="Arial"/>
                <w:b/>
              </w:rPr>
              <w:t>cation</w:t>
            </w:r>
            <w:proofErr w:type="spellEnd"/>
            <w:r w:rsidRPr="00A92017">
              <w:rPr>
                <w:rFonts w:ascii="Arial" w:hAnsi="Arial" w:cs="Arial"/>
                <w:b/>
              </w:rPr>
              <w:t xml:space="preserve"> </w:t>
            </w:r>
          </w:p>
        </w:tc>
        <w:tc>
          <w:tcPr>
            <w:tcW w:w="139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t xml:space="preserve">16 Districts in 8 Provinces (Western Highlands; </w:t>
            </w:r>
            <w:proofErr w:type="spellStart"/>
            <w:r>
              <w:rPr>
                <w:color w:val="1F497D"/>
              </w:rPr>
              <w:t>Enga</w:t>
            </w:r>
            <w:proofErr w:type="spellEnd"/>
            <w:r>
              <w:rPr>
                <w:color w:val="1F497D"/>
              </w:rPr>
              <w:t xml:space="preserve">, Eastern Highlands, </w:t>
            </w:r>
            <w:proofErr w:type="spellStart"/>
            <w:r>
              <w:rPr>
                <w:color w:val="1F497D"/>
              </w:rPr>
              <w:t>Morobe</w:t>
            </w:r>
            <w:proofErr w:type="spellEnd"/>
            <w:r>
              <w:rPr>
                <w:color w:val="1F497D"/>
              </w:rPr>
              <w:t xml:space="preserve">, East Sepik, West New Britain, </w:t>
            </w:r>
            <w:r>
              <w:rPr>
                <w:color w:val="1F497D"/>
              </w:rPr>
              <w:lastRenderedPageBreak/>
              <w:t>Milne Bay, Autonomous Region of Bougainville)</w:t>
            </w:r>
          </w:p>
        </w:tc>
        <w:tc>
          <w:tcPr>
            <w:tcW w:w="1050"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lastRenderedPageBreak/>
              <w:t>National</w:t>
            </w:r>
          </w:p>
        </w:tc>
        <w:tc>
          <w:tcPr>
            <w:tcW w:w="992"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p>
        </w:tc>
        <w:tc>
          <w:tcPr>
            <w:tcW w:w="119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6C630B">
            <w:pPr>
              <w:spacing w:before="120" w:after="120"/>
              <w:rPr>
                <w:color w:val="1F497D"/>
              </w:rPr>
            </w:pPr>
            <w:r>
              <w:rPr>
                <w:color w:val="1F497D"/>
              </w:rPr>
              <w:t xml:space="preserve">16 Districts in 8 Provinces (Western Highlands; </w:t>
            </w:r>
            <w:proofErr w:type="spellStart"/>
            <w:r>
              <w:rPr>
                <w:color w:val="1F497D"/>
              </w:rPr>
              <w:t>Enga</w:t>
            </w:r>
            <w:proofErr w:type="spellEnd"/>
            <w:r>
              <w:rPr>
                <w:color w:val="1F497D"/>
              </w:rPr>
              <w:t xml:space="preserve">, Eastern Highlands, </w:t>
            </w:r>
            <w:proofErr w:type="spellStart"/>
            <w:r>
              <w:rPr>
                <w:color w:val="1F497D"/>
              </w:rPr>
              <w:t>Morobe</w:t>
            </w:r>
            <w:proofErr w:type="spellEnd"/>
            <w:r>
              <w:rPr>
                <w:color w:val="1F497D"/>
              </w:rPr>
              <w:t xml:space="preserve">, East Sepik, </w:t>
            </w:r>
            <w:r>
              <w:rPr>
                <w:color w:val="1F497D"/>
              </w:rPr>
              <w:lastRenderedPageBreak/>
              <w:t>West New Britain, Milne Bay, Autonomous Region of Bougainville)</w:t>
            </w:r>
          </w:p>
        </w:tc>
        <w:tc>
          <w:tcPr>
            <w:tcW w:w="162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lastRenderedPageBreak/>
              <w:t>National</w:t>
            </w:r>
          </w:p>
        </w:tc>
        <w:tc>
          <w:tcPr>
            <w:tcW w:w="141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Default="006901CA" w:rsidP="00BF506C">
            <w:pPr>
              <w:pStyle w:val="ListParagraph"/>
              <w:spacing w:after="0" w:line="240" w:lineRule="auto"/>
              <w:ind w:left="0"/>
              <w:contextualSpacing w:val="0"/>
              <w:rPr>
                <w:color w:val="1F497D"/>
                <w:lang w:eastAsia="en-GB"/>
              </w:rPr>
            </w:pPr>
            <w:r>
              <w:rPr>
                <w:color w:val="1F497D"/>
                <w:lang w:eastAsia="en-GB"/>
              </w:rPr>
              <w:t xml:space="preserve">2 Districts in 2 provinces (Central Province and Eastern Highlands Province) </w:t>
            </w:r>
          </w:p>
          <w:p w:rsidR="006901CA" w:rsidRPr="006901CA" w:rsidRDefault="006901CA" w:rsidP="005714BB">
            <w:pPr>
              <w:spacing w:before="120" w:after="120"/>
              <w:rPr>
                <w:color w:val="1F497D"/>
              </w:rPr>
            </w:pPr>
          </w:p>
        </w:tc>
        <w:tc>
          <w:tcPr>
            <w:tcW w:w="1589"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Pr>
                <w:color w:val="1F497D"/>
              </w:rPr>
              <w:t>National</w:t>
            </w:r>
          </w:p>
        </w:tc>
        <w:tc>
          <w:tcPr>
            <w:tcW w:w="119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6C630B">
            <w:pPr>
              <w:spacing w:before="120" w:after="120"/>
              <w:rPr>
                <w:color w:val="1F497D"/>
              </w:rPr>
            </w:pPr>
            <w:r>
              <w:rPr>
                <w:color w:val="1F497D"/>
              </w:rPr>
              <w:t xml:space="preserve">16 Districts in 8 Provinces (Western Highlands; </w:t>
            </w:r>
            <w:proofErr w:type="spellStart"/>
            <w:r>
              <w:rPr>
                <w:color w:val="1F497D"/>
              </w:rPr>
              <w:t>Enga</w:t>
            </w:r>
            <w:proofErr w:type="spellEnd"/>
            <w:r>
              <w:rPr>
                <w:color w:val="1F497D"/>
              </w:rPr>
              <w:t xml:space="preserve">, Eastern Highlands, </w:t>
            </w:r>
            <w:proofErr w:type="spellStart"/>
            <w:r>
              <w:rPr>
                <w:color w:val="1F497D"/>
              </w:rPr>
              <w:t>Morobe</w:t>
            </w:r>
            <w:proofErr w:type="spellEnd"/>
            <w:r>
              <w:rPr>
                <w:color w:val="1F497D"/>
              </w:rPr>
              <w:t xml:space="preserve">, East Sepik, </w:t>
            </w:r>
            <w:r>
              <w:rPr>
                <w:color w:val="1F497D"/>
              </w:rPr>
              <w:lastRenderedPageBreak/>
              <w:t>West New Britain, Milne Bay, Autonomous Region of Bougainville)</w:t>
            </w:r>
          </w:p>
        </w:tc>
        <w:tc>
          <w:tcPr>
            <w:tcW w:w="1185"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6901CA" w:rsidRDefault="006901CA" w:rsidP="005714BB">
            <w:pPr>
              <w:spacing w:before="120" w:after="120"/>
              <w:rPr>
                <w:color w:val="1F497D"/>
              </w:rPr>
            </w:pPr>
            <w:r w:rsidRPr="006901CA">
              <w:rPr>
                <w:color w:val="1F497D"/>
              </w:rPr>
              <w:lastRenderedPageBreak/>
              <w:t>National</w:t>
            </w:r>
          </w:p>
        </w:tc>
        <w:tc>
          <w:tcPr>
            <w:tcW w:w="75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A92017" w:rsidRDefault="006901CA" w:rsidP="005714BB">
            <w:pPr>
              <w:spacing w:before="120" w:after="120"/>
              <w:rPr>
                <w:rFonts w:ascii="Arial" w:hAnsi="Arial" w:cs="Arial"/>
                <w:b/>
              </w:rPr>
            </w:pPr>
          </w:p>
        </w:tc>
        <w:tc>
          <w:tcPr>
            <w:tcW w:w="75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A92017" w:rsidRDefault="006901CA" w:rsidP="005714BB">
            <w:pPr>
              <w:spacing w:before="120" w:after="120"/>
              <w:rPr>
                <w:rFonts w:ascii="Arial" w:hAnsi="Arial" w:cs="Arial"/>
                <w:b/>
              </w:rPr>
            </w:pPr>
          </w:p>
        </w:tc>
        <w:tc>
          <w:tcPr>
            <w:tcW w:w="751" w:type="dxa"/>
            <w:tcBorders>
              <w:top w:val="single" w:sz="8" w:space="0" w:color="333333"/>
              <w:left w:val="single" w:sz="8" w:space="0" w:color="333333"/>
              <w:bottom w:val="single" w:sz="8" w:space="0" w:color="333333"/>
              <w:right w:val="single" w:sz="8" w:space="0" w:color="333333"/>
            </w:tcBorders>
            <w:shd w:val="clear" w:color="auto" w:fill="DBEEF3"/>
            <w:tcMar>
              <w:top w:w="72" w:type="dxa"/>
              <w:left w:w="144" w:type="dxa"/>
              <w:bottom w:w="72" w:type="dxa"/>
              <w:right w:w="144" w:type="dxa"/>
            </w:tcMar>
          </w:tcPr>
          <w:p w:rsidR="006901CA" w:rsidRPr="00A92017" w:rsidRDefault="006901CA" w:rsidP="005714BB">
            <w:pPr>
              <w:spacing w:before="120" w:after="120"/>
              <w:rPr>
                <w:rFonts w:ascii="Arial" w:hAnsi="Arial" w:cs="Arial"/>
                <w:b/>
              </w:rPr>
            </w:pPr>
          </w:p>
        </w:tc>
      </w:tr>
    </w:tbl>
    <w:p w:rsidR="00593F85" w:rsidRDefault="00593F85"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p w:rsidR="00862BAA" w:rsidRDefault="00862BAA" w:rsidP="001065CE"/>
    <w:sectPr w:rsidR="00862BAA" w:rsidSect="00862BA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F9" w:rsidRDefault="006339F9" w:rsidP="00430D81">
      <w:r>
        <w:separator/>
      </w:r>
    </w:p>
  </w:endnote>
  <w:endnote w:type="continuationSeparator" w:id="0">
    <w:p w:rsidR="006339F9" w:rsidRDefault="006339F9" w:rsidP="0043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F9" w:rsidRDefault="006339F9" w:rsidP="00430D81">
      <w:r>
        <w:separator/>
      </w:r>
    </w:p>
  </w:footnote>
  <w:footnote w:type="continuationSeparator" w:id="0">
    <w:p w:rsidR="006339F9" w:rsidRDefault="006339F9" w:rsidP="00430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F5159"/>
    <w:multiLevelType w:val="hybridMultilevel"/>
    <w:tmpl w:val="220A4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D81"/>
    <w:rsid w:val="00025229"/>
    <w:rsid w:val="00053289"/>
    <w:rsid w:val="00066FC7"/>
    <w:rsid w:val="000A7BBA"/>
    <w:rsid w:val="000C73A7"/>
    <w:rsid w:val="000C7D56"/>
    <w:rsid w:val="000E5B1B"/>
    <w:rsid w:val="001065CE"/>
    <w:rsid w:val="00140435"/>
    <w:rsid w:val="001B5A40"/>
    <w:rsid w:val="001E1753"/>
    <w:rsid w:val="001F70CD"/>
    <w:rsid w:val="00217437"/>
    <w:rsid w:val="002651B0"/>
    <w:rsid w:val="002B62CA"/>
    <w:rsid w:val="003065E5"/>
    <w:rsid w:val="003238CD"/>
    <w:rsid w:val="00394BEF"/>
    <w:rsid w:val="003A39D5"/>
    <w:rsid w:val="003D02B2"/>
    <w:rsid w:val="004228D9"/>
    <w:rsid w:val="00430D81"/>
    <w:rsid w:val="004E724B"/>
    <w:rsid w:val="00540C6F"/>
    <w:rsid w:val="005714BB"/>
    <w:rsid w:val="005804D5"/>
    <w:rsid w:val="0059210F"/>
    <w:rsid w:val="00592614"/>
    <w:rsid w:val="00593F85"/>
    <w:rsid w:val="00596CC5"/>
    <w:rsid w:val="0059749B"/>
    <w:rsid w:val="005B6AEF"/>
    <w:rsid w:val="005D5E58"/>
    <w:rsid w:val="00621928"/>
    <w:rsid w:val="00623E3C"/>
    <w:rsid w:val="006273ED"/>
    <w:rsid w:val="006339F9"/>
    <w:rsid w:val="00644E41"/>
    <w:rsid w:val="006732BA"/>
    <w:rsid w:val="006901CA"/>
    <w:rsid w:val="006C4283"/>
    <w:rsid w:val="0071282F"/>
    <w:rsid w:val="0073253E"/>
    <w:rsid w:val="0075680E"/>
    <w:rsid w:val="0076536A"/>
    <w:rsid w:val="007B5890"/>
    <w:rsid w:val="007C0EE4"/>
    <w:rsid w:val="00821931"/>
    <w:rsid w:val="00845BC1"/>
    <w:rsid w:val="00862BAA"/>
    <w:rsid w:val="00877E7D"/>
    <w:rsid w:val="0094019C"/>
    <w:rsid w:val="00974553"/>
    <w:rsid w:val="009815AC"/>
    <w:rsid w:val="009903DF"/>
    <w:rsid w:val="009C10B9"/>
    <w:rsid w:val="009E1353"/>
    <w:rsid w:val="00A35EFA"/>
    <w:rsid w:val="00A451DE"/>
    <w:rsid w:val="00A72D6F"/>
    <w:rsid w:val="00A7394B"/>
    <w:rsid w:val="00A84D42"/>
    <w:rsid w:val="00A92017"/>
    <w:rsid w:val="00B00F2B"/>
    <w:rsid w:val="00B12070"/>
    <w:rsid w:val="00B26672"/>
    <w:rsid w:val="00B272F8"/>
    <w:rsid w:val="00B8597F"/>
    <w:rsid w:val="00BC4E36"/>
    <w:rsid w:val="00BD0D30"/>
    <w:rsid w:val="00BD6D08"/>
    <w:rsid w:val="00BF1E5C"/>
    <w:rsid w:val="00BF3D0D"/>
    <w:rsid w:val="00BF506C"/>
    <w:rsid w:val="00C06ADF"/>
    <w:rsid w:val="00C97A35"/>
    <w:rsid w:val="00CE6D92"/>
    <w:rsid w:val="00D93AF1"/>
    <w:rsid w:val="00DA36A3"/>
    <w:rsid w:val="00DA585A"/>
    <w:rsid w:val="00DB767D"/>
    <w:rsid w:val="00DE7EA6"/>
    <w:rsid w:val="00E11682"/>
    <w:rsid w:val="00E34C62"/>
    <w:rsid w:val="00E51E54"/>
    <w:rsid w:val="00E6701C"/>
    <w:rsid w:val="00E97501"/>
    <w:rsid w:val="00EB316E"/>
    <w:rsid w:val="00ED361A"/>
    <w:rsid w:val="00EE5F8E"/>
    <w:rsid w:val="00FB08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30D81"/>
    <w:rPr>
      <w:sz w:val="22"/>
      <w:szCs w:val="22"/>
      <w:lang w:eastAsia="en-GB"/>
    </w:rPr>
  </w:style>
  <w:style w:type="paragraph" w:styleId="Heading1">
    <w:name w:val="heading 1"/>
    <w:basedOn w:val="Normal"/>
    <w:next w:val="Normal"/>
    <w:link w:val="Heading1Char"/>
    <w:uiPriority w:val="99"/>
    <w:qFormat/>
    <w:rsid w:val="001B5A40"/>
    <w:pPr>
      <w:keepNext/>
      <w:spacing w:before="240" w:after="60" w:line="276"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1"/>
    <w:uiPriority w:val="99"/>
    <w:qFormat/>
    <w:rsid w:val="001B5A40"/>
    <w:pPr>
      <w:keepNext/>
      <w:outlineLvl w:val="1"/>
    </w:pPr>
    <w:rPr>
      <w:rFonts w:ascii="Arial" w:hAnsi="Arial"/>
      <w:szCs w:val="20"/>
      <w:u w:val="single"/>
      <w:lang w:val="en-US"/>
    </w:rPr>
  </w:style>
  <w:style w:type="paragraph" w:styleId="Heading3">
    <w:name w:val="heading 3"/>
    <w:basedOn w:val="Normal"/>
    <w:next w:val="Normal"/>
    <w:link w:val="Heading3Char"/>
    <w:uiPriority w:val="99"/>
    <w:qFormat/>
    <w:rsid w:val="001B5A40"/>
    <w:pPr>
      <w:keepNext/>
      <w:spacing w:before="240" w:after="60" w:line="276" w:lineRule="auto"/>
      <w:outlineLvl w:val="2"/>
    </w:pPr>
    <w:rPr>
      <w:rFonts w:ascii="Cambria" w:eastAsia="Times New Roman"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5A40"/>
    <w:rPr>
      <w:rFonts w:ascii="Cambria" w:hAnsi="Cambria"/>
      <w:b/>
      <w:kern w:val="32"/>
      <w:sz w:val="32"/>
      <w:lang w:eastAsia="en-US"/>
    </w:rPr>
  </w:style>
  <w:style w:type="character" w:customStyle="1" w:styleId="Heading2Char">
    <w:name w:val="Heading 2 Char"/>
    <w:uiPriority w:val="99"/>
    <w:rsid w:val="001B5A40"/>
    <w:rPr>
      <w:rFonts w:ascii="Cambria" w:hAnsi="Cambria"/>
      <w:b/>
      <w:i/>
      <w:sz w:val="28"/>
      <w:lang w:eastAsia="en-US"/>
    </w:rPr>
  </w:style>
  <w:style w:type="character" w:customStyle="1" w:styleId="Heading3Char">
    <w:name w:val="Heading 3 Char"/>
    <w:link w:val="Heading3"/>
    <w:uiPriority w:val="99"/>
    <w:locked/>
    <w:rsid w:val="001B5A40"/>
    <w:rPr>
      <w:rFonts w:ascii="Cambria" w:hAnsi="Cambria"/>
      <w:b/>
      <w:sz w:val="26"/>
      <w:lang w:eastAsia="en-US"/>
    </w:rPr>
  </w:style>
  <w:style w:type="paragraph" w:styleId="BalloonText">
    <w:name w:val="Balloon Text"/>
    <w:basedOn w:val="Normal"/>
    <w:link w:val="BalloonTextChar"/>
    <w:uiPriority w:val="99"/>
    <w:semiHidden/>
    <w:rsid w:val="001B5A40"/>
    <w:pPr>
      <w:spacing w:after="200" w:line="276" w:lineRule="auto"/>
    </w:pPr>
    <w:rPr>
      <w:rFonts w:ascii="Times New Roman" w:hAnsi="Times New Roman"/>
      <w:sz w:val="2"/>
      <w:szCs w:val="20"/>
      <w:lang w:val="en-US" w:eastAsia="en-US"/>
    </w:rPr>
  </w:style>
  <w:style w:type="character" w:customStyle="1" w:styleId="BalloonTextChar">
    <w:name w:val="Balloon Text Char"/>
    <w:link w:val="BalloonText"/>
    <w:uiPriority w:val="99"/>
    <w:semiHidden/>
    <w:locked/>
    <w:rsid w:val="001B5A40"/>
    <w:rPr>
      <w:rFonts w:ascii="Times New Roman" w:hAnsi="Times New Roman"/>
      <w:sz w:val="2"/>
      <w:lang w:eastAsia="en-US"/>
    </w:rPr>
  </w:style>
  <w:style w:type="paragraph" w:styleId="TOC2">
    <w:name w:val="toc 2"/>
    <w:basedOn w:val="Normal"/>
    <w:next w:val="Normal"/>
    <w:autoRedefine/>
    <w:uiPriority w:val="99"/>
    <w:rsid w:val="001B5A40"/>
    <w:pPr>
      <w:tabs>
        <w:tab w:val="right" w:leader="dot" w:pos="9628"/>
      </w:tabs>
      <w:ind w:left="476" w:hanging="50"/>
    </w:pPr>
    <w:rPr>
      <w:rFonts w:ascii="Arial" w:hAnsi="Arial" w:cs="Arial"/>
      <w:b/>
      <w:noProof/>
      <w:szCs w:val="20"/>
    </w:rPr>
  </w:style>
  <w:style w:type="paragraph" w:styleId="TOC3">
    <w:name w:val="toc 3"/>
    <w:basedOn w:val="Normal"/>
    <w:next w:val="Normal"/>
    <w:autoRedefine/>
    <w:uiPriority w:val="99"/>
    <w:rsid w:val="001B5A40"/>
    <w:pPr>
      <w:tabs>
        <w:tab w:val="right" w:leader="dot" w:pos="9016"/>
      </w:tabs>
    </w:pPr>
    <w:rPr>
      <w:rFonts w:ascii="Arial" w:hAnsi="Arial"/>
      <w:szCs w:val="20"/>
    </w:rPr>
  </w:style>
  <w:style w:type="paragraph" w:styleId="FootnoteText">
    <w:name w:val="footnote text"/>
    <w:basedOn w:val="Normal"/>
    <w:link w:val="FootnoteTextChar"/>
    <w:uiPriority w:val="99"/>
    <w:semiHidden/>
    <w:rsid w:val="001B5A40"/>
    <w:pPr>
      <w:spacing w:after="200" w:line="276" w:lineRule="auto"/>
    </w:pPr>
    <w:rPr>
      <w:sz w:val="20"/>
      <w:szCs w:val="20"/>
      <w:lang w:eastAsia="en-US"/>
    </w:rPr>
  </w:style>
  <w:style w:type="character" w:customStyle="1" w:styleId="FootnoteTextChar">
    <w:name w:val="Footnote Text Char"/>
    <w:link w:val="FootnoteText"/>
    <w:uiPriority w:val="99"/>
    <w:semiHidden/>
    <w:locked/>
    <w:rsid w:val="001B5A40"/>
    <w:rPr>
      <w:rFonts w:cs="Times New Roman"/>
      <w:lang w:eastAsia="en-US"/>
    </w:rPr>
  </w:style>
  <w:style w:type="paragraph" w:styleId="CommentText">
    <w:name w:val="annotation text"/>
    <w:basedOn w:val="Normal"/>
    <w:link w:val="CommentTextChar"/>
    <w:uiPriority w:val="99"/>
    <w:semiHidden/>
    <w:rsid w:val="001B5A40"/>
    <w:rPr>
      <w:rFonts w:eastAsia="Times New Roman"/>
      <w:sz w:val="20"/>
      <w:szCs w:val="20"/>
    </w:rPr>
  </w:style>
  <w:style w:type="character" w:customStyle="1" w:styleId="CommentTextChar">
    <w:name w:val="Comment Text Char"/>
    <w:link w:val="CommentText"/>
    <w:uiPriority w:val="99"/>
    <w:semiHidden/>
    <w:locked/>
    <w:rsid w:val="001B5A40"/>
    <w:rPr>
      <w:rFonts w:ascii="Calibri" w:hAnsi="Calibri" w:cs="Times New Roman"/>
    </w:rPr>
  </w:style>
  <w:style w:type="paragraph" w:styleId="Header">
    <w:name w:val="header"/>
    <w:basedOn w:val="Normal"/>
    <w:link w:val="HeaderChar"/>
    <w:uiPriority w:val="99"/>
    <w:rsid w:val="001B5A40"/>
    <w:pPr>
      <w:tabs>
        <w:tab w:val="center" w:pos="4153"/>
        <w:tab w:val="right" w:pos="8306"/>
      </w:tabs>
      <w:spacing w:after="200" w:line="276" w:lineRule="auto"/>
    </w:pPr>
    <w:rPr>
      <w:sz w:val="20"/>
      <w:szCs w:val="20"/>
      <w:lang w:eastAsia="en-US"/>
    </w:rPr>
  </w:style>
  <w:style w:type="character" w:customStyle="1" w:styleId="HeaderChar">
    <w:name w:val="Header Char"/>
    <w:link w:val="Header"/>
    <w:uiPriority w:val="99"/>
    <w:locked/>
    <w:rsid w:val="001B5A40"/>
    <w:rPr>
      <w:rFonts w:cs="Times New Roman"/>
      <w:lang w:eastAsia="en-US"/>
    </w:rPr>
  </w:style>
  <w:style w:type="paragraph" w:styleId="Footer">
    <w:name w:val="footer"/>
    <w:basedOn w:val="Normal"/>
    <w:link w:val="FooterChar"/>
    <w:uiPriority w:val="99"/>
    <w:rsid w:val="001B5A40"/>
    <w:pPr>
      <w:tabs>
        <w:tab w:val="center" w:pos="4153"/>
        <w:tab w:val="right" w:pos="8306"/>
      </w:tabs>
      <w:spacing w:after="200" w:line="276" w:lineRule="auto"/>
    </w:pPr>
    <w:rPr>
      <w:sz w:val="20"/>
      <w:szCs w:val="20"/>
      <w:lang w:eastAsia="en-US"/>
    </w:rPr>
  </w:style>
  <w:style w:type="character" w:customStyle="1" w:styleId="FooterChar">
    <w:name w:val="Footer Char"/>
    <w:link w:val="Footer"/>
    <w:uiPriority w:val="99"/>
    <w:locked/>
    <w:rsid w:val="001B5A40"/>
    <w:rPr>
      <w:rFonts w:cs="Times New Roman"/>
      <w:lang w:eastAsia="en-US"/>
    </w:rPr>
  </w:style>
  <w:style w:type="character" w:styleId="FootnoteReference">
    <w:name w:val="footnote reference"/>
    <w:uiPriority w:val="99"/>
    <w:semiHidden/>
    <w:rsid w:val="001B5A40"/>
    <w:rPr>
      <w:rFonts w:cs="Times New Roman"/>
      <w:vertAlign w:val="superscript"/>
    </w:rPr>
  </w:style>
  <w:style w:type="character" w:styleId="CommentReference">
    <w:name w:val="annotation reference"/>
    <w:uiPriority w:val="99"/>
    <w:semiHidden/>
    <w:rsid w:val="001B5A40"/>
    <w:rPr>
      <w:rFonts w:cs="Times New Roman"/>
      <w:sz w:val="16"/>
    </w:rPr>
  </w:style>
  <w:style w:type="character" w:styleId="PageNumber">
    <w:name w:val="page number"/>
    <w:uiPriority w:val="99"/>
    <w:rsid w:val="001B5A40"/>
    <w:rPr>
      <w:rFonts w:cs="Times New Roman"/>
    </w:rPr>
  </w:style>
  <w:style w:type="paragraph" w:styleId="EndnoteText">
    <w:name w:val="endnote text"/>
    <w:basedOn w:val="Normal"/>
    <w:link w:val="EndnoteTextChar"/>
    <w:uiPriority w:val="99"/>
    <w:rsid w:val="001B5A40"/>
    <w:rPr>
      <w:rFonts w:ascii="Times New Roman" w:eastAsia="SimSun" w:hAnsi="Times New Roman"/>
      <w:sz w:val="20"/>
      <w:szCs w:val="20"/>
      <w:lang w:val="en-US" w:eastAsia="en-US"/>
    </w:rPr>
  </w:style>
  <w:style w:type="character" w:customStyle="1" w:styleId="EndnoteTextChar">
    <w:name w:val="Endnote Text Char"/>
    <w:link w:val="EndnoteText"/>
    <w:uiPriority w:val="99"/>
    <w:locked/>
    <w:rsid w:val="001B5A40"/>
    <w:rPr>
      <w:rFonts w:ascii="Times New Roman" w:eastAsia="SimSun" w:hAnsi="Times New Roman" w:cs="Times New Roman"/>
      <w:lang w:val="en-US" w:eastAsia="en-US"/>
    </w:rPr>
  </w:style>
  <w:style w:type="paragraph" w:styleId="BodyText">
    <w:name w:val="Body Text"/>
    <w:basedOn w:val="Normal"/>
    <w:link w:val="BodyTextChar"/>
    <w:uiPriority w:val="99"/>
    <w:semiHidden/>
    <w:rsid w:val="001B5A40"/>
    <w:pPr>
      <w:jc w:val="both"/>
    </w:pPr>
    <w:rPr>
      <w:rFonts w:ascii="Arial" w:eastAsia="Times New Roman" w:hAnsi="Arial"/>
      <w:szCs w:val="20"/>
      <w:lang w:eastAsia="en-US"/>
    </w:rPr>
  </w:style>
  <w:style w:type="character" w:customStyle="1" w:styleId="BodyTextChar">
    <w:name w:val="Body Text Char"/>
    <w:link w:val="BodyText"/>
    <w:uiPriority w:val="99"/>
    <w:semiHidden/>
    <w:locked/>
    <w:rsid w:val="001B5A40"/>
    <w:rPr>
      <w:rFonts w:ascii="Arial" w:hAnsi="Arial" w:cs="Times New Roman"/>
      <w:sz w:val="22"/>
      <w:lang w:eastAsia="en-US"/>
    </w:rPr>
  </w:style>
  <w:style w:type="character" w:styleId="Hyperlink">
    <w:name w:val="Hyperlink"/>
    <w:uiPriority w:val="99"/>
    <w:rsid w:val="001B5A40"/>
    <w:rPr>
      <w:rFonts w:cs="Times New Roman"/>
      <w:color w:val="0000FF"/>
      <w:u w:val="single"/>
    </w:rPr>
  </w:style>
  <w:style w:type="character" w:styleId="Strong">
    <w:name w:val="Strong"/>
    <w:uiPriority w:val="99"/>
    <w:qFormat/>
    <w:rsid w:val="001B5A40"/>
    <w:rPr>
      <w:rFonts w:cs="Times New Roman"/>
      <w:b/>
    </w:rPr>
  </w:style>
  <w:style w:type="paragraph" w:styleId="NormalWeb">
    <w:name w:val="Normal (Web)"/>
    <w:basedOn w:val="Normal"/>
    <w:uiPriority w:val="99"/>
    <w:rsid w:val="001B5A40"/>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rsid w:val="001B5A40"/>
    <w:rPr>
      <w:b/>
      <w:bCs/>
    </w:rPr>
  </w:style>
  <w:style w:type="character" w:customStyle="1" w:styleId="CommentSubjectChar">
    <w:name w:val="Comment Subject Char"/>
    <w:link w:val="CommentSubject"/>
    <w:uiPriority w:val="99"/>
    <w:semiHidden/>
    <w:locked/>
    <w:rsid w:val="001B5A40"/>
    <w:rPr>
      <w:rFonts w:ascii="Calibri" w:hAnsi="Calibri" w:cs="Times New Roman"/>
      <w:b/>
      <w:bCs/>
    </w:rPr>
  </w:style>
  <w:style w:type="table" w:styleId="TableWeb1">
    <w:name w:val="Table Web 1"/>
    <w:basedOn w:val="TableNormal"/>
    <w:uiPriority w:val="99"/>
    <w:rsid w:val="001B5A40"/>
    <w:pPr>
      <w:spacing w:after="200" w:line="276" w:lineRule="auto"/>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rsid w:val="001B5A4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5A40"/>
    <w:pPr>
      <w:spacing w:after="200" w:line="276" w:lineRule="auto"/>
      <w:ind w:left="720"/>
      <w:contextualSpacing/>
    </w:pPr>
    <w:rPr>
      <w:lang w:eastAsia="en-US"/>
    </w:rPr>
  </w:style>
  <w:style w:type="paragraph" w:styleId="TOCHeading">
    <w:name w:val="TOC Heading"/>
    <w:basedOn w:val="Heading1"/>
    <w:next w:val="Normal"/>
    <w:uiPriority w:val="99"/>
    <w:qFormat/>
    <w:rsid w:val="001B5A40"/>
    <w:pPr>
      <w:keepLines/>
      <w:spacing w:before="480" w:after="0"/>
      <w:outlineLvl w:val="9"/>
    </w:pPr>
    <w:rPr>
      <w:color w:val="365F91"/>
      <w:kern w:val="0"/>
      <w:sz w:val="28"/>
      <w:szCs w:val="28"/>
      <w:lang w:eastAsia="ja-JP"/>
    </w:rPr>
  </w:style>
  <w:style w:type="paragraph" w:customStyle="1" w:styleId="Default">
    <w:name w:val="Default"/>
    <w:uiPriority w:val="99"/>
    <w:rsid w:val="001B5A40"/>
    <w:pPr>
      <w:autoSpaceDE w:val="0"/>
      <w:autoSpaceDN w:val="0"/>
      <w:adjustRightInd w:val="0"/>
    </w:pPr>
    <w:rPr>
      <w:rFonts w:ascii="Times New Roman" w:hAnsi="Times New Roman"/>
      <w:color w:val="000000"/>
      <w:sz w:val="24"/>
      <w:szCs w:val="24"/>
      <w:lang w:eastAsia="en-GB"/>
    </w:rPr>
  </w:style>
  <w:style w:type="character" w:customStyle="1" w:styleId="CharChar3">
    <w:name w:val="Char Char3"/>
    <w:uiPriority w:val="99"/>
    <w:rsid w:val="001B5A40"/>
    <w:rPr>
      <w:rFonts w:ascii="Arial" w:hAnsi="Arial"/>
      <w:sz w:val="22"/>
      <w:lang w:val="en-GB" w:eastAsia="en-GB"/>
    </w:rPr>
  </w:style>
  <w:style w:type="paragraph" w:customStyle="1" w:styleId="Normall">
    <w:name w:val="Normall"/>
    <w:basedOn w:val="Normal"/>
    <w:uiPriority w:val="99"/>
    <w:rsid w:val="001B5A40"/>
    <w:rPr>
      <w:rFonts w:ascii="Arial" w:hAnsi="Arial" w:cs="Arial"/>
    </w:rPr>
  </w:style>
  <w:style w:type="character" w:customStyle="1" w:styleId="HeaderChar1">
    <w:name w:val="Header Char1"/>
    <w:uiPriority w:val="99"/>
    <w:rsid w:val="001B5A40"/>
    <w:rPr>
      <w:rFonts w:ascii="Arial" w:hAnsi="Arial"/>
      <w:sz w:val="22"/>
    </w:rPr>
  </w:style>
  <w:style w:type="character" w:customStyle="1" w:styleId="FootnoteTextChar1">
    <w:name w:val="Footnote Text Char1"/>
    <w:uiPriority w:val="99"/>
    <w:semiHidden/>
    <w:rsid w:val="001B5A40"/>
    <w:rPr>
      <w:rFonts w:ascii="Arial" w:hAnsi="Arial"/>
    </w:rPr>
  </w:style>
  <w:style w:type="character" w:customStyle="1" w:styleId="Heading2Char1">
    <w:name w:val="Heading 2 Char1"/>
    <w:link w:val="Heading2"/>
    <w:uiPriority w:val="99"/>
    <w:locked/>
    <w:rsid w:val="001B5A40"/>
    <w:rPr>
      <w:rFonts w:ascii="Arial" w:hAnsi="Arial"/>
      <w:sz w:val="22"/>
      <w:u w:val="single"/>
    </w:rPr>
  </w:style>
  <w:style w:type="paragraph" w:styleId="NoSpacing">
    <w:name w:val="No Spacing"/>
    <w:uiPriority w:val="99"/>
    <w:qFormat/>
    <w:rsid w:val="001B5A4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151">
      <w:bodyDiv w:val="1"/>
      <w:marLeft w:val="0"/>
      <w:marRight w:val="0"/>
      <w:marTop w:val="0"/>
      <w:marBottom w:val="0"/>
      <w:divBdr>
        <w:top w:val="none" w:sz="0" w:space="0" w:color="auto"/>
        <w:left w:val="none" w:sz="0" w:space="0" w:color="auto"/>
        <w:bottom w:val="none" w:sz="0" w:space="0" w:color="auto"/>
        <w:right w:val="none" w:sz="0" w:space="0" w:color="auto"/>
      </w:divBdr>
    </w:div>
    <w:div w:id="124010560">
      <w:bodyDiv w:val="1"/>
      <w:marLeft w:val="0"/>
      <w:marRight w:val="0"/>
      <w:marTop w:val="0"/>
      <w:marBottom w:val="0"/>
      <w:divBdr>
        <w:top w:val="none" w:sz="0" w:space="0" w:color="auto"/>
        <w:left w:val="none" w:sz="0" w:space="0" w:color="auto"/>
        <w:bottom w:val="none" w:sz="0" w:space="0" w:color="auto"/>
        <w:right w:val="none" w:sz="0" w:space="0" w:color="auto"/>
      </w:divBdr>
    </w:div>
    <w:div w:id="537012421">
      <w:bodyDiv w:val="1"/>
      <w:marLeft w:val="0"/>
      <w:marRight w:val="0"/>
      <w:marTop w:val="0"/>
      <w:marBottom w:val="0"/>
      <w:divBdr>
        <w:top w:val="none" w:sz="0" w:space="0" w:color="auto"/>
        <w:left w:val="none" w:sz="0" w:space="0" w:color="auto"/>
        <w:bottom w:val="none" w:sz="0" w:space="0" w:color="auto"/>
        <w:right w:val="none" w:sz="0" w:space="0" w:color="auto"/>
      </w:divBdr>
    </w:div>
    <w:div w:id="649166641">
      <w:marLeft w:val="0"/>
      <w:marRight w:val="0"/>
      <w:marTop w:val="0"/>
      <w:marBottom w:val="0"/>
      <w:divBdr>
        <w:top w:val="none" w:sz="0" w:space="0" w:color="auto"/>
        <w:left w:val="none" w:sz="0" w:space="0" w:color="auto"/>
        <w:bottom w:val="none" w:sz="0" w:space="0" w:color="auto"/>
        <w:right w:val="none" w:sz="0" w:space="0" w:color="auto"/>
      </w:divBdr>
    </w:div>
    <w:div w:id="757992058">
      <w:bodyDiv w:val="1"/>
      <w:marLeft w:val="0"/>
      <w:marRight w:val="0"/>
      <w:marTop w:val="0"/>
      <w:marBottom w:val="0"/>
      <w:divBdr>
        <w:top w:val="none" w:sz="0" w:space="0" w:color="auto"/>
        <w:left w:val="none" w:sz="0" w:space="0" w:color="auto"/>
        <w:bottom w:val="none" w:sz="0" w:space="0" w:color="auto"/>
        <w:right w:val="none" w:sz="0" w:space="0" w:color="auto"/>
      </w:divBdr>
    </w:div>
    <w:div w:id="993030570">
      <w:bodyDiv w:val="1"/>
      <w:marLeft w:val="0"/>
      <w:marRight w:val="0"/>
      <w:marTop w:val="0"/>
      <w:marBottom w:val="0"/>
      <w:divBdr>
        <w:top w:val="none" w:sz="0" w:space="0" w:color="auto"/>
        <w:left w:val="none" w:sz="0" w:space="0" w:color="auto"/>
        <w:bottom w:val="none" w:sz="0" w:space="0" w:color="auto"/>
        <w:right w:val="none" w:sz="0" w:space="0" w:color="auto"/>
      </w:divBdr>
    </w:div>
    <w:div w:id="1749309190">
      <w:bodyDiv w:val="1"/>
      <w:marLeft w:val="0"/>
      <w:marRight w:val="0"/>
      <w:marTop w:val="0"/>
      <w:marBottom w:val="0"/>
      <w:divBdr>
        <w:top w:val="none" w:sz="0" w:space="0" w:color="auto"/>
        <w:left w:val="none" w:sz="0" w:space="0" w:color="auto"/>
        <w:bottom w:val="none" w:sz="0" w:space="0" w:color="auto"/>
        <w:right w:val="none" w:sz="0" w:space="0" w:color="auto"/>
      </w:divBdr>
    </w:div>
    <w:div w:id="2073851397">
      <w:bodyDiv w:val="1"/>
      <w:marLeft w:val="0"/>
      <w:marRight w:val="0"/>
      <w:marTop w:val="0"/>
      <w:marBottom w:val="0"/>
      <w:divBdr>
        <w:top w:val="none" w:sz="0" w:space="0" w:color="auto"/>
        <w:left w:val="none" w:sz="0" w:space="0" w:color="auto"/>
        <w:bottom w:val="none" w:sz="0" w:space="0" w:color="auto"/>
        <w:right w:val="none" w:sz="0" w:space="0" w:color="auto"/>
      </w:divBdr>
    </w:div>
    <w:div w:id="20785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vialliance.org/support/who/index.php" TargetMode="External"/><Relationship Id="rId5" Type="http://schemas.openxmlformats.org/officeDocument/2006/relationships/webSettings" Target="webSettings.xml"/><Relationship Id="rId10" Type="http://schemas.openxmlformats.org/officeDocument/2006/relationships/hyperlink" Target="http://www.gavialliance.org/support/apply/countries-eligible-for-suppor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lleenhoutsmartin</dc:creator>
  <cp:keywords/>
  <dc:description/>
  <cp:lastModifiedBy>ADMINISTRATOR</cp:lastModifiedBy>
  <cp:revision>11</cp:revision>
  <dcterms:created xsi:type="dcterms:W3CDTF">2011-11-14T15:37:00Z</dcterms:created>
  <dcterms:modified xsi:type="dcterms:W3CDTF">2013-03-22T01:41:00Z</dcterms:modified>
</cp:coreProperties>
</file>