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78" w:rsidRPr="00165178" w:rsidRDefault="00165178" w:rsidP="00165178">
      <w:pPr>
        <w:autoSpaceDE w:val="0"/>
        <w:autoSpaceDN w:val="0"/>
        <w:adjustRightInd w:val="0"/>
        <w:spacing w:after="0"/>
        <w:jc w:val="center"/>
        <w:rPr>
          <w:rFonts w:ascii="Arial" w:hAnsi="Arial" w:cs="Arial"/>
          <w:b/>
          <w:bCs/>
          <w:sz w:val="26"/>
          <w:szCs w:val="26"/>
          <w:highlight w:val="cyan"/>
          <w:lang/>
        </w:rPr>
      </w:pPr>
      <w:r w:rsidRPr="00165178">
        <w:rPr>
          <w:rFonts w:ascii="Arial" w:hAnsi="Arial" w:cs="Arial"/>
          <w:b/>
          <w:bCs/>
          <w:sz w:val="26"/>
          <w:szCs w:val="26"/>
          <w:highlight w:val="cyan"/>
          <w:lang/>
        </w:rPr>
        <w:t>ROTECTING CHILDREN AGAINST VACCINE PREVENTABLE DISEASE</w:t>
      </w:r>
    </w:p>
    <w:p w:rsidR="00165178" w:rsidRPr="00165178" w:rsidRDefault="00165178" w:rsidP="00165178">
      <w:pPr>
        <w:autoSpaceDE w:val="0"/>
        <w:autoSpaceDN w:val="0"/>
        <w:adjustRightInd w:val="0"/>
        <w:spacing w:after="0"/>
        <w:jc w:val="center"/>
        <w:rPr>
          <w:rFonts w:ascii="Arial" w:hAnsi="Arial" w:cs="Arial"/>
          <w:b/>
          <w:bCs/>
          <w:sz w:val="32"/>
          <w:szCs w:val="32"/>
          <w:highlight w:val="cyan"/>
          <w:lang/>
        </w:rPr>
      </w:pPr>
      <w:r w:rsidRPr="00165178">
        <w:rPr>
          <w:rFonts w:ascii="Arial" w:hAnsi="Arial" w:cs="Arial"/>
          <w:b/>
          <w:bCs/>
          <w:sz w:val="32"/>
          <w:szCs w:val="32"/>
          <w:highlight w:val="cyan"/>
          <w:lang/>
        </w:rPr>
        <w:t xml:space="preserve">National Plan for </w:t>
      </w:r>
      <w:proofErr w:type="gramStart"/>
      <w:r w:rsidRPr="00165178">
        <w:rPr>
          <w:rFonts w:ascii="Arial" w:hAnsi="Arial" w:cs="Arial"/>
          <w:b/>
          <w:bCs/>
          <w:sz w:val="32"/>
          <w:szCs w:val="32"/>
          <w:highlight w:val="cyan"/>
          <w:lang/>
        </w:rPr>
        <w:t>Strengthening  Cold</w:t>
      </w:r>
      <w:proofErr w:type="gramEnd"/>
      <w:r w:rsidRPr="00165178">
        <w:rPr>
          <w:rFonts w:ascii="Arial" w:hAnsi="Arial" w:cs="Arial"/>
          <w:b/>
          <w:bCs/>
          <w:sz w:val="32"/>
          <w:szCs w:val="32"/>
          <w:highlight w:val="cyan"/>
          <w:lang/>
        </w:rPr>
        <w:t xml:space="preserve"> Chain and Logistics Systems in Haiti </w:t>
      </w:r>
    </w:p>
    <w:p w:rsidR="00165178" w:rsidRPr="00165178" w:rsidRDefault="00165178" w:rsidP="00165178">
      <w:pPr>
        <w:autoSpaceDE w:val="0"/>
        <w:autoSpaceDN w:val="0"/>
        <w:adjustRightInd w:val="0"/>
        <w:jc w:val="center"/>
        <w:rPr>
          <w:rFonts w:ascii="Calibri" w:hAnsi="Calibri" w:cs="Calibri"/>
          <w:sz w:val="28"/>
          <w:szCs w:val="28"/>
          <w:highlight w:val="cyan"/>
          <w:lang/>
        </w:rPr>
      </w:pPr>
      <w:r w:rsidRPr="00165178">
        <w:rPr>
          <w:rFonts w:ascii="Arial" w:hAnsi="Arial" w:cs="Arial"/>
          <w:b/>
          <w:bCs/>
          <w:sz w:val="28"/>
          <w:szCs w:val="28"/>
          <w:highlight w:val="cyan"/>
          <w:lang/>
        </w:rPr>
        <w:t>November 2011</w:t>
      </w:r>
      <w:r w:rsidRPr="00165178">
        <w:rPr>
          <w:rFonts w:ascii="Calibri" w:hAnsi="Calibri" w:cs="Calibri"/>
          <w:sz w:val="28"/>
          <w:szCs w:val="28"/>
          <w:highlight w:val="cyan"/>
          <w:lang/>
        </w:rPr>
        <w:t xml:space="preserve">     </w:t>
      </w:r>
    </w:p>
    <w:p w:rsidR="00165178" w:rsidRDefault="00165178" w:rsidP="00165178">
      <w:pPr>
        <w:autoSpaceDE w:val="0"/>
        <w:autoSpaceDN w:val="0"/>
        <w:adjustRightInd w:val="0"/>
        <w:jc w:val="center"/>
        <w:rPr>
          <w:rFonts w:ascii="Arial" w:hAnsi="Arial" w:cs="Arial"/>
          <w:highlight w:val="cyan"/>
          <w:lang/>
        </w:rPr>
      </w:pPr>
      <w:r>
        <w:rPr>
          <w:rFonts w:ascii="Calibri" w:hAnsi="Calibri" w:cs="Calibri"/>
          <w:noProof/>
        </w:rPr>
        <w:drawing>
          <wp:inline distT="0" distB="0" distL="0" distR="0">
            <wp:extent cx="5753100" cy="323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53100" cy="323850"/>
                    </a:xfrm>
                    <a:prstGeom prst="rect">
                      <a:avLst/>
                    </a:prstGeom>
                    <a:noFill/>
                    <a:ln w="9525">
                      <a:noFill/>
                      <a:miter lim="800000"/>
                      <a:headEnd/>
                      <a:tailEnd/>
                    </a:ln>
                  </pic:spPr>
                </pic:pic>
              </a:graphicData>
            </a:graphic>
          </wp:inline>
        </w:drawing>
      </w:r>
    </w:p>
    <w:tbl>
      <w:tblPr>
        <w:tblW w:w="0" w:type="auto"/>
        <w:tblInd w:w="108" w:type="dxa"/>
        <w:tblLayout w:type="fixed"/>
        <w:tblLook w:val="0000"/>
      </w:tblPr>
      <w:tblGrid>
        <w:gridCol w:w="1890"/>
        <w:gridCol w:w="4230"/>
        <w:gridCol w:w="3420"/>
      </w:tblGrid>
      <w:tr w:rsidR="00165178">
        <w:tblPrEx>
          <w:tblCellMar>
            <w:top w:w="0" w:type="dxa"/>
            <w:bottom w:w="0" w:type="dxa"/>
          </w:tblCellMar>
        </w:tblPrEx>
        <w:trPr>
          <w:trHeight w:val="1"/>
        </w:trPr>
        <w:tc>
          <w:tcPr>
            <w:tcW w:w="18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tabs>
                <w:tab w:val="left" w:pos="2880"/>
              </w:tabs>
              <w:autoSpaceDE w:val="0"/>
              <w:autoSpaceDN w:val="0"/>
              <w:adjustRightInd w:val="0"/>
              <w:rPr>
                <w:rFonts w:ascii="Calibri" w:hAnsi="Calibri" w:cs="Calibri"/>
                <w:lang/>
              </w:rPr>
            </w:pPr>
            <w:r>
              <w:rPr>
                <w:rFonts w:ascii="Arial" w:hAnsi="Arial" w:cs="Arial"/>
                <w:b/>
                <w:bCs/>
                <w:sz w:val="20"/>
                <w:szCs w:val="20"/>
                <w:lang/>
              </w:rPr>
              <w:t>Objective</w:t>
            </w:r>
            <w:r>
              <w:rPr>
                <w:rFonts w:ascii="Arial" w:hAnsi="Arial" w:cs="Arial"/>
                <w:sz w:val="20"/>
                <w:szCs w:val="20"/>
                <w:lang/>
              </w:rPr>
              <w:t>:</w:t>
            </w:r>
            <w:r>
              <w:rPr>
                <w:rFonts w:ascii="Arial" w:hAnsi="Arial" w:cs="Arial"/>
                <w:sz w:val="20"/>
                <w:szCs w:val="20"/>
                <w:lang/>
              </w:rPr>
              <w:tab/>
            </w:r>
          </w:p>
        </w:tc>
        <w:tc>
          <w:tcPr>
            <w:tcW w:w="76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tabs>
                <w:tab w:val="left" w:pos="2880"/>
              </w:tabs>
              <w:autoSpaceDE w:val="0"/>
              <w:autoSpaceDN w:val="0"/>
              <w:adjustRightInd w:val="0"/>
              <w:rPr>
                <w:rFonts w:ascii="Calibri" w:hAnsi="Calibri" w:cs="Calibri"/>
                <w:lang/>
              </w:rPr>
            </w:pPr>
            <w:r>
              <w:rPr>
                <w:rFonts w:ascii="Arial" w:hAnsi="Arial" w:cs="Arial"/>
                <w:sz w:val="20"/>
                <w:szCs w:val="20"/>
                <w:lang/>
              </w:rPr>
              <w:t>Strengthen the EPI Cold Chain and Logistics System Prior  to Introducing  New Vaccines (</w:t>
            </w:r>
            <w:proofErr w:type="spellStart"/>
            <w:r>
              <w:rPr>
                <w:rFonts w:ascii="Arial" w:hAnsi="Arial" w:cs="Arial"/>
                <w:sz w:val="20"/>
                <w:szCs w:val="20"/>
                <w:lang/>
              </w:rPr>
              <w:t>Penta</w:t>
            </w:r>
            <w:proofErr w:type="spellEnd"/>
            <w:r>
              <w:rPr>
                <w:rFonts w:ascii="Arial" w:hAnsi="Arial" w:cs="Arial"/>
                <w:sz w:val="20"/>
                <w:szCs w:val="20"/>
                <w:lang/>
              </w:rPr>
              <w:t>/2012 - PCV13 +Rota/ 2013)</w:t>
            </w:r>
          </w:p>
        </w:tc>
      </w:tr>
      <w:tr w:rsidR="00165178">
        <w:tblPrEx>
          <w:tblCellMar>
            <w:top w:w="0" w:type="dxa"/>
            <w:bottom w:w="0" w:type="dxa"/>
          </w:tblCellMar>
        </w:tblPrEx>
        <w:trPr>
          <w:trHeight w:val="1"/>
        </w:trPr>
        <w:tc>
          <w:tcPr>
            <w:tcW w:w="18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rPr>
                <w:rFonts w:ascii="Calibri" w:hAnsi="Calibri" w:cs="Calibri"/>
                <w:lang/>
              </w:rPr>
            </w:pPr>
            <w:r>
              <w:rPr>
                <w:rFonts w:ascii="Arial" w:hAnsi="Arial" w:cs="Arial"/>
                <w:b/>
                <w:bCs/>
                <w:sz w:val="20"/>
                <w:szCs w:val="20"/>
                <w:lang/>
              </w:rPr>
              <w:t>Components</w:t>
            </w:r>
            <w:r>
              <w:rPr>
                <w:rFonts w:ascii="Arial" w:hAnsi="Arial" w:cs="Arial"/>
                <w:sz w:val="20"/>
                <w:szCs w:val="20"/>
                <w:lang/>
              </w:rPr>
              <w:t>:</w:t>
            </w:r>
            <w:r>
              <w:rPr>
                <w:rFonts w:ascii="Arial" w:hAnsi="Arial" w:cs="Arial"/>
                <w:sz w:val="20"/>
                <w:szCs w:val="20"/>
                <w:lang/>
              </w:rPr>
              <w:tab/>
            </w:r>
          </w:p>
        </w:tc>
        <w:tc>
          <w:tcPr>
            <w:tcW w:w="76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rsidP="00165178">
            <w:pPr>
              <w:numPr>
                <w:ilvl w:val="0"/>
                <w:numId w:val="1"/>
              </w:numPr>
              <w:tabs>
                <w:tab w:val="left" w:pos="360"/>
              </w:tabs>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Central Vaccine Cold Store;</w:t>
            </w:r>
          </w:p>
          <w:p w:rsidR="00165178" w:rsidRDefault="00165178" w:rsidP="00165178">
            <w:pPr>
              <w:numPr>
                <w:ilvl w:val="0"/>
                <w:numId w:val="1"/>
              </w:numPr>
              <w:tabs>
                <w:tab w:val="left" w:pos="360"/>
              </w:tabs>
              <w:autoSpaceDE w:val="0"/>
              <w:autoSpaceDN w:val="0"/>
              <w:adjustRightInd w:val="0"/>
              <w:spacing w:after="0" w:line="240" w:lineRule="auto"/>
              <w:ind w:left="360" w:hanging="360"/>
              <w:rPr>
                <w:rFonts w:ascii="Arial" w:hAnsi="Arial" w:cs="Arial"/>
                <w:b/>
                <w:bCs/>
                <w:sz w:val="20"/>
                <w:szCs w:val="20"/>
                <w:lang/>
              </w:rPr>
            </w:pPr>
            <w:r>
              <w:rPr>
                <w:rFonts w:ascii="Arial" w:hAnsi="Arial" w:cs="Arial"/>
                <w:sz w:val="20"/>
                <w:szCs w:val="20"/>
                <w:lang/>
              </w:rPr>
              <w:t xml:space="preserve">Intermediate Vaccine Depots; </w:t>
            </w:r>
          </w:p>
          <w:p w:rsidR="00165178" w:rsidRDefault="00165178" w:rsidP="00165178">
            <w:pPr>
              <w:numPr>
                <w:ilvl w:val="0"/>
                <w:numId w:val="1"/>
              </w:numPr>
              <w:tabs>
                <w:tab w:val="left" w:pos="360"/>
              </w:tabs>
              <w:autoSpaceDE w:val="0"/>
              <w:autoSpaceDN w:val="0"/>
              <w:adjustRightInd w:val="0"/>
              <w:spacing w:after="0" w:line="240" w:lineRule="auto"/>
              <w:ind w:left="360" w:hanging="360"/>
              <w:rPr>
                <w:rFonts w:ascii="Calibri" w:hAnsi="Calibri" w:cs="Calibri"/>
                <w:lang/>
              </w:rPr>
            </w:pPr>
            <w:r>
              <w:rPr>
                <w:rFonts w:ascii="Arial" w:hAnsi="Arial" w:cs="Arial"/>
                <w:sz w:val="20"/>
                <w:szCs w:val="20"/>
                <w:lang/>
              </w:rPr>
              <w:t>Health Centers.</w:t>
            </w:r>
          </w:p>
        </w:tc>
      </w:tr>
      <w:tr w:rsidR="00165178">
        <w:tblPrEx>
          <w:tblCellMar>
            <w:top w:w="0" w:type="dxa"/>
            <w:bottom w:w="0" w:type="dxa"/>
          </w:tblCellMar>
        </w:tblPrEx>
        <w:trPr>
          <w:trHeight w:val="263"/>
        </w:trPr>
        <w:tc>
          <w:tcPr>
            <w:tcW w:w="189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rPr>
                <w:rFonts w:ascii="Calibri" w:hAnsi="Calibri" w:cs="Calibri"/>
                <w:lang/>
              </w:rPr>
            </w:pPr>
            <w:r>
              <w:rPr>
                <w:rFonts w:ascii="Arial" w:hAnsi="Arial" w:cs="Arial"/>
                <w:b/>
                <w:bCs/>
                <w:sz w:val="20"/>
                <w:szCs w:val="20"/>
                <w:lang/>
              </w:rPr>
              <w:t>Total Cost</w:t>
            </w:r>
            <w:r>
              <w:rPr>
                <w:rFonts w:ascii="Arial" w:hAnsi="Arial" w:cs="Arial"/>
                <w:sz w:val="20"/>
                <w:szCs w:val="20"/>
                <w:lang/>
              </w:rPr>
              <w:t>:</w:t>
            </w:r>
          </w:p>
        </w:tc>
        <w:tc>
          <w:tcPr>
            <w:tcW w:w="4230" w:type="dxa"/>
            <w:tcBorders>
              <w:top w:val="single" w:sz="3" w:space="0" w:color="000000"/>
              <w:left w:val="single" w:sz="3" w:space="0" w:color="000000"/>
              <w:bottom w:val="single" w:sz="3" w:space="0" w:color="000000"/>
              <w:right w:val="single" w:sz="3" w:space="0" w:color="000000"/>
            </w:tcBorders>
            <w:shd w:val="pct15" w:color="auto" w:fill="auto"/>
            <w:vAlign w:val="center"/>
          </w:tcPr>
          <w:p w:rsidR="00165178" w:rsidRDefault="00165178">
            <w:pPr>
              <w:autoSpaceDE w:val="0"/>
              <w:autoSpaceDN w:val="0"/>
              <w:adjustRightInd w:val="0"/>
              <w:rPr>
                <w:rFonts w:ascii="Calibri" w:hAnsi="Calibri" w:cs="Calibri"/>
                <w:lang/>
              </w:rPr>
            </w:pPr>
            <w:r>
              <w:rPr>
                <w:rFonts w:ascii="Arial" w:hAnsi="Arial" w:cs="Arial"/>
                <w:sz w:val="20"/>
                <w:szCs w:val="20"/>
                <w:lang/>
              </w:rPr>
              <w:t>2011-2012</w:t>
            </w:r>
          </w:p>
        </w:tc>
        <w:tc>
          <w:tcPr>
            <w:tcW w:w="3420" w:type="dxa"/>
            <w:tcBorders>
              <w:top w:val="single" w:sz="3" w:space="0" w:color="000000"/>
              <w:left w:val="single" w:sz="3" w:space="0" w:color="000000"/>
              <w:bottom w:val="single" w:sz="3" w:space="0" w:color="000000"/>
              <w:right w:val="single" w:sz="3" w:space="0" w:color="000000"/>
            </w:tcBorders>
            <w:shd w:val="pct15" w:color="auto" w:fill="auto"/>
            <w:vAlign w:val="center"/>
          </w:tcPr>
          <w:p w:rsidR="00165178" w:rsidRDefault="00165178">
            <w:pPr>
              <w:autoSpaceDE w:val="0"/>
              <w:autoSpaceDN w:val="0"/>
              <w:adjustRightInd w:val="0"/>
              <w:rPr>
                <w:rFonts w:ascii="Calibri" w:hAnsi="Calibri" w:cs="Calibri"/>
                <w:lang/>
              </w:rPr>
            </w:pPr>
            <w:r>
              <w:rPr>
                <w:rFonts w:ascii="Arial" w:hAnsi="Arial" w:cs="Arial"/>
                <w:sz w:val="20"/>
                <w:szCs w:val="20"/>
                <w:lang/>
              </w:rPr>
              <w:t>2013-2023</w:t>
            </w:r>
          </w:p>
        </w:tc>
      </w:tr>
      <w:tr w:rsidR="00165178">
        <w:tblPrEx>
          <w:tblCellMar>
            <w:top w:w="0" w:type="dxa"/>
            <w:bottom w:w="0" w:type="dxa"/>
          </w:tblCellMar>
        </w:tblPrEx>
        <w:trPr>
          <w:trHeight w:val="335"/>
        </w:trPr>
        <w:tc>
          <w:tcPr>
            <w:tcW w:w="189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rPr>
                <w:rFonts w:ascii="Calibri" w:hAnsi="Calibri" w:cs="Calibri"/>
                <w:lang/>
              </w:rPr>
            </w:pPr>
          </w:p>
        </w:tc>
        <w:tc>
          <w:tcPr>
            <w:tcW w:w="42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jc w:val="right"/>
              <w:rPr>
                <w:rFonts w:ascii="Calibri" w:hAnsi="Calibri" w:cs="Calibri"/>
                <w:lang/>
              </w:rPr>
            </w:pPr>
            <w:r>
              <w:rPr>
                <w:rFonts w:ascii="Arial" w:hAnsi="Arial" w:cs="Arial"/>
                <w:b/>
                <w:bCs/>
                <w:sz w:val="20"/>
                <w:szCs w:val="20"/>
                <w:lang/>
              </w:rPr>
              <w:t>$9,405,112</w:t>
            </w:r>
          </w:p>
        </w:tc>
        <w:tc>
          <w:tcPr>
            <w:tcW w:w="34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jc w:val="right"/>
              <w:rPr>
                <w:rFonts w:ascii="Calibri" w:hAnsi="Calibri" w:cs="Calibri"/>
                <w:lang/>
              </w:rPr>
            </w:pPr>
            <w:r>
              <w:rPr>
                <w:rFonts w:ascii="Arial" w:hAnsi="Arial" w:cs="Arial"/>
                <w:b/>
                <w:bCs/>
                <w:sz w:val="20"/>
                <w:szCs w:val="20"/>
                <w:lang/>
              </w:rPr>
              <w:t>$25,889,282</w:t>
            </w:r>
          </w:p>
        </w:tc>
      </w:tr>
      <w:tr w:rsidR="00165178">
        <w:tblPrEx>
          <w:tblCellMar>
            <w:top w:w="0" w:type="dxa"/>
            <w:bottom w:w="0" w:type="dxa"/>
          </w:tblCellMar>
        </w:tblPrEx>
        <w:trPr>
          <w:trHeight w:val="401"/>
        </w:trPr>
        <w:tc>
          <w:tcPr>
            <w:tcW w:w="18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rPr>
                <w:rFonts w:ascii="Calibri" w:hAnsi="Calibri" w:cs="Calibri"/>
                <w:lang/>
              </w:rPr>
            </w:pPr>
            <w:r>
              <w:rPr>
                <w:rFonts w:ascii="Arial" w:hAnsi="Arial" w:cs="Arial"/>
                <w:b/>
                <w:bCs/>
                <w:sz w:val="20"/>
                <w:szCs w:val="20"/>
                <w:lang/>
              </w:rPr>
              <w:t>Secured Funding</w:t>
            </w:r>
            <w:r>
              <w:rPr>
                <w:rFonts w:ascii="Arial" w:hAnsi="Arial" w:cs="Arial"/>
                <w:sz w:val="20"/>
                <w:szCs w:val="20"/>
                <w:lang/>
              </w:rPr>
              <w:t>:</w:t>
            </w:r>
          </w:p>
        </w:tc>
        <w:tc>
          <w:tcPr>
            <w:tcW w:w="42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jc w:val="right"/>
              <w:rPr>
                <w:rFonts w:ascii="Calibri" w:hAnsi="Calibri" w:cs="Calibri"/>
                <w:lang/>
              </w:rPr>
            </w:pPr>
            <w:r>
              <w:rPr>
                <w:rFonts w:ascii="Arial" w:hAnsi="Arial" w:cs="Arial"/>
                <w:b/>
                <w:bCs/>
                <w:sz w:val="20"/>
                <w:szCs w:val="20"/>
                <w:lang/>
              </w:rPr>
              <w:t>$4,201,200</w:t>
            </w:r>
          </w:p>
        </w:tc>
        <w:tc>
          <w:tcPr>
            <w:tcW w:w="34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jc w:val="right"/>
              <w:rPr>
                <w:rFonts w:ascii="Calibri" w:hAnsi="Calibri" w:cs="Calibri"/>
                <w:lang/>
              </w:rPr>
            </w:pPr>
            <w:r>
              <w:rPr>
                <w:rFonts w:ascii="Arial" w:hAnsi="Arial" w:cs="Arial"/>
                <w:b/>
                <w:bCs/>
                <w:sz w:val="20"/>
                <w:szCs w:val="20"/>
                <w:lang/>
              </w:rPr>
              <w:t>$0.00</w:t>
            </w:r>
          </w:p>
        </w:tc>
      </w:tr>
      <w:tr w:rsidR="00165178">
        <w:tblPrEx>
          <w:tblCellMar>
            <w:top w:w="0" w:type="dxa"/>
            <w:bottom w:w="0" w:type="dxa"/>
          </w:tblCellMar>
        </w:tblPrEx>
        <w:trPr>
          <w:trHeight w:val="275"/>
        </w:trPr>
        <w:tc>
          <w:tcPr>
            <w:tcW w:w="18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rPr>
                <w:rFonts w:ascii="Calibri" w:hAnsi="Calibri" w:cs="Calibri"/>
                <w:lang/>
              </w:rPr>
            </w:pPr>
            <w:r>
              <w:rPr>
                <w:rFonts w:ascii="Arial" w:hAnsi="Arial" w:cs="Arial"/>
                <w:b/>
                <w:bCs/>
                <w:sz w:val="20"/>
                <w:szCs w:val="20"/>
                <w:lang/>
              </w:rPr>
              <w:t>Funding Gap</w:t>
            </w:r>
            <w:r>
              <w:rPr>
                <w:rFonts w:ascii="Arial" w:hAnsi="Arial" w:cs="Arial"/>
                <w:sz w:val="20"/>
                <w:szCs w:val="20"/>
                <w:lang/>
              </w:rPr>
              <w:t xml:space="preserve">: </w:t>
            </w:r>
            <w:r>
              <w:rPr>
                <w:rFonts w:ascii="Arial" w:hAnsi="Arial" w:cs="Arial"/>
                <w:sz w:val="20"/>
                <w:szCs w:val="20"/>
                <w:lang/>
              </w:rPr>
              <w:tab/>
              <w:t xml:space="preserve"> </w:t>
            </w:r>
          </w:p>
        </w:tc>
        <w:tc>
          <w:tcPr>
            <w:tcW w:w="42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jc w:val="right"/>
              <w:rPr>
                <w:rFonts w:ascii="Calibri" w:hAnsi="Calibri" w:cs="Calibri"/>
                <w:lang/>
              </w:rPr>
            </w:pPr>
            <w:r>
              <w:rPr>
                <w:rFonts w:ascii="Arial" w:hAnsi="Arial" w:cs="Arial"/>
                <w:b/>
                <w:bCs/>
                <w:sz w:val="20"/>
                <w:szCs w:val="20"/>
                <w:lang/>
              </w:rPr>
              <w:t xml:space="preserve">$5,203,912   </w:t>
            </w:r>
          </w:p>
        </w:tc>
        <w:tc>
          <w:tcPr>
            <w:tcW w:w="34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jc w:val="right"/>
              <w:rPr>
                <w:rFonts w:ascii="Calibri" w:hAnsi="Calibri" w:cs="Calibri"/>
                <w:lang/>
              </w:rPr>
            </w:pPr>
            <w:r>
              <w:rPr>
                <w:rFonts w:ascii="Arial" w:hAnsi="Arial" w:cs="Arial"/>
                <w:b/>
                <w:bCs/>
                <w:sz w:val="20"/>
                <w:szCs w:val="20"/>
                <w:lang/>
              </w:rPr>
              <w:t xml:space="preserve">$25,889,282   </w:t>
            </w:r>
          </w:p>
        </w:tc>
      </w:tr>
      <w:tr w:rsidR="00165178">
        <w:tblPrEx>
          <w:tblCellMar>
            <w:top w:w="0" w:type="dxa"/>
            <w:bottom w:w="0" w:type="dxa"/>
          </w:tblCellMar>
        </w:tblPrEx>
        <w:trPr>
          <w:trHeight w:val="1"/>
        </w:trPr>
        <w:tc>
          <w:tcPr>
            <w:tcW w:w="18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rPr>
                <w:rFonts w:ascii="Calibri" w:hAnsi="Calibri" w:cs="Calibri"/>
                <w:lang/>
              </w:rPr>
            </w:pPr>
            <w:r>
              <w:rPr>
                <w:rFonts w:ascii="Arial" w:hAnsi="Arial" w:cs="Arial"/>
                <w:b/>
                <w:bCs/>
                <w:sz w:val="20"/>
                <w:szCs w:val="20"/>
                <w:lang/>
              </w:rPr>
              <w:t>Country</w:t>
            </w:r>
            <w:r>
              <w:rPr>
                <w:rFonts w:ascii="Arial" w:hAnsi="Arial" w:cs="Arial"/>
                <w:sz w:val="20"/>
                <w:szCs w:val="20"/>
                <w:lang/>
              </w:rPr>
              <w:t>:</w:t>
            </w:r>
          </w:p>
        </w:tc>
        <w:tc>
          <w:tcPr>
            <w:tcW w:w="76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rPr>
                <w:rFonts w:ascii="Calibri" w:hAnsi="Calibri" w:cs="Calibri"/>
                <w:lang/>
              </w:rPr>
            </w:pPr>
            <w:r>
              <w:rPr>
                <w:rFonts w:ascii="Arial" w:hAnsi="Arial" w:cs="Arial"/>
                <w:sz w:val="20"/>
                <w:szCs w:val="20"/>
                <w:lang/>
              </w:rPr>
              <w:t xml:space="preserve">Republic of Haiti </w:t>
            </w:r>
            <w:r>
              <w:rPr>
                <w:rFonts w:ascii="Arial" w:hAnsi="Arial" w:cs="Arial"/>
                <w:sz w:val="20"/>
                <w:szCs w:val="20"/>
                <w:lang/>
              </w:rPr>
              <w:tab/>
            </w:r>
          </w:p>
        </w:tc>
      </w:tr>
      <w:tr w:rsidR="00165178">
        <w:tblPrEx>
          <w:tblCellMar>
            <w:top w:w="0" w:type="dxa"/>
            <w:bottom w:w="0" w:type="dxa"/>
          </w:tblCellMar>
        </w:tblPrEx>
        <w:trPr>
          <w:trHeight w:val="1"/>
        </w:trPr>
        <w:tc>
          <w:tcPr>
            <w:tcW w:w="18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rPr>
                <w:rFonts w:ascii="Calibri" w:hAnsi="Calibri" w:cs="Calibri"/>
                <w:lang/>
              </w:rPr>
            </w:pPr>
            <w:r>
              <w:rPr>
                <w:rFonts w:ascii="Arial" w:hAnsi="Arial" w:cs="Arial"/>
                <w:b/>
                <w:bCs/>
                <w:sz w:val="20"/>
                <w:szCs w:val="20"/>
                <w:lang/>
              </w:rPr>
              <w:t>Partners</w:t>
            </w:r>
            <w:r>
              <w:rPr>
                <w:rFonts w:ascii="Arial" w:hAnsi="Arial" w:cs="Arial"/>
                <w:sz w:val="20"/>
                <w:szCs w:val="20"/>
                <w:lang/>
              </w:rPr>
              <w:t>:</w:t>
            </w:r>
            <w:r>
              <w:rPr>
                <w:rFonts w:ascii="Arial" w:hAnsi="Arial" w:cs="Arial"/>
                <w:sz w:val="20"/>
                <w:szCs w:val="20"/>
                <w:lang/>
              </w:rPr>
              <w:tab/>
            </w:r>
          </w:p>
        </w:tc>
        <w:tc>
          <w:tcPr>
            <w:tcW w:w="76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165178" w:rsidRDefault="00165178">
            <w:pPr>
              <w:autoSpaceDE w:val="0"/>
              <w:autoSpaceDN w:val="0"/>
              <w:adjustRightInd w:val="0"/>
              <w:rPr>
                <w:rFonts w:ascii="Calibri" w:hAnsi="Calibri" w:cs="Calibri"/>
                <w:lang/>
              </w:rPr>
            </w:pPr>
            <w:r>
              <w:rPr>
                <w:rFonts w:ascii="Arial" w:hAnsi="Arial" w:cs="Arial"/>
                <w:sz w:val="20"/>
                <w:szCs w:val="20"/>
                <w:lang/>
              </w:rPr>
              <w:t>MOH/DNPEV; UNICEF; WHO; CDC; CIDA; JICA; Cooperation Brazil/Cuba/Haiti;</w:t>
            </w:r>
          </w:p>
        </w:tc>
      </w:tr>
    </w:tbl>
    <w:p w:rsidR="00165178" w:rsidRPr="00165178" w:rsidRDefault="00165178" w:rsidP="00165178">
      <w:pPr>
        <w:autoSpaceDE w:val="0"/>
        <w:autoSpaceDN w:val="0"/>
        <w:adjustRightInd w:val="0"/>
        <w:jc w:val="both"/>
        <w:rPr>
          <w:rFonts w:ascii="Arial" w:hAnsi="Arial" w:cs="Arial"/>
          <w:sz w:val="32"/>
          <w:szCs w:val="32"/>
          <w:highlight w:val="cyan"/>
          <w:lang/>
        </w:rPr>
      </w:pPr>
      <w:r w:rsidRPr="00165178">
        <w:rPr>
          <w:rFonts w:ascii="Arial" w:hAnsi="Arial" w:cs="Arial"/>
          <w:sz w:val="32"/>
          <w:szCs w:val="32"/>
          <w:highlight w:val="cyan"/>
          <w:lang/>
        </w:rPr>
        <w:t xml:space="preserve">PROJECT SUMMARY </w:t>
      </w:r>
    </w:p>
    <w:p w:rsidR="00165178" w:rsidRDefault="00165178" w:rsidP="00165178">
      <w:pPr>
        <w:autoSpaceDE w:val="0"/>
        <w:autoSpaceDN w:val="0"/>
        <w:adjustRightInd w:val="0"/>
        <w:ind w:firstLine="720"/>
        <w:jc w:val="right"/>
        <w:rPr>
          <w:rFonts w:ascii="Arial" w:hAnsi="Arial" w:cs="Arial"/>
          <w:color w:val="FFFFFF"/>
          <w:lang/>
        </w:rPr>
      </w:pPr>
    </w:p>
    <w:p w:rsidR="00165178" w:rsidRDefault="00165178" w:rsidP="00165178">
      <w:pPr>
        <w:keepNext/>
        <w:tabs>
          <w:tab w:val="left" w:pos="360"/>
        </w:tabs>
        <w:autoSpaceDE w:val="0"/>
        <w:autoSpaceDN w:val="0"/>
        <w:adjustRightInd w:val="0"/>
        <w:spacing w:before="240" w:after="60" w:line="240" w:lineRule="auto"/>
        <w:ind w:left="360" w:hanging="360"/>
        <w:rPr>
          <w:rFonts w:ascii="Arial" w:hAnsi="Arial" w:cs="Arial"/>
          <w:color w:val="FFFFFF"/>
          <w:sz w:val="32"/>
          <w:szCs w:val="32"/>
          <w:highlight w:val="cyan"/>
          <w:lang/>
        </w:rPr>
      </w:pPr>
      <w:r>
        <w:rPr>
          <w:rFonts w:ascii="Arial" w:hAnsi="Arial" w:cs="Arial"/>
          <w:color w:val="FFFFFF"/>
          <w:sz w:val="32"/>
          <w:szCs w:val="32"/>
          <w:highlight w:val="cyan"/>
          <w:lang/>
        </w:rPr>
        <w:t>TABLE OF CONTENTS</w:t>
      </w:r>
    </w:p>
    <w:p w:rsidR="00165178" w:rsidRDefault="00165178" w:rsidP="00165178">
      <w:pPr>
        <w:autoSpaceDE w:val="0"/>
        <w:autoSpaceDN w:val="0"/>
        <w:adjustRightInd w:val="0"/>
        <w:spacing w:after="0" w:line="240" w:lineRule="auto"/>
        <w:rPr>
          <w:rFonts w:ascii="Arial" w:hAnsi="Arial" w:cs="Arial"/>
          <w:b/>
          <w:bCs/>
          <w:sz w:val="20"/>
          <w:szCs w:val="20"/>
          <w:lang/>
        </w:rPr>
      </w:pPr>
    </w:p>
    <w:p w:rsidR="00165178" w:rsidRDefault="00165178" w:rsidP="00165178">
      <w:pPr>
        <w:autoSpaceDE w:val="0"/>
        <w:autoSpaceDN w:val="0"/>
        <w:adjustRightInd w:val="0"/>
        <w:spacing w:after="0" w:line="240" w:lineRule="auto"/>
        <w:rPr>
          <w:rFonts w:ascii="Arial" w:hAnsi="Arial" w:cs="Arial"/>
          <w:b/>
          <w:bCs/>
          <w:sz w:val="20"/>
          <w:szCs w:val="20"/>
          <w:lang/>
        </w:rPr>
      </w:pPr>
    </w:p>
    <w:p w:rsidR="00165178" w:rsidRDefault="00165178" w:rsidP="00165178">
      <w:pPr>
        <w:autoSpaceDE w:val="0"/>
        <w:autoSpaceDN w:val="0"/>
        <w:adjustRightInd w:val="0"/>
        <w:spacing w:after="0" w:line="240" w:lineRule="auto"/>
        <w:rPr>
          <w:rFonts w:ascii="Arial" w:hAnsi="Arial" w:cs="Arial"/>
          <w:b/>
          <w:bCs/>
          <w:color w:val="009BFD"/>
          <w:lang/>
        </w:rPr>
      </w:pPr>
      <w:r>
        <w:rPr>
          <w:rFonts w:ascii="Arial" w:hAnsi="Arial" w:cs="Arial"/>
          <w:b/>
          <w:bCs/>
          <w:color w:val="009BFD"/>
          <w:lang/>
        </w:rPr>
        <w:t xml:space="preserve">ISSUE </w:t>
      </w:r>
    </w:p>
    <w:p w:rsidR="00165178" w:rsidRDefault="00165178" w:rsidP="00165178">
      <w:pPr>
        <w:autoSpaceDE w:val="0"/>
        <w:autoSpaceDN w:val="0"/>
        <w:adjustRightInd w:val="0"/>
        <w:spacing w:after="0" w:line="240" w:lineRule="auto"/>
        <w:rPr>
          <w:rFonts w:ascii="Arial" w:hAnsi="Arial" w:cs="Arial"/>
          <w:lang/>
        </w:rPr>
      </w:pPr>
    </w:p>
    <w:p w:rsidR="00165178" w:rsidRDefault="00165178" w:rsidP="00165178">
      <w:pPr>
        <w:autoSpaceDE w:val="0"/>
        <w:autoSpaceDN w:val="0"/>
        <w:adjustRightInd w:val="0"/>
        <w:spacing w:after="0" w:line="240" w:lineRule="auto"/>
        <w:rPr>
          <w:rFonts w:ascii="Arial" w:hAnsi="Arial" w:cs="Arial"/>
          <w:lang/>
        </w:rPr>
      </w:pPr>
      <w:r>
        <w:rPr>
          <w:rFonts w:ascii="Arial" w:hAnsi="Arial" w:cs="Arial"/>
          <w:lang/>
        </w:rPr>
        <w:t xml:space="preserve">Country Background </w:t>
      </w:r>
      <w:r>
        <w:rPr>
          <w:rFonts w:ascii="Arial" w:hAnsi="Arial" w:cs="Arial"/>
          <w:lang/>
        </w:rPr>
        <w:tab/>
      </w:r>
      <w:r>
        <w:rPr>
          <w:rFonts w:ascii="Arial" w:hAnsi="Arial" w:cs="Arial"/>
          <w:lang/>
        </w:rPr>
        <w:tab/>
      </w:r>
      <w:r>
        <w:rPr>
          <w:rFonts w:ascii="Arial" w:hAnsi="Arial" w:cs="Arial"/>
          <w:lang/>
        </w:rPr>
        <w:tab/>
      </w:r>
      <w:r>
        <w:rPr>
          <w:rFonts w:ascii="Arial" w:hAnsi="Arial" w:cs="Arial"/>
          <w:lang/>
        </w:rPr>
        <w:tab/>
      </w:r>
      <w:r>
        <w:rPr>
          <w:rFonts w:ascii="Arial" w:hAnsi="Arial" w:cs="Arial"/>
          <w:lang/>
        </w:rPr>
        <w:tab/>
        <w:t>3</w:t>
      </w:r>
    </w:p>
    <w:p w:rsidR="00165178" w:rsidRDefault="00165178" w:rsidP="00165178">
      <w:pPr>
        <w:autoSpaceDE w:val="0"/>
        <w:autoSpaceDN w:val="0"/>
        <w:adjustRightInd w:val="0"/>
        <w:spacing w:after="0" w:line="240" w:lineRule="auto"/>
        <w:rPr>
          <w:rFonts w:ascii="Arial" w:hAnsi="Arial" w:cs="Arial"/>
          <w:lang/>
        </w:rPr>
      </w:pPr>
    </w:p>
    <w:p w:rsidR="00165178" w:rsidRDefault="00165178" w:rsidP="00165178">
      <w:pPr>
        <w:autoSpaceDE w:val="0"/>
        <w:autoSpaceDN w:val="0"/>
        <w:adjustRightInd w:val="0"/>
        <w:spacing w:after="0" w:line="240" w:lineRule="auto"/>
        <w:rPr>
          <w:rFonts w:ascii="Arial" w:hAnsi="Arial" w:cs="Arial"/>
          <w:lang/>
        </w:rPr>
      </w:pPr>
      <w:r>
        <w:rPr>
          <w:rFonts w:ascii="Arial" w:hAnsi="Arial" w:cs="Arial"/>
          <w:lang/>
        </w:rPr>
        <w:t xml:space="preserve">Status of the Cold Chain </w:t>
      </w:r>
      <w:r>
        <w:rPr>
          <w:rFonts w:ascii="Arial" w:hAnsi="Arial" w:cs="Arial"/>
          <w:lang/>
        </w:rPr>
        <w:tab/>
      </w:r>
      <w:r>
        <w:rPr>
          <w:rFonts w:ascii="Arial" w:hAnsi="Arial" w:cs="Arial"/>
          <w:lang/>
        </w:rPr>
        <w:tab/>
      </w:r>
      <w:r>
        <w:rPr>
          <w:rFonts w:ascii="Arial" w:hAnsi="Arial" w:cs="Arial"/>
          <w:lang/>
        </w:rPr>
        <w:tab/>
      </w:r>
      <w:r>
        <w:rPr>
          <w:rFonts w:ascii="Arial" w:hAnsi="Arial" w:cs="Arial"/>
          <w:lang/>
        </w:rPr>
        <w:tab/>
        <w:t>6</w:t>
      </w:r>
    </w:p>
    <w:p w:rsidR="00165178" w:rsidRDefault="00165178" w:rsidP="00165178">
      <w:pPr>
        <w:autoSpaceDE w:val="0"/>
        <w:autoSpaceDN w:val="0"/>
        <w:adjustRightInd w:val="0"/>
        <w:spacing w:after="0" w:line="240" w:lineRule="auto"/>
        <w:rPr>
          <w:rFonts w:ascii="Arial" w:hAnsi="Arial" w:cs="Arial"/>
          <w:b/>
          <w:bCs/>
          <w:lang/>
        </w:rPr>
      </w:pPr>
    </w:p>
    <w:p w:rsidR="00165178" w:rsidRDefault="00165178" w:rsidP="00165178">
      <w:pPr>
        <w:autoSpaceDE w:val="0"/>
        <w:autoSpaceDN w:val="0"/>
        <w:adjustRightInd w:val="0"/>
        <w:spacing w:after="0" w:line="240" w:lineRule="auto"/>
        <w:rPr>
          <w:rFonts w:ascii="Arial" w:hAnsi="Arial" w:cs="Arial"/>
          <w:b/>
          <w:bCs/>
          <w:color w:val="009BFD"/>
          <w:lang/>
        </w:rPr>
      </w:pPr>
      <w:r>
        <w:rPr>
          <w:rFonts w:ascii="Arial" w:hAnsi="Arial" w:cs="Arial"/>
          <w:b/>
          <w:bCs/>
          <w:color w:val="009BFD"/>
          <w:lang/>
        </w:rPr>
        <w:t>ACTION AND IMPACT</w:t>
      </w:r>
    </w:p>
    <w:p w:rsidR="00165178" w:rsidRDefault="00165178" w:rsidP="00165178">
      <w:pPr>
        <w:autoSpaceDE w:val="0"/>
        <w:autoSpaceDN w:val="0"/>
        <w:adjustRightInd w:val="0"/>
        <w:spacing w:after="0" w:line="240" w:lineRule="auto"/>
        <w:rPr>
          <w:rFonts w:ascii="Arial" w:hAnsi="Arial" w:cs="Arial"/>
          <w:b/>
          <w:bCs/>
          <w:lang/>
        </w:rPr>
      </w:pPr>
    </w:p>
    <w:p w:rsidR="00165178" w:rsidRDefault="00165178" w:rsidP="00165178">
      <w:pPr>
        <w:autoSpaceDE w:val="0"/>
        <w:autoSpaceDN w:val="0"/>
        <w:adjustRightInd w:val="0"/>
        <w:spacing w:after="0" w:line="240" w:lineRule="auto"/>
        <w:rPr>
          <w:rFonts w:ascii="Arial" w:hAnsi="Arial" w:cs="Arial"/>
          <w:lang/>
        </w:rPr>
      </w:pPr>
      <w:r>
        <w:rPr>
          <w:rFonts w:ascii="Arial" w:hAnsi="Arial" w:cs="Arial"/>
          <w:lang/>
        </w:rPr>
        <w:t>Main Issues and Responses</w:t>
      </w:r>
      <w:r>
        <w:rPr>
          <w:rFonts w:ascii="Arial" w:hAnsi="Arial" w:cs="Arial"/>
          <w:lang/>
        </w:rPr>
        <w:tab/>
      </w:r>
      <w:r>
        <w:rPr>
          <w:rFonts w:ascii="Arial" w:hAnsi="Arial" w:cs="Arial"/>
          <w:lang/>
        </w:rPr>
        <w:tab/>
      </w:r>
      <w:r>
        <w:rPr>
          <w:rFonts w:ascii="Arial" w:hAnsi="Arial" w:cs="Arial"/>
          <w:lang/>
        </w:rPr>
        <w:tab/>
      </w:r>
      <w:r>
        <w:rPr>
          <w:rFonts w:ascii="Arial" w:hAnsi="Arial" w:cs="Arial"/>
          <w:lang/>
        </w:rPr>
        <w:tab/>
        <w:t xml:space="preserve"> 8</w:t>
      </w:r>
    </w:p>
    <w:p w:rsidR="00165178" w:rsidRDefault="00165178" w:rsidP="00165178">
      <w:pPr>
        <w:autoSpaceDE w:val="0"/>
        <w:autoSpaceDN w:val="0"/>
        <w:adjustRightInd w:val="0"/>
        <w:spacing w:after="0" w:line="240" w:lineRule="auto"/>
        <w:rPr>
          <w:rFonts w:ascii="Arial" w:hAnsi="Arial" w:cs="Arial"/>
          <w:lang/>
        </w:rPr>
      </w:pPr>
    </w:p>
    <w:p w:rsidR="00165178" w:rsidRDefault="00165178" w:rsidP="00165178">
      <w:pPr>
        <w:autoSpaceDE w:val="0"/>
        <w:autoSpaceDN w:val="0"/>
        <w:adjustRightInd w:val="0"/>
        <w:spacing w:after="0" w:line="240" w:lineRule="auto"/>
        <w:rPr>
          <w:rFonts w:ascii="Arial" w:hAnsi="Arial" w:cs="Arial"/>
          <w:lang/>
        </w:rPr>
      </w:pPr>
      <w:r>
        <w:rPr>
          <w:rFonts w:ascii="Arial" w:hAnsi="Arial" w:cs="Arial"/>
          <w:lang/>
        </w:rPr>
        <w:t xml:space="preserve">Summary of the Rehabilitation Plan </w:t>
      </w:r>
      <w:r>
        <w:rPr>
          <w:rFonts w:ascii="Arial" w:hAnsi="Arial" w:cs="Arial"/>
          <w:lang/>
        </w:rPr>
        <w:tab/>
      </w:r>
      <w:r>
        <w:rPr>
          <w:rFonts w:ascii="Arial" w:hAnsi="Arial" w:cs="Arial"/>
          <w:lang/>
        </w:rPr>
        <w:tab/>
      </w:r>
      <w:r>
        <w:rPr>
          <w:rFonts w:ascii="Arial" w:hAnsi="Arial" w:cs="Arial"/>
          <w:lang/>
        </w:rPr>
        <w:tab/>
        <w:t>13</w:t>
      </w:r>
    </w:p>
    <w:p w:rsidR="00165178" w:rsidRDefault="00165178" w:rsidP="00165178">
      <w:pPr>
        <w:autoSpaceDE w:val="0"/>
        <w:autoSpaceDN w:val="0"/>
        <w:adjustRightInd w:val="0"/>
        <w:spacing w:after="0" w:line="240" w:lineRule="auto"/>
        <w:rPr>
          <w:rFonts w:ascii="Arial" w:hAnsi="Arial" w:cs="Arial"/>
          <w:b/>
          <w:bCs/>
          <w:lang/>
        </w:rPr>
      </w:pPr>
    </w:p>
    <w:p w:rsidR="00165178" w:rsidRDefault="00165178" w:rsidP="00165178">
      <w:pPr>
        <w:autoSpaceDE w:val="0"/>
        <w:autoSpaceDN w:val="0"/>
        <w:adjustRightInd w:val="0"/>
        <w:spacing w:after="0" w:line="240" w:lineRule="auto"/>
        <w:rPr>
          <w:rFonts w:ascii="Arial" w:hAnsi="Arial" w:cs="Arial"/>
          <w:b/>
          <w:bCs/>
          <w:color w:val="009BFD"/>
          <w:lang/>
        </w:rPr>
      </w:pPr>
      <w:r>
        <w:rPr>
          <w:rFonts w:ascii="Arial" w:hAnsi="Arial" w:cs="Arial"/>
          <w:b/>
          <w:bCs/>
          <w:color w:val="009BFD"/>
          <w:lang/>
        </w:rPr>
        <w:t xml:space="preserve">BUDGET </w:t>
      </w:r>
    </w:p>
    <w:p w:rsidR="00165178" w:rsidRDefault="00165178" w:rsidP="00165178">
      <w:pPr>
        <w:autoSpaceDE w:val="0"/>
        <w:autoSpaceDN w:val="0"/>
        <w:adjustRightInd w:val="0"/>
        <w:spacing w:after="0" w:line="240" w:lineRule="auto"/>
        <w:rPr>
          <w:rFonts w:ascii="Arial" w:hAnsi="Arial" w:cs="Arial"/>
          <w:lang/>
        </w:rPr>
      </w:pPr>
    </w:p>
    <w:p w:rsidR="00165178" w:rsidRDefault="00165178" w:rsidP="00165178">
      <w:pPr>
        <w:autoSpaceDE w:val="0"/>
        <w:autoSpaceDN w:val="0"/>
        <w:adjustRightInd w:val="0"/>
        <w:spacing w:after="0" w:line="240" w:lineRule="auto"/>
        <w:rPr>
          <w:rFonts w:ascii="Arial" w:hAnsi="Arial" w:cs="Arial"/>
          <w:lang/>
        </w:rPr>
      </w:pPr>
      <w:r>
        <w:rPr>
          <w:rFonts w:ascii="Arial" w:hAnsi="Arial" w:cs="Arial"/>
          <w:lang/>
        </w:rPr>
        <w:t xml:space="preserve">Budget Projections </w:t>
      </w:r>
      <w:r>
        <w:rPr>
          <w:rFonts w:ascii="Arial" w:hAnsi="Arial" w:cs="Arial"/>
          <w:lang/>
        </w:rPr>
        <w:tab/>
      </w:r>
      <w:r>
        <w:rPr>
          <w:rFonts w:ascii="Arial" w:hAnsi="Arial" w:cs="Arial"/>
          <w:lang/>
        </w:rPr>
        <w:tab/>
      </w:r>
      <w:r>
        <w:rPr>
          <w:rFonts w:ascii="Arial" w:hAnsi="Arial" w:cs="Arial"/>
          <w:lang/>
        </w:rPr>
        <w:tab/>
      </w:r>
      <w:r>
        <w:rPr>
          <w:rFonts w:ascii="Arial" w:hAnsi="Arial" w:cs="Arial"/>
          <w:lang/>
        </w:rPr>
        <w:tab/>
      </w:r>
      <w:r>
        <w:rPr>
          <w:rFonts w:ascii="Arial" w:hAnsi="Arial" w:cs="Arial"/>
          <w:lang/>
        </w:rPr>
        <w:tab/>
        <w:t>14</w:t>
      </w:r>
    </w:p>
    <w:p w:rsidR="00165178" w:rsidRDefault="00165178" w:rsidP="00165178">
      <w:pPr>
        <w:autoSpaceDE w:val="0"/>
        <w:autoSpaceDN w:val="0"/>
        <w:adjustRightInd w:val="0"/>
        <w:spacing w:after="0" w:line="240" w:lineRule="auto"/>
        <w:rPr>
          <w:rFonts w:ascii="Arial" w:hAnsi="Arial" w:cs="Arial"/>
          <w:lang/>
        </w:rPr>
      </w:pPr>
    </w:p>
    <w:p w:rsidR="00165178" w:rsidRDefault="00165178" w:rsidP="00165178">
      <w:pPr>
        <w:autoSpaceDE w:val="0"/>
        <w:autoSpaceDN w:val="0"/>
        <w:adjustRightInd w:val="0"/>
        <w:spacing w:after="0" w:line="240" w:lineRule="auto"/>
        <w:rPr>
          <w:rFonts w:ascii="Arial" w:hAnsi="Arial" w:cs="Arial"/>
          <w:lang/>
        </w:rPr>
      </w:pPr>
      <w:r>
        <w:rPr>
          <w:rFonts w:ascii="Arial" w:hAnsi="Arial" w:cs="Arial"/>
          <w:lang/>
        </w:rPr>
        <w:t xml:space="preserve">Annex: Gap Analysis </w:t>
      </w:r>
      <w:r>
        <w:rPr>
          <w:rFonts w:ascii="Arial" w:hAnsi="Arial" w:cs="Arial"/>
          <w:lang/>
        </w:rPr>
        <w:tab/>
      </w:r>
      <w:r>
        <w:rPr>
          <w:rFonts w:ascii="Arial" w:hAnsi="Arial" w:cs="Arial"/>
          <w:lang/>
        </w:rPr>
        <w:tab/>
      </w:r>
      <w:r>
        <w:rPr>
          <w:rFonts w:ascii="Arial" w:hAnsi="Arial" w:cs="Arial"/>
          <w:lang/>
        </w:rPr>
        <w:tab/>
      </w:r>
      <w:r>
        <w:rPr>
          <w:rFonts w:ascii="Arial" w:hAnsi="Arial" w:cs="Arial"/>
          <w:lang/>
        </w:rPr>
        <w:tab/>
      </w:r>
      <w:r>
        <w:rPr>
          <w:rFonts w:ascii="Arial" w:hAnsi="Arial" w:cs="Arial"/>
          <w:lang/>
        </w:rPr>
        <w:tab/>
        <w:t>15</w:t>
      </w:r>
    </w:p>
    <w:p w:rsidR="00165178" w:rsidRDefault="00165178" w:rsidP="00165178">
      <w:pPr>
        <w:autoSpaceDE w:val="0"/>
        <w:autoSpaceDN w:val="0"/>
        <w:adjustRightInd w:val="0"/>
        <w:spacing w:after="0" w:line="240" w:lineRule="auto"/>
        <w:rPr>
          <w:rFonts w:ascii="Calibri" w:hAnsi="Calibri" w:cs="Calibri"/>
          <w:color w:val="FFFFFF"/>
          <w:lang/>
        </w:rPr>
      </w:pPr>
    </w:p>
    <w:p w:rsidR="00165178" w:rsidRDefault="00165178" w:rsidP="00165178">
      <w:pPr>
        <w:autoSpaceDE w:val="0"/>
        <w:autoSpaceDN w:val="0"/>
        <w:adjustRightInd w:val="0"/>
        <w:spacing w:after="0" w:line="240" w:lineRule="auto"/>
        <w:rPr>
          <w:rFonts w:ascii="Times New Roman" w:hAnsi="Times New Roman" w:cs="Times New Roman"/>
          <w:color w:val="FFFFFF"/>
          <w:sz w:val="32"/>
          <w:szCs w:val="32"/>
          <w:lang/>
        </w:rPr>
      </w:pPr>
      <w:r>
        <w:rPr>
          <w:rFonts w:ascii="Calibri" w:hAnsi="Calibri" w:cs="Calibri"/>
          <w:color w:val="FFFFFF"/>
          <w:sz w:val="32"/>
          <w:szCs w:val="32"/>
          <w:lang/>
        </w:rPr>
        <w:br w:type="page"/>
      </w:r>
    </w:p>
    <w:p w:rsidR="00165178" w:rsidRDefault="00165178" w:rsidP="00165178">
      <w:pPr>
        <w:keepNext/>
        <w:tabs>
          <w:tab w:val="left" w:pos="360"/>
        </w:tabs>
        <w:autoSpaceDE w:val="0"/>
        <w:autoSpaceDN w:val="0"/>
        <w:adjustRightInd w:val="0"/>
        <w:spacing w:before="240" w:after="60" w:line="240" w:lineRule="auto"/>
        <w:ind w:left="360" w:hanging="360"/>
        <w:rPr>
          <w:rFonts w:ascii="Arial" w:hAnsi="Arial" w:cs="Arial"/>
          <w:color w:val="FFFFFF"/>
          <w:sz w:val="32"/>
          <w:szCs w:val="32"/>
          <w:highlight w:val="cyan"/>
          <w:lang/>
        </w:rPr>
      </w:pPr>
      <w:r w:rsidRPr="00165178">
        <w:rPr>
          <w:rFonts w:ascii="Arial" w:hAnsi="Arial" w:cs="Arial"/>
          <w:sz w:val="32"/>
          <w:szCs w:val="32"/>
          <w:highlight w:val="cyan"/>
          <w:lang/>
        </w:rPr>
        <w:lastRenderedPageBreak/>
        <w:t>1.   COUNTRY BACKGROUND</w:t>
      </w:r>
    </w:p>
    <w:p w:rsidR="00165178" w:rsidRDefault="00165178" w:rsidP="00165178">
      <w:pPr>
        <w:autoSpaceDE w:val="0"/>
        <w:autoSpaceDN w:val="0"/>
        <w:adjustRightInd w:val="0"/>
        <w:spacing w:before="240" w:after="240" w:line="260" w:lineRule="atLeast"/>
        <w:rPr>
          <w:rFonts w:ascii="Arial" w:hAnsi="Arial" w:cs="Arial"/>
          <w:sz w:val="20"/>
          <w:szCs w:val="20"/>
          <w:lang/>
        </w:rPr>
      </w:pPr>
      <w:r>
        <w:rPr>
          <w:rFonts w:ascii="Arial" w:hAnsi="Arial" w:cs="Arial"/>
          <w:sz w:val="20"/>
          <w:szCs w:val="20"/>
          <w:lang/>
        </w:rPr>
        <w:t>Haiti is a hugely unique country, rich in history, culture and music. It was the first independent nation in Latin America and is the only predominantly francophone independent nation in the Americas. Yet Haiti is also the least developed and most densely populated country in the western hemisphere. Centuries of repression, conflict, recurrent disasters, political instability and economic adversity have brought grinding hardship and undermined Haiti’s potential for economic growth. Even before the January 2010 earthquake Haiti’s development indicators were comparable to some of the most vulnerable African and Asian countries; three quarters of Haiti’s population of 10.03 million people were already surviving on only US$ 2 per day, and half on US$ 1 per day.</w:t>
      </w:r>
    </w:p>
    <w:p w:rsidR="00165178" w:rsidRDefault="00165178" w:rsidP="00165178">
      <w:pPr>
        <w:autoSpaceDE w:val="0"/>
        <w:autoSpaceDN w:val="0"/>
        <w:adjustRightInd w:val="0"/>
        <w:spacing w:before="240" w:after="240" w:line="260" w:lineRule="atLeast"/>
        <w:rPr>
          <w:rFonts w:ascii="Arial" w:hAnsi="Arial" w:cs="Arial"/>
          <w:sz w:val="20"/>
          <w:szCs w:val="20"/>
          <w:lang/>
        </w:rPr>
      </w:pPr>
      <w:r>
        <w:rPr>
          <w:rFonts w:ascii="Arial" w:hAnsi="Arial" w:cs="Arial"/>
          <w:sz w:val="20"/>
          <w:szCs w:val="20"/>
          <w:lang/>
        </w:rPr>
        <w:t xml:space="preserve">Moreover, Haiti is one of the most unequal societies in the world, with a vast wealth gap and social inequalities; 70 per cent of national income goes to the richest 20 per cent of the population, while the bottom 20 per cent receives less that 1.5 per cent, and the chances that a child whose parents are among the richest 20 per cent of the population will go to secondary school are 18 times higher than those of a child whose parents are among the poorest 20 per cent. There are also stark and increasing disparities between rural and urban areas, marked by rapid </w:t>
      </w:r>
      <w:proofErr w:type="spellStart"/>
      <w:r>
        <w:rPr>
          <w:rFonts w:ascii="Arial" w:hAnsi="Arial" w:cs="Arial"/>
          <w:sz w:val="20"/>
          <w:szCs w:val="20"/>
          <w:lang/>
        </w:rPr>
        <w:t>urbanisation</w:t>
      </w:r>
      <w:proofErr w:type="spellEnd"/>
      <w:r>
        <w:rPr>
          <w:rFonts w:ascii="Arial" w:hAnsi="Arial" w:cs="Arial"/>
          <w:sz w:val="20"/>
          <w:szCs w:val="20"/>
          <w:lang/>
        </w:rPr>
        <w:t xml:space="preserve"> and persistent rural impoverishment.</w:t>
      </w:r>
    </w:p>
    <w:p w:rsidR="00165178" w:rsidRDefault="00165178" w:rsidP="00165178">
      <w:pPr>
        <w:autoSpaceDE w:val="0"/>
        <w:autoSpaceDN w:val="0"/>
        <w:adjustRightInd w:val="0"/>
        <w:spacing w:before="240" w:after="240" w:line="260" w:lineRule="atLeast"/>
        <w:rPr>
          <w:rFonts w:ascii="Arial" w:hAnsi="Arial" w:cs="Arial"/>
          <w:sz w:val="20"/>
          <w:szCs w:val="20"/>
          <w:lang/>
        </w:rPr>
      </w:pPr>
      <w:r>
        <w:rPr>
          <w:rFonts w:ascii="Arial" w:hAnsi="Arial" w:cs="Arial"/>
          <w:sz w:val="20"/>
          <w:szCs w:val="20"/>
          <w:lang/>
        </w:rPr>
        <w:t xml:space="preserve">The confluence of emergencies in 2010 undoubtedly presented a huge threat to MDG 4 (reduce child mortality), eroding progress achieved over previous years in reducing the Infant Mortality Rate (IMR) from 105 per 1,000 live births in 1990 to 64/1,000 in 2009, and the Under Five Mortality Rate (U5MR) from 152 per 1,000 live births in 1990 to 87/1,000 in 2009 (Haiti had been on track to achieve the U5MR component of MDG 4 – to reduce the U5MR by two thirds by 2015). </w:t>
      </w:r>
      <w:r>
        <w:rPr>
          <w:rFonts w:ascii="Arial" w:hAnsi="Arial" w:cs="Arial"/>
          <w:color w:val="000000"/>
          <w:sz w:val="20"/>
          <w:szCs w:val="20"/>
          <w:lang/>
        </w:rPr>
        <w:t>Progress was highly uneven between Haiti’s top and bottom quintiles, with the burden of high child mortality weighing disproportionately on the poorest and most vulnerable segments of society.</w:t>
      </w:r>
    </w:p>
    <w:p w:rsidR="00165178" w:rsidRDefault="00165178" w:rsidP="00165178">
      <w:pPr>
        <w:autoSpaceDE w:val="0"/>
        <w:autoSpaceDN w:val="0"/>
        <w:adjustRightInd w:val="0"/>
        <w:spacing w:before="240" w:after="240" w:line="260" w:lineRule="atLeast"/>
        <w:rPr>
          <w:rFonts w:ascii="Arial" w:hAnsi="Arial" w:cs="Arial"/>
          <w:color w:val="000000"/>
          <w:sz w:val="20"/>
          <w:szCs w:val="20"/>
          <w:lang/>
        </w:rPr>
      </w:pPr>
      <w:r>
        <w:rPr>
          <w:rFonts w:ascii="Arial" w:hAnsi="Arial" w:cs="Arial"/>
          <w:sz w:val="20"/>
          <w:szCs w:val="20"/>
          <w:lang/>
        </w:rPr>
        <w:t xml:space="preserve">Despite the overall (albeit uneven) progress, </w:t>
      </w:r>
      <w:r>
        <w:rPr>
          <w:rFonts w:ascii="Arial" w:hAnsi="Arial" w:cs="Arial"/>
          <w:color w:val="000000"/>
          <w:sz w:val="20"/>
          <w:szCs w:val="20"/>
          <w:lang/>
        </w:rPr>
        <w:t xml:space="preserve">Haiti’s child mortality rates remained unacceptably high (the highest in the Americas) </w:t>
      </w:r>
      <w:r>
        <w:rPr>
          <w:rFonts w:ascii="Arial" w:hAnsi="Arial" w:cs="Arial"/>
          <w:sz w:val="20"/>
          <w:szCs w:val="20"/>
          <w:lang/>
        </w:rPr>
        <w:t xml:space="preserve">with one in every thirteen children dying before their fifth birthday. The leading causes of death in children under the age of five are acute respiratory infections (ARI), </w:t>
      </w:r>
      <w:proofErr w:type="spellStart"/>
      <w:r>
        <w:rPr>
          <w:rFonts w:ascii="Arial" w:hAnsi="Arial" w:cs="Arial"/>
          <w:sz w:val="20"/>
          <w:szCs w:val="20"/>
          <w:lang/>
        </w:rPr>
        <w:t>diarrhoea</w:t>
      </w:r>
      <w:proofErr w:type="spellEnd"/>
      <w:r>
        <w:rPr>
          <w:rFonts w:ascii="Arial" w:hAnsi="Arial" w:cs="Arial"/>
          <w:sz w:val="20"/>
          <w:szCs w:val="20"/>
          <w:lang/>
        </w:rPr>
        <w:t xml:space="preserve"> and neonatal infections. </w:t>
      </w:r>
      <w:r>
        <w:rPr>
          <w:rFonts w:ascii="Arial" w:hAnsi="Arial" w:cs="Arial"/>
          <w:color w:val="000000"/>
          <w:sz w:val="20"/>
          <w:szCs w:val="20"/>
          <w:lang/>
        </w:rPr>
        <w:t>The elevated mortality rates were attributable to the lack of access to timely and quality basic health care. Before the earthquake, p</w:t>
      </w:r>
      <w:r>
        <w:rPr>
          <w:rFonts w:ascii="Arial" w:hAnsi="Arial" w:cs="Arial"/>
          <w:sz w:val="20"/>
          <w:szCs w:val="20"/>
          <w:lang/>
        </w:rPr>
        <w:t>ublic funds spent on health represented only US$ 2 per person, and had shown a decline. Half of Haiti’s population</w:t>
      </w:r>
      <w:r>
        <w:rPr>
          <w:rFonts w:ascii="Arial" w:hAnsi="Arial" w:cs="Arial"/>
          <w:color w:val="000000"/>
          <w:sz w:val="20"/>
          <w:szCs w:val="20"/>
          <w:lang/>
        </w:rPr>
        <w:t xml:space="preserve"> lacked access to medicines, and 47 per cent did not have access to health care, neither through </w:t>
      </w:r>
      <w:r>
        <w:rPr>
          <w:rFonts w:ascii="Arial" w:hAnsi="Arial" w:cs="Arial"/>
          <w:sz w:val="20"/>
          <w:szCs w:val="20"/>
          <w:lang/>
        </w:rPr>
        <w:t>the public sector (comprising only one third of the country’s 663 health institutions), semi-public sector (composed of non-profit institutions that are supported mainly by NGOs.</w:t>
      </w:r>
      <w:r>
        <w:rPr>
          <w:rFonts w:ascii="Arial" w:hAnsi="Arial" w:cs="Arial"/>
          <w:color w:val="000000"/>
          <w:sz w:val="20"/>
          <w:szCs w:val="20"/>
          <w:lang/>
        </w:rPr>
        <w:t xml:space="preserve"> </w:t>
      </w:r>
    </w:p>
    <w:p w:rsidR="00165178" w:rsidRDefault="00165178" w:rsidP="00165178">
      <w:pPr>
        <w:autoSpaceDE w:val="0"/>
        <w:autoSpaceDN w:val="0"/>
        <w:adjustRightInd w:val="0"/>
        <w:spacing w:before="240" w:after="240" w:line="260" w:lineRule="atLeast"/>
        <w:rPr>
          <w:rFonts w:ascii="Arial" w:hAnsi="Arial" w:cs="Arial"/>
          <w:sz w:val="20"/>
          <w:szCs w:val="20"/>
          <w:lang/>
        </w:rPr>
      </w:pPr>
      <w:r>
        <w:rPr>
          <w:rFonts w:ascii="Arial" w:hAnsi="Arial" w:cs="Arial"/>
          <w:color w:val="000000"/>
          <w:sz w:val="20"/>
          <w:szCs w:val="20"/>
          <w:lang/>
        </w:rPr>
        <w:t xml:space="preserve">This was due to the extremely </w:t>
      </w:r>
      <w:proofErr w:type="spellStart"/>
      <w:r>
        <w:rPr>
          <w:rFonts w:ascii="Arial" w:hAnsi="Arial" w:cs="Arial"/>
          <w:color w:val="000000"/>
          <w:sz w:val="20"/>
          <w:szCs w:val="20"/>
          <w:lang/>
        </w:rPr>
        <w:t>centralised</w:t>
      </w:r>
      <w:proofErr w:type="spellEnd"/>
      <w:r>
        <w:rPr>
          <w:rFonts w:ascii="Arial" w:hAnsi="Arial" w:cs="Arial"/>
          <w:color w:val="000000"/>
          <w:sz w:val="20"/>
          <w:szCs w:val="20"/>
          <w:lang/>
        </w:rPr>
        <w:t xml:space="preserve"> nature of the health system; </w:t>
      </w:r>
      <w:r>
        <w:rPr>
          <w:rFonts w:ascii="Arial" w:hAnsi="Arial" w:cs="Arial"/>
          <w:sz w:val="20"/>
          <w:szCs w:val="20"/>
          <w:lang/>
        </w:rPr>
        <w:t>for example, approximately 73 per cent of all physicians, 67 per cent of all nurses, 35 per cent of all health care facilities, and 52 per cent of all hospital beds were concentrated in the West department containing Port au Prince (PAP), yet served only one third of Haiti’s total population</w:t>
      </w:r>
      <w:r>
        <w:rPr>
          <w:rFonts w:ascii="Verdana" w:hAnsi="Verdana" w:cs="Verdana"/>
          <w:color w:val="333333"/>
          <w:sz w:val="18"/>
          <w:szCs w:val="18"/>
          <w:lang/>
        </w:rPr>
        <w:t>.</w:t>
      </w:r>
      <w:r>
        <w:rPr>
          <w:rFonts w:ascii="Arial" w:hAnsi="Arial" w:cs="Arial"/>
          <w:color w:val="000000"/>
          <w:sz w:val="20"/>
          <w:szCs w:val="20"/>
          <w:lang/>
        </w:rPr>
        <w:t xml:space="preserve"> V</w:t>
      </w:r>
      <w:r>
        <w:rPr>
          <w:rFonts w:ascii="Arial" w:hAnsi="Arial" w:cs="Arial"/>
          <w:sz w:val="20"/>
          <w:szCs w:val="20"/>
          <w:lang/>
        </w:rPr>
        <w:t xml:space="preserve">ast disparities also existed between urban and rural areas in general, and between departments; for example, in 2008, fewer than 40 per cent of the population had access to basic health services in certain departments such as the West, North, and Northeast. </w:t>
      </w:r>
    </w:p>
    <w:p w:rsidR="00165178" w:rsidRDefault="00165178" w:rsidP="00165178">
      <w:pPr>
        <w:autoSpaceDE w:val="0"/>
        <w:autoSpaceDN w:val="0"/>
        <w:adjustRightInd w:val="0"/>
        <w:spacing w:before="240" w:after="240" w:line="260" w:lineRule="atLeast"/>
        <w:rPr>
          <w:rFonts w:ascii="Arial" w:hAnsi="Arial" w:cs="Arial"/>
          <w:color w:val="000000"/>
          <w:sz w:val="20"/>
          <w:szCs w:val="20"/>
          <w:lang/>
        </w:rPr>
      </w:pPr>
      <w:r>
        <w:rPr>
          <w:rFonts w:ascii="Arial" w:hAnsi="Arial" w:cs="Arial"/>
          <w:sz w:val="20"/>
          <w:szCs w:val="20"/>
          <w:lang/>
        </w:rPr>
        <w:t>Accessibility is low due to financial barriers; even public services were not free of charge, with local health facilities heavily dependent on income to pay for part of their staff and services. Furthermore, even when accessible, health services are generally poor in quality due to infrastructural deficiencies and lack of supervision and human resources (there were only 2.5 physicians per 10,000 inhabitants in 1999). This absence of a comprehensive public health system offered some explanation of why 80 per cent of Haitians turn to traditional healers.</w:t>
      </w:r>
    </w:p>
    <w:p w:rsidR="00165178" w:rsidRDefault="00165178" w:rsidP="00165178">
      <w:pPr>
        <w:autoSpaceDE w:val="0"/>
        <w:autoSpaceDN w:val="0"/>
        <w:adjustRightInd w:val="0"/>
        <w:spacing w:before="240" w:after="240" w:line="260" w:lineRule="atLeast"/>
        <w:rPr>
          <w:rFonts w:ascii="Arial" w:hAnsi="Arial" w:cs="Arial"/>
          <w:color w:val="000000"/>
          <w:sz w:val="20"/>
          <w:szCs w:val="20"/>
          <w:lang/>
        </w:rPr>
      </w:pPr>
      <w:r>
        <w:rPr>
          <w:rFonts w:ascii="Arial" w:hAnsi="Arial" w:cs="Arial"/>
          <w:caps/>
          <w:sz w:val="20"/>
          <w:szCs w:val="20"/>
          <w:lang/>
        </w:rPr>
        <w:lastRenderedPageBreak/>
        <w:t>I</w:t>
      </w:r>
      <w:r>
        <w:rPr>
          <w:rFonts w:ascii="Arial" w:hAnsi="Arial" w:cs="Arial"/>
          <w:sz w:val="20"/>
          <w:szCs w:val="20"/>
          <w:lang/>
        </w:rPr>
        <w:t xml:space="preserve">n terms of the expanded </w:t>
      </w:r>
      <w:proofErr w:type="spellStart"/>
      <w:r>
        <w:rPr>
          <w:rFonts w:ascii="Arial" w:hAnsi="Arial" w:cs="Arial"/>
          <w:sz w:val="20"/>
          <w:szCs w:val="20"/>
          <w:lang/>
        </w:rPr>
        <w:t>programme</w:t>
      </w:r>
      <w:proofErr w:type="spellEnd"/>
      <w:r>
        <w:rPr>
          <w:rFonts w:ascii="Arial" w:hAnsi="Arial" w:cs="Arial"/>
          <w:sz w:val="20"/>
          <w:szCs w:val="20"/>
          <w:lang/>
        </w:rPr>
        <w:t xml:space="preserve"> for </w:t>
      </w:r>
      <w:proofErr w:type="spellStart"/>
      <w:r>
        <w:rPr>
          <w:rFonts w:ascii="Arial" w:hAnsi="Arial" w:cs="Arial"/>
          <w:sz w:val="20"/>
          <w:szCs w:val="20"/>
          <w:lang/>
        </w:rPr>
        <w:t>immunisation</w:t>
      </w:r>
      <w:proofErr w:type="spellEnd"/>
      <w:r>
        <w:rPr>
          <w:rFonts w:ascii="Arial" w:hAnsi="Arial" w:cs="Arial"/>
          <w:sz w:val="20"/>
          <w:szCs w:val="20"/>
          <w:lang/>
        </w:rPr>
        <w:t xml:space="preserve"> (EPI), while </w:t>
      </w:r>
      <w:r>
        <w:rPr>
          <w:rFonts w:ascii="Arial" w:hAnsi="Arial" w:cs="Arial"/>
          <w:color w:val="000000"/>
          <w:sz w:val="20"/>
          <w:szCs w:val="20"/>
          <w:lang/>
        </w:rPr>
        <w:t xml:space="preserve">polio and measles have been controlled in Haiti </w:t>
      </w:r>
      <w:r>
        <w:rPr>
          <w:rFonts w:ascii="Arial" w:hAnsi="Arial" w:cs="Arial"/>
          <w:sz w:val="20"/>
          <w:szCs w:val="20"/>
          <w:lang/>
        </w:rPr>
        <w:t>an estimated 10 per cent of children had never been vaccinated, according to the last nationwide demographic and health survey, underlining the need to ‘narro</w:t>
      </w:r>
      <w:r>
        <w:rPr>
          <w:rFonts w:ascii="Arial" w:hAnsi="Arial" w:cs="Arial"/>
          <w:sz w:val="20"/>
          <w:szCs w:val="20"/>
          <w:highlight w:val="white"/>
          <w:lang/>
        </w:rPr>
        <w:t>w the gaps’ and reach the hardest to reach with sustainable services</w:t>
      </w:r>
      <w:r>
        <w:rPr>
          <w:rFonts w:ascii="Arial" w:hAnsi="Arial" w:cs="Arial"/>
          <w:color w:val="000000"/>
          <w:sz w:val="20"/>
          <w:szCs w:val="20"/>
          <w:highlight w:val="white"/>
          <w:lang/>
        </w:rPr>
        <w:t xml:space="preserve">. According to the same source, only 58 per cent of children under five had been vaccinated against measles, and 53 per cent had received all three doses of the </w:t>
      </w:r>
      <w:r>
        <w:rPr>
          <w:rFonts w:ascii="Arial" w:hAnsi="Arial" w:cs="Arial"/>
          <w:sz w:val="20"/>
          <w:szCs w:val="20"/>
          <w:highlight w:val="white"/>
          <w:lang/>
        </w:rPr>
        <w:t xml:space="preserve">Diphtheria, Tetanus and </w:t>
      </w:r>
      <w:proofErr w:type="spellStart"/>
      <w:r>
        <w:rPr>
          <w:rFonts w:ascii="Arial" w:hAnsi="Arial" w:cs="Arial"/>
          <w:sz w:val="20"/>
          <w:szCs w:val="20"/>
          <w:highlight w:val="white"/>
          <w:lang/>
        </w:rPr>
        <w:t>Pertussis</w:t>
      </w:r>
      <w:proofErr w:type="spellEnd"/>
      <w:r>
        <w:rPr>
          <w:rFonts w:ascii="Arial" w:hAnsi="Arial" w:cs="Arial"/>
          <w:sz w:val="20"/>
          <w:szCs w:val="20"/>
          <w:highlight w:val="white"/>
          <w:lang/>
        </w:rPr>
        <w:t xml:space="preserve"> </w:t>
      </w:r>
      <w:r>
        <w:rPr>
          <w:rFonts w:ascii="Arial" w:hAnsi="Arial" w:cs="Arial"/>
          <w:color w:val="000000"/>
          <w:sz w:val="20"/>
          <w:szCs w:val="20"/>
          <w:highlight w:val="white"/>
          <w:lang/>
        </w:rPr>
        <w:t xml:space="preserve">(DTP) vaccine. </w:t>
      </w:r>
      <w:r>
        <w:rPr>
          <w:rFonts w:ascii="Arial" w:hAnsi="Arial" w:cs="Arial"/>
          <w:color w:val="000000"/>
          <w:sz w:val="20"/>
          <w:szCs w:val="20"/>
          <w:lang/>
        </w:rPr>
        <w:t xml:space="preserve">Figures were even lower in terms of children receiving vaccines before the age of 12 months – the recommended World Health </w:t>
      </w:r>
      <w:proofErr w:type="spellStart"/>
      <w:r>
        <w:rPr>
          <w:rFonts w:ascii="Arial" w:hAnsi="Arial" w:cs="Arial"/>
          <w:color w:val="000000"/>
          <w:sz w:val="20"/>
          <w:szCs w:val="20"/>
          <w:lang/>
        </w:rPr>
        <w:t>Organisation</w:t>
      </w:r>
      <w:proofErr w:type="spellEnd"/>
      <w:r>
        <w:rPr>
          <w:rFonts w:ascii="Arial" w:hAnsi="Arial" w:cs="Arial"/>
          <w:color w:val="000000"/>
          <w:sz w:val="20"/>
          <w:szCs w:val="20"/>
          <w:lang/>
        </w:rPr>
        <w:t xml:space="preserve"> (WHO) guideline by when the complete course of childhood vaccinations should have been administered – only 33 per cent of children had been fully </w:t>
      </w:r>
      <w:proofErr w:type="spellStart"/>
      <w:r>
        <w:rPr>
          <w:rFonts w:ascii="Arial" w:hAnsi="Arial" w:cs="Arial"/>
          <w:color w:val="000000"/>
          <w:sz w:val="20"/>
          <w:szCs w:val="20"/>
          <w:lang/>
        </w:rPr>
        <w:t>immunised</w:t>
      </w:r>
      <w:proofErr w:type="spellEnd"/>
      <w:r>
        <w:rPr>
          <w:rFonts w:ascii="Arial" w:hAnsi="Arial" w:cs="Arial"/>
          <w:color w:val="000000"/>
          <w:sz w:val="20"/>
          <w:szCs w:val="20"/>
          <w:lang/>
        </w:rPr>
        <w:t xml:space="preserve"> at this age.  </w:t>
      </w:r>
    </w:p>
    <w:p w:rsidR="00165178" w:rsidRDefault="00165178" w:rsidP="00165178">
      <w:pPr>
        <w:autoSpaceDE w:val="0"/>
        <w:autoSpaceDN w:val="0"/>
        <w:adjustRightInd w:val="0"/>
        <w:spacing w:before="240" w:after="240" w:line="260" w:lineRule="atLeast"/>
        <w:rPr>
          <w:rFonts w:ascii="Arial" w:hAnsi="Arial" w:cs="Arial"/>
          <w:sz w:val="20"/>
          <w:szCs w:val="20"/>
          <w:lang/>
        </w:rPr>
      </w:pPr>
      <w:r>
        <w:rPr>
          <w:rFonts w:ascii="Arial" w:hAnsi="Arial" w:cs="Arial"/>
          <w:color w:val="000000"/>
          <w:sz w:val="20"/>
          <w:szCs w:val="20"/>
          <w:lang/>
        </w:rPr>
        <w:t>Statistics are proportionally lower in rural areas (40 per cent of 12-23 month olds fully vaccinated, compared to 45 per cent in urban areas) and within the poorest quintile of the population (34 per cent of 12-23 month olds fully vaccinated, compared to 56 per cent of children from the richest quintile)</w:t>
      </w:r>
      <w:r>
        <w:rPr>
          <w:rFonts w:ascii="Arial" w:hAnsi="Arial" w:cs="Arial"/>
          <w:color w:val="000000"/>
          <w:sz w:val="20"/>
          <w:szCs w:val="20"/>
          <w:vertAlign w:val="superscript"/>
          <w:lang/>
        </w:rPr>
        <w:t xml:space="preserve"> </w:t>
      </w:r>
      <w:r>
        <w:rPr>
          <w:rFonts w:ascii="Arial" w:hAnsi="Arial" w:cs="Arial"/>
          <w:color w:val="000000"/>
          <w:sz w:val="20"/>
          <w:szCs w:val="20"/>
          <w:lang/>
        </w:rPr>
        <w:t xml:space="preserve">.  Most disturbingly, </w:t>
      </w:r>
      <w:r>
        <w:rPr>
          <w:rFonts w:ascii="Arial" w:hAnsi="Arial" w:cs="Arial"/>
          <w:sz w:val="20"/>
          <w:szCs w:val="20"/>
          <w:lang/>
        </w:rPr>
        <w:t>44 per cent of communes in Haiti had less than 50 cent vaccination coverage, indicating that there are some serious gaps that pose a threat not only for children in these communities  – but for the rest of the country as a whole.</w:t>
      </w:r>
    </w:p>
    <w:p w:rsidR="00165178" w:rsidRDefault="00165178" w:rsidP="00165178">
      <w:pPr>
        <w:autoSpaceDE w:val="0"/>
        <w:autoSpaceDN w:val="0"/>
        <w:adjustRightInd w:val="0"/>
        <w:spacing w:before="240" w:after="240" w:line="260" w:lineRule="atLeast"/>
        <w:rPr>
          <w:rFonts w:ascii="Arial" w:hAnsi="Arial" w:cs="Arial"/>
          <w:sz w:val="20"/>
          <w:szCs w:val="20"/>
          <w:lang/>
        </w:rPr>
      </w:pPr>
      <w:r>
        <w:rPr>
          <w:rFonts w:ascii="Arial" w:hAnsi="Arial" w:cs="Arial"/>
          <w:sz w:val="20"/>
          <w:szCs w:val="20"/>
          <w:lang/>
        </w:rPr>
        <w:t xml:space="preserve">Administrative data from MSPP indicates that approximately 119,558 children have been against measles, 182,605 against DTP and prevent tuberculosis primo-infection and tetanus for 179,360 children under 12 months during the year 2010. At the same time, eradication of polio in Haiti continues to be a reality and 164,894 children under 12 months in 2010 received three doses of OPV. Moreover, specific support (including from UNICEF) to 20 communes with low immunization coverage led to a 150% increase in the number of children immunized in these targeted districts, rising from 7,847 children receiving 3 DTC doses to 19,609 children. </w:t>
      </w:r>
    </w:p>
    <w:p w:rsidR="00165178" w:rsidRDefault="00165178" w:rsidP="00165178">
      <w:pPr>
        <w:autoSpaceDE w:val="0"/>
        <w:autoSpaceDN w:val="0"/>
        <w:adjustRightInd w:val="0"/>
        <w:spacing w:after="0" w:line="260" w:lineRule="atLeast"/>
        <w:rPr>
          <w:rFonts w:ascii="Arial" w:hAnsi="Arial" w:cs="Arial"/>
          <w:b/>
          <w:bCs/>
          <w:i/>
          <w:iCs/>
          <w:sz w:val="16"/>
          <w:szCs w:val="16"/>
          <w:lang/>
        </w:rPr>
      </w:pPr>
      <w:r>
        <w:rPr>
          <w:rFonts w:ascii="Arial" w:hAnsi="Arial" w:cs="Arial"/>
          <w:b/>
          <w:bCs/>
          <w:i/>
          <w:iCs/>
          <w:sz w:val="16"/>
          <w:szCs w:val="16"/>
          <w:lang/>
        </w:rPr>
        <w:t>National Immunization Schedule – Traditional and New</w:t>
      </w:r>
    </w:p>
    <w:p w:rsidR="00165178" w:rsidRDefault="00165178" w:rsidP="00165178">
      <w:pPr>
        <w:autoSpaceDE w:val="0"/>
        <w:autoSpaceDN w:val="0"/>
        <w:adjustRightInd w:val="0"/>
        <w:spacing w:after="0" w:line="260" w:lineRule="atLeast"/>
        <w:rPr>
          <w:rFonts w:ascii="Arial" w:hAnsi="Arial" w:cs="Arial"/>
          <w:sz w:val="18"/>
          <w:szCs w:val="18"/>
          <w:lang/>
        </w:rPr>
      </w:pPr>
      <w:r>
        <w:rPr>
          <w:rFonts w:ascii="Arial" w:hAnsi="Arial" w:cs="Arial"/>
          <w:sz w:val="18"/>
          <w:szCs w:val="18"/>
          <w:lang/>
        </w:rPr>
        <w:t xml:space="preserve">Target groups for Traditional and New vaccines  </w:t>
      </w:r>
    </w:p>
    <w:tbl>
      <w:tblPr>
        <w:tblW w:w="0" w:type="auto"/>
        <w:tblInd w:w="201" w:type="dxa"/>
        <w:tblLayout w:type="fixed"/>
        <w:tblLook w:val="0000"/>
      </w:tblPr>
      <w:tblGrid>
        <w:gridCol w:w="1725"/>
        <w:gridCol w:w="747"/>
        <w:gridCol w:w="867"/>
        <w:gridCol w:w="997"/>
        <w:gridCol w:w="866"/>
      </w:tblGrid>
      <w:tr w:rsidR="00165178">
        <w:tblPrEx>
          <w:tblCellMar>
            <w:top w:w="0" w:type="dxa"/>
            <w:bottom w:w="0" w:type="dxa"/>
          </w:tblCellMar>
        </w:tblPrEx>
        <w:trPr>
          <w:trHeight w:val="449"/>
        </w:trPr>
        <w:tc>
          <w:tcPr>
            <w:tcW w:w="1725" w:type="dxa"/>
            <w:tcBorders>
              <w:top w:val="single" w:sz="3" w:space="0" w:color="000000"/>
              <w:left w:val="single" w:sz="3" w:space="0" w:color="000000"/>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color w:val="FFFFFF"/>
                <w:sz w:val="18"/>
                <w:szCs w:val="18"/>
                <w:lang/>
              </w:rPr>
              <w:t>Vaccines for Children</w:t>
            </w:r>
          </w:p>
        </w:tc>
        <w:tc>
          <w:tcPr>
            <w:tcW w:w="747" w:type="dxa"/>
            <w:tcBorders>
              <w:top w:val="single" w:sz="3" w:space="0" w:color="000000"/>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Waste %</w:t>
            </w:r>
          </w:p>
        </w:tc>
        <w:tc>
          <w:tcPr>
            <w:tcW w:w="867" w:type="dxa"/>
            <w:tcBorders>
              <w:top w:val="single" w:sz="3" w:space="0" w:color="000000"/>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Dose/Fl</w:t>
            </w:r>
          </w:p>
        </w:tc>
        <w:tc>
          <w:tcPr>
            <w:tcW w:w="997" w:type="dxa"/>
            <w:tcBorders>
              <w:top w:val="single" w:sz="3" w:space="0" w:color="000000"/>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Arial" w:hAnsi="Arial" w:cs="Arial"/>
                <w:b/>
                <w:bCs/>
                <w:color w:val="FFFFFF"/>
                <w:sz w:val="18"/>
                <w:szCs w:val="18"/>
                <w:lang/>
              </w:rPr>
            </w:pPr>
            <w:r>
              <w:rPr>
                <w:rFonts w:ascii="Arial" w:hAnsi="Arial" w:cs="Arial"/>
                <w:b/>
                <w:bCs/>
                <w:color w:val="FFFFFF"/>
                <w:sz w:val="18"/>
                <w:szCs w:val="18"/>
                <w:lang/>
              </w:rPr>
              <w:t>Doses</w:t>
            </w:r>
          </w:p>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0-11 months</w:t>
            </w:r>
          </w:p>
        </w:tc>
        <w:tc>
          <w:tcPr>
            <w:tcW w:w="866" w:type="dxa"/>
            <w:tcBorders>
              <w:top w:val="single" w:sz="3" w:space="0" w:color="000000"/>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Arial" w:hAnsi="Arial" w:cs="Arial"/>
                <w:b/>
                <w:bCs/>
                <w:color w:val="FFFFFF"/>
                <w:sz w:val="18"/>
                <w:szCs w:val="18"/>
                <w:lang/>
              </w:rPr>
            </w:pPr>
            <w:r>
              <w:rPr>
                <w:rFonts w:ascii="Arial" w:hAnsi="Arial" w:cs="Arial"/>
                <w:b/>
                <w:bCs/>
                <w:color w:val="FFFFFF"/>
                <w:sz w:val="18"/>
                <w:szCs w:val="18"/>
                <w:lang/>
              </w:rPr>
              <w:t>Doses</w:t>
            </w:r>
          </w:p>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12-23 months</w:t>
            </w:r>
          </w:p>
        </w:tc>
      </w:tr>
      <w:tr w:rsidR="00165178">
        <w:tblPrEx>
          <w:tblCellMar>
            <w:top w:w="0" w:type="dxa"/>
            <w:bottom w:w="0" w:type="dxa"/>
          </w:tblCellMar>
        </w:tblPrEx>
        <w:trPr>
          <w:trHeight w:val="152"/>
        </w:trPr>
        <w:tc>
          <w:tcPr>
            <w:tcW w:w="1725"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i/>
                <w:iCs/>
                <w:sz w:val="18"/>
                <w:szCs w:val="18"/>
                <w:lang/>
              </w:rPr>
              <w:t>BCG</w:t>
            </w:r>
          </w:p>
        </w:tc>
        <w:tc>
          <w:tcPr>
            <w:tcW w:w="74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50</w:t>
            </w:r>
          </w:p>
        </w:tc>
        <w:tc>
          <w:tcPr>
            <w:tcW w:w="86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20</w:t>
            </w:r>
          </w:p>
        </w:tc>
        <w:tc>
          <w:tcPr>
            <w:tcW w:w="99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1</w:t>
            </w:r>
          </w:p>
        </w:tc>
        <w:tc>
          <w:tcPr>
            <w:tcW w:w="866"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0</w:t>
            </w:r>
          </w:p>
        </w:tc>
      </w:tr>
      <w:tr w:rsidR="00165178">
        <w:tblPrEx>
          <w:tblCellMar>
            <w:top w:w="0" w:type="dxa"/>
            <w:bottom w:w="0" w:type="dxa"/>
          </w:tblCellMar>
        </w:tblPrEx>
        <w:trPr>
          <w:trHeight w:val="134"/>
        </w:trPr>
        <w:tc>
          <w:tcPr>
            <w:tcW w:w="1725"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i/>
                <w:iCs/>
                <w:sz w:val="18"/>
                <w:szCs w:val="18"/>
                <w:lang/>
              </w:rPr>
              <w:t>OPV</w:t>
            </w:r>
          </w:p>
        </w:tc>
        <w:tc>
          <w:tcPr>
            <w:tcW w:w="74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30</w:t>
            </w:r>
          </w:p>
        </w:tc>
        <w:tc>
          <w:tcPr>
            <w:tcW w:w="86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10</w:t>
            </w:r>
          </w:p>
        </w:tc>
        <w:tc>
          <w:tcPr>
            <w:tcW w:w="99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4</w:t>
            </w:r>
          </w:p>
        </w:tc>
        <w:tc>
          <w:tcPr>
            <w:tcW w:w="866"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1</w:t>
            </w:r>
          </w:p>
        </w:tc>
      </w:tr>
      <w:tr w:rsidR="00165178">
        <w:tblPrEx>
          <w:tblCellMar>
            <w:top w:w="0" w:type="dxa"/>
            <w:bottom w:w="0" w:type="dxa"/>
          </w:tblCellMar>
        </w:tblPrEx>
        <w:trPr>
          <w:trHeight w:val="206"/>
        </w:trPr>
        <w:tc>
          <w:tcPr>
            <w:tcW w:w="1725"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i/>
                <w:iCs/>
                <w:sz w:val="18"/>
                <w:szCs w:val="18"/>
                <w:lang/>
              </w:rPr>
              <w:t>DTP</w:t>
            </w:r>
          </w:p>
        </w:tc>
        <w:tc>
          <w:tcPr>
            <w:tcW w:w="74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30</w:t>
            </w:r>
          </w:p>
        </w:tc>
        <w:tc>
          <w:tcPr>
            <w:tcW w:w="86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10</w:t>
            </w:r>
          </w:p>
        </w:tc>
        <w:tc>
          <w:tcPr>
            <w:tcW w:w="99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3</w:t>
            </w:r>
          </w:p>
        </w:tc>
        <w:tc>
          <w:tcPr>
            <w:tcW w:w="866"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1</w:t>
            </w:r>
          </w:p>
        </w:tc>
      </w:tr>
      <w:tr w:rsidR="00165178">
        <w:tblPrEx>
          <w:tblCellMar>
            <w:top w:w="0" w:type="dxa"/>
            <w:bottom w:w="0" w:type="dxa"/>
          </w:tblCellMar>
        </w:tblPrEx>
        <w:trPr>
          <w:trHeight w:val="179"/>
        </w:trPr>
        <w:tc>
          <w:tcPr>
            <w:tcW w:w="1725"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i/>
                <w:iCs/>
                <w:sz w:val="18"/>
                <w:szCs w:val="18"/>
                <w:lang/>
              </w:rPr>
              <w:t>RR</w:t>
            </w:r>
          </w:p>
        </w:tc>
        <w:tc>
          <w:tcPr>
            <w:tcW w:w="74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30</w:t>
            </w:r>
          </w:p>
        </w:tc>
        <w:tc>
          <w:tcPr>
            <w:tcW w:w="86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10</w:t>
            </w:r>
          </w:p>
        </w:tc>
        <w:tc>
          <w:tcPr>
            <w:tcW w:w="99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1</w:t>
            </w:r>
          </w:p>
        </w:tc>
        <w:tc>
          <w:tcPr>
            <w:tcW w:w="866"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0</w:t>
            </w:r>
          </w:p>
        </w:tc>
      </w:tr>
      <w:tr w:rsidR="00165178">
        <w:tblPrEx>
          <w:tblCellMar>
            <w:top w:w="0" w:type="dxa"/>
            <w:bottom w:w="0" w:type="dxa"/>
          </w:tblCellMar>
        </w:tblPrEx>
        <w:trPr>
          <w:trHeight w:val="260"/>
        </w:trPr>
        <w:tc>
          <w:tcPr>
            <w:tcW w:w="1725" w:type="dxa"/>
            <w:tcBorders>
              <w:top w:val="nil"/>
              <w:left w:val="single" w:sz="3" w:space="0" w:color="000000"/>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color w:val="FFFFFF"/>
                <w:sz w:val="18"/>
                <w:szCs w:val="18"/>
                <w:lang/>
              </w:rPr>
              <w:t>Vaccines for Women</w:t>
            </w:r>
          </w:p>
        </w:tc>
        <w:tc>
          <w:tcPr>
            <w:tcW w:w="747" w:type="dxa"/>
            <w:tcBorders>
              <w:top w:val="nil"/>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Waste %</w:t>
            </w:r>
          </w:p>
        </w:tc>
        <w:tc>
          <w:tcPr>
            <w:tcW w:w="867" w:type="dxa"/>
            <w:tcBorders>
              <w:top w:val="nil"/>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Dose/Fl</w:t>
            </w:r>
          </w:p>
        </w:tc>
        <w:tc>
          <w:tcPr>
            <w:tcW w:w="997" w:type="dxa"/>
            <w:tcBorders>
              <w:top w:val="nil"/>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Arial" w:hAnsi="Arial" w:cs="Arial"/>
                <w:b/>
                <w:bCs/>
                <w:color w:val="FFFFFF"/>
                <w:sz w:val="18"/>
                <w:szCs w:val="18"/>
                <w:lang/>
              </w:rPr>
            </w:pPr>
            <w:r>
              <w:rPr>
                <w:rFonts w:ascii="Arial" w:hAnsi="Arial" w:cs="Arial"/>
                <w:b/>
                <w:bCs/>
                <w:color w:val="FFFFFF"/>
                <w:sz w:val="18"/>
                <w:szCs w:val="18"/>
                <w:lang/>
              </w:rPr>
              <w:t>Doses</w:t>
            </w:r>
          </w:p>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Pregnant</w:t>
            </w:r>
          </w:p>
        </w:tc>
        <w:tc>
          <w:tcPr>
            <w:tcW w:w="866" w:type="dxa"/>
            <w:tcBorders>
              <w:top w:val="nil"/>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Arial" w:hAnsi="Arial" w:cs="Arial"/>
                <w:b/>
                <w:bCs/>
                <w:color w:val="FFFFFF"/>
                <w:sz w:val="18"/>
                <w:szCs w:val="18"/>
                <w:lang/>
              </w:rPr>
            </w:pPr>
            <w:r>
              <w:rPr>
                <w:rFonts w:ascii="Arial" w:hAnsi="Arial" w:cs="Arial"/>
                <w:b/>
                <w:bCs/>
                <w:color w:val="FFFFFF"/>
                <w:sz w:val="18"/>
                <w:szCs w:val="18"/>
                <w:lang/>
              </w:rPr>
              <w:t>Doses</w:t>
            </w:r>
          </w:p>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15-49 yrs</w:t>
            </w:r>
          </w:p>
        </w:tc>
      </w:tr>
      <w:tr w:rsidR="00165178">
        <w:tblPrEx>
          <w:tblCellMar>
            <w:top w:w="0" w:type="dxa"/>
            <w:bottom w:w="0" w:type="dxa"/>
          </w:tblCellMar>
        </w:tblPrEx>
        <w:trPr>
          <w:trHeight w:val="143"/>
        </w:trPr>
        <w:tc>
          <w:tcPr>
            <w:tcW w:w="1725"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b/>
                <w:bCs/>
                <w:i/>
                <w:iCs/>
                <w:sz w:val="18"/>
                <w:szCs w:val="18"/>
                <w:lang/>
              </w:rPr>
              <w:t>dT</w:t>
            </w:r>
            <w:proofErr w:type="spellEnd"/>
          </w:p>
        </w:tc>
        <w:tc>
          <w:tcPr>
            <w:tcW w:w="74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30</w:t>
            </w:r>
          </w:p>
        </w:tc>
        <w:tc>
          <w:tcPr>
            <w:tcW w:w="86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10</w:t>
            </w:r>
          </w:p>
        </w:tc>
        <w:tc>
          <w:tcPr>
            <w:tcW w:w="99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2</w:t>
            </w:r>
          </w:p>
        </w:tc>
        <w:tc>
          <w:tcPr>
            <w:tcW w:w="866" w:type="dxa"/>
            <w:tcBorders>
              <w:top w:val="nil"/>
              <w:left w:val="nil"/>
              <w:bottom w:val="single" w:sz="3" w:space="0" w:color="000000"/>
              <w:right w:val="single" w:sz="3" w:space="0" w:color="000000"/>
            </w:tcBorders>
            <w:shd w:val="clear" w:color="auto"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2</w:t>
            </w:r>
          </w:p>
        </w:tc>
      </w:tr>
    </w:tbl>
    <w:p w:rsidR="00165178" w:rsidRDefault="00165178" w:rsidP="00165178">
      <w:pPr>
        <w:autoSpaceDE w:val="0"/>
        <w:autoSpaceDN w:val="0"/>
        <w:adjustRightInd w:val="0"/>
        <w:spacing w:after="120"/>
        <w:rPr>
          <w:rFonts w:ascii="Arial" w:hAnsi="Arial" w:cs="Arial"/>
          <w:sz w:val="18"/>
          <w:szCs w:val="18"/>
          <w:lang/>
        </w:rPr>
      </w:pPr>
    </w:p>
    <w:tbl>
      <w:tblPr>
        <w:tblW w:w="0" w:type="auto"/>
        <w:tblInd w:w="201" w:type="dxa"/>
        <w:tblLayout w:type="fixed"/>
        <w:tblLook w:val="0000"/>
      </w:tblPr>
      <w:tblGrid>
        <w:gridCol w:w="1725"/>
        <w:gridCol w:w="747"/>
        <w:gridCol w:w="867"/>
        <w:gridCol w:w="948"/>
      </w:tblGrid>
      <w:tr w:rsidR="00165178">
        <w:tblPrEx>
          <w:tblCellMar>
            <w:top w:w="0" w:type="dxa"/>
            <w:bottom w:w="0" w:type="dxa"/>
          </w:tblCellMar>
        </w:tblPrEx>
        <w:trPr>
          <w:trHeight w:val="300"/>
        </w:trPr>
        <w:tc>
          <w:tcPr>
            <w:tcW w:w="1725" w:type="dxa"/>
            <w:tcBorders>
              <w:top w:val="single" w:sz="3" w:space="0" w:color="000000"/>
              <w:left w:val="single" w:sz="3" w:space="0" w:color="000000"/>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color w:val="FFFFFF"/>
                <w:sz w:val="18"/>
                <w:szCs w:val="18"/>
                <w:lang/>
              </w:rPr>
              <w:t>Vaccines for Children</w:t>
            </w:r>
          </w:p>
        </w:tc>
        <w:tc>
          <w:tcPr>
            <w:tcW w:w="747" w:type="dxa"/>
            <w:tcBorders>
              <w:top w:val="single" w:sz="3" w:space="0" w:color="000000"/>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Waste %</w:t>
            </w:r>
          </w:p>
        </w:tc>
        <w:tc>
          <w:tcPr>
            <w:tcW w:w="867" w:type="dxa"/>
            <w:tcBorders>
              <w:top w:val="single" w:sz="3" w:space="0" w:color="000000"/>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Dose/Fl</w:t>
            </w:r>
          </w:p>
        </w:tc>
        <w:tc>
          <w:tcPr>
            <w:tcW w:w="948" w:type="dxa"/>
            <w:tcBorders>
              <w:top w:val="single" w:sz="3" w:space="0" w:color="000000"/>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Arial" w:hAnsi="Arial" w:cs="Arial"/>
                <w:b/>
                <w:bCs/>
                <w:color w:val="FFFFFF"/>
                <w:sz w:val="18"/>
                <w:szCs w:val="18"/>
                <w:lang/>
              </w:rPr>
            </w:pPr>
            <w:r>
              <w:rPr>
                <w:rFonts w:ascii="Arial" w:hAnsi="Arial" w:cs="Arial"/>
                <w:b/>
                <w:bCs/>
                <w:color w:val="FFFFFF"/>
                <w:sz w:val="18"/>
                <w:szCs w:val="18"/>
                <w:lang/>
              </w:rPr>
              <w:t>Doses</w:t>
            </w:r>
          </w:p>
          <w:p w:rsidR="00165178" w:rsidRDefault="00165178">
            <w:pPr>
              <w:autoSpaceDE w:val="0"/>
              <w:autoSpaceDN w:val="0"/>
              <w:adjustRightInd w:val="0"/>
              <w:spacing w:after="0" w:line="240" w:lineRule="auto"/>
              <w:jc w:val="center"/>
              <w:rPr>
                <w:rFonts w:ascii="Arial" w:hAnsi="Arial" w:cs="Arial"/>
                <w:b/>
                <w:bCs/>
                <w:color w:val="FFFFFF"/>
                <w:sz w:val="18"/>
                <w:szCs w:val="18"/>
                <w:lang/>
              </w:rPr>
            </w:pPr>
            <w:r>
              <w:rPr>
                <w:rFonts w:ascii="Arial" w:hAnsi="Arial" w:cs="Arial"/>
                <w:b/>
                <w:bCs/>
                <w:color w:val="FFFFFF"/>
                <w:sz w:val="18"/>
                <w:szCs w:val="18"/>
                <w:lang/>
              </w:rPr>
              <w:t>0-11</w:t>
            </w:r>
          </w:p>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months</w:t>
            </w:r>
          </w:p>
        </w:tc>
      </w:tr>
      <w:tr w:rsidR="00165178">
        <w:tblPrEx>
          <w:tblCellMar>
            <w:top w:w="0" w:type="dxa"/>
            <w:bottom w:w="0" w:type="dxa"/>
          </w:tblCellMar>
        </w:tblPrEx>
        <w:trPr>
          <w:trHeight w:val="215"/>
        </w:trPr>
        <w:tc>
          <w:tcPr>
            <w:tcW w:w="1725"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i/>
                <w:iCs/>
                <w:sz w:val="18"/>
                <w:szCs w:val="18"/>
                <w:lang/>
              </w:rPr>
              <w:t>DTP-</w:t>
            </w:r>
            <w:proofErr w:type="spellStart"/>
            <w:r>
              <w:rPr>
                <w:rFonts w:ascii="Arial" w:hAnsi="Arial" w:cs="Arial"/>
                <w:b/>
                <w:bCs/>
                <w:i/>
                <w:iCs/>
                <w:sz w:val="18"/>
                <w:szCs w:val="18"/>
                <w:lang/>
              </w:rPr>
              <w:t>HepB</w:t>
            </w:r>
            <w:proofErr w:type="spellEnd"/>
            <w:r>
              <w:rPr>
                <w:rFonts w:ascii="Arial" w:hAnsi="Arial" w:cs="Arial"/>
                <w:b/>
                <w:bCs/>
                <w:i/>
                <w:iCs/>
                <w:sz w:val="18"/>
                <w:szCs w:val="18"/>
                <w:lang/>
              </w:rPr>
              <w:t>-</w:t>
            </w:r>
            <w:proofErr w:type="spellStart"/>
            <w:r>
              <w:rPr>
                <w:rFonts w:ascii="Arial" w:hAnsi="Arial" w:cs="Arial"/>
                <w:b/>
                <w:bCs/>
                <w:i/>
                <w:iCs/>
                <w:sz w:val="18"/>
                <w:szCs w:val="18"/>
                <w:lang/>
              </w:rPr>
              <w:t>Hib</w:t>
            </w:r>
            <w:proofErr w:type="spellEnd"/>
          </w:p>
        </w:tc>
        <w:tc>
          <w:tcPr>
            <w:tcW w:w="74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5</w:t>
            </w:r>
          </w:p>
        </w:tc>
        <w:tc>
          <w:tcPr>
            <w:tcW w:w="86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1</w:t>
            </w:r>
          </w:p>
        </w:tc>
        <w:tc>
          <w:tcPr>
            <w:tcW w:w="948"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3</w:t>
            </w:r>
          </w:p>
        </w:tc>
      </w:tr>
      <w:tr w:rsidR="00165178">
        <w:tblPrEx>
          <w:tblCellMar>
            <w:top w:w="0" w:type="dxa"/>
            <w:bottom w:w="0" w:type="dxa"/>
          </w:tblCellMar>
        </w:tblPrEx>
        <w:trPr>
          <w:trHeight w:val="170"/>
        </w:trPr>
        <w:tc>
          <w:tcPr>
            <w:tcW w:w="1725"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i/>
                <w:iCs/>
                <w:sz w:val="18"/>
                <w:szCs w:val="18"/>
                <w:lang/>
              </w:rPr>
              <w:t>PCV 13</w:t>
            </w:r>
          </w:p>
        </w:tc>
        <w:tc>
          <w:tcPr>
            <w:tcW w:w="74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5</w:t>
            </w:r>
          </w:p>
        </w:tc>
        <w:tc>
          <w:tcPr>
            <w:tcW w:w="86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1</w:t>
            </w:r>
          </w:p>
        </w:tc>
        <w:tc>
          <w:tcPr>
            <w:tcW w:w="948"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3</w:t>
            </w:r>
          </w:p>
        </w:tc>
      </w:tr>
      <w:tr w:rsidR="00165178">
        <w:tblPrEx>
          <w:tblCellMar>
            <w:top w:w="0" w:type="dxa"/>
            <w:bottom w:w="0" w:type="dxa"/>
          </w:tblCellMar>
        </w:tblPrEx>
        <w:trPr>
          <w:trHeight w:val="161"/>
        </w:trPr>
        <w:tc>
          <w:tcPr>
            <w:tcW w:w="1725"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i/>
                <w:iCs/>
                <w:sz w:val="18"/>
                <w:szCs w:val="18"/>
                <w:lang/>
              </w:rPr>
              <w:t>Rota</w:t>
            </w:r>
          </w:p>
        </w:tc>
        <w:tc>
          <w:tcPr>
            <w:tcW w:w="74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5</w:t>
            </w:r>
          </w:p>
        </w:tc>
        <w:tc>
          <w:tcPr>
            <w:tcW w:w="86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1</w:t>
            </w:r>
          </w:p>
        </w:tc>
        <w:tc>
          <w:tcPr>
            <w:tcW w:w="948"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2</w:t>
            </w:r>
          </w:p>
        </w:tc>
      </w:tr>
    </w:tbl>
    <w:p w:rsidR="00165178" w:rsidRDefault="00165178" w:rsidP="00165178">
      <w:pPr>
        <w:autoSpaceDE w:val="0"/>
        <w:autoSpaceDN w:val="0"/>
        <w:adjustRightInd w:val="0"/>
        <w:spacing w:after="0" w:line="240" w:lineRule="auto"/>
        <w:ind w:left="720"/>
        <w:rPr>
          <w:rFonts w:ascii="Arial" w:hAnsi="Arial" w:cs="Arial"/>
          <w:b/>
          <w:bCs/>
          <w:sz w:val="18"/>
          <w:szCs w:val="18"/>
          <w:lang/>
        </w:rPr>
      </w:pPr>
    </w:p>
    <w:p w:rsidR="00165178" w:rsidRDefault="00165178" w:rsidP="00165178">
      <w:pPr>
        <w:autoSpaceDE w:val="0"/>
        <w:autoSpaceDN w:val="0"/>
        <w:adjustRightInd w:val="0"/>
        <w:spacing w:after="0" w:line="240" w:lineRule="auto"/>
        <w:rPr>
          <w:rFonts w:ascii="Arial" w:hAnsi="Arial" w:cs="Arial"/>
          <w:b/>
          <w:bCs/>
          <w:i/>
          <w:iCs/>
          <w:sz w:val="18"/>
          <w:szCs w:val="18"/>
          <w:lang/>
        </w:rPr>
      </w:pPr>
      <w:r>
        <w:rPr>
          <w:rFonts w:ascii="Arial" w:hAnsi="Arial" w:cs="Arial"/>
          <w:b/>
          <w:bCs/>
          <w:i/>
          <w:iCs/>
          <w:sz w:val="18"/>
          <w:szCs w:val="18"/>
          <w:lang/>
        </w:rPr>
        <w:t xml:space="preserve">Haiti Population </w:t>
      </w:r>
      <w:proofErr w:type="gramStart"/>
      <w:r>
        <w:rPr>
          <w:rFonts w:ascii="Arial" w:hAnsi="Arial" w:cs="Arial"/>
          <w:b/>
          <w:bCs/>
          <w:i/>
          <w:iCs/>
          <w:sz w:val="18"/>
          <w:szCs w:val="18"/>
          <w:lang/>
        </w:rPr>
        <w:t>Projections  2012</w:t>
      </w:r>
      <w:proofErr w:type="gramEnd"/>
      <w:r>
        <w:rPr>
          <w:rFonts w:ascii="Arial" w:hAnsi="Arial" w:cs="Arial"/>
          <w:b/>
          <w:bCs/>
          <w:i/>
          <w:iCs/>
          <w:sz w:val="18"/>
          <w:szCs w:val="18"/>
          <w:lang/>
        </w:rPr>
        <w:t xml:space="preserve"> - 2017 (*)</w:t>
      </w:r>
    </w:p>
    <w:tbl>
      <w:tblPr>
        <w:tblW w:w="0" w:type="auto"/>
        <w:tblInd w:w="201" w:type="dxa"/>
        <w:tblLayout w:type="fixed"/>
        <w:tblLook w:val="0000"/>
      </w:tblPr>
      <w:tblGrid>
        <w:gridCol w:w="2085"/>
        <w:gridCol w:w="1117"/>
        <w:gridCol w:w="1117"/>
        <w:gridCol w:w="1117"/>
        <w:gridCol w:w="1117"/>
        <w:gridCol w:w="1117"/>
        <w:gridCol w:w="1117"/>
      </w:tblGrid>
      <w:tr w:rsidR="00165178">
        <w:tblPrEx>
          <w:tblCellMar>
            <w:top w:w="0" w:type="dxa"/>
            <w:bottom w:w="0" w:type="dxa"/>
          </w:tblCellMar>
        </w:tblPrEx>
        <w:trPr>
          <w:trHeight w:val="300"/>
        </w:trPr>
        <w:tc>
          <w:tcPr>
            <w:tcW w:w="2085" w:type="dxa"/>
            <w:tcBorders>
              <w:top w:val="single" w:sz="3" w:space="0" w:color="000000"/>
              <w:left w:val="single" w:sz="3" w:space="0" w:color="000000"/>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rPr>
                <w:rFonts w:ascii="Calibri" w:hAnsi="Calibri" w:cs="Calibri"/>
                <w:lang/>
              </w:rPr>
            </w:pPr>
          </w:p>
        </w:tc>
        <w:tc>
          <w:tcPr>
            <w:tcW w:w="1117" w:type="dxa"/>
            <w:tcBorders>
              <w:top w:val="single" w:sz="3" w:space="0" w:color="000000"/>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2012</w:t>
            </w:r>
          </w:p>
        </w:tc>
        <w:tc>
          <w:tcPr>
            <w:tcW w:w="1117" w:type="dxa"/>
            <w:tcBorders>
              <w:top w:val="single" w:sz="3" w:space="0" w:color="000000"/>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2013</w:t>
            </w:r>
          </w:p>
        </w:tc>
        <w:tc>
          <w:tcPr>
            <w:tcW w:w="1117" w:type="dxa"/>
            <w:tcBorders>
              <w:top w:val="single" w:sz="3" w:space="0" w:color="000000"/>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2014</w:t>
            </w:r>
          </w:p>
        </w:tc>
        <w:tc>
          <w:tcPr>
            <w:tcW w:w="1117" w:type="dxa"/>
            <w:tcBorders>
              <w:top w:val="single" w:sz="3" w:space="0" w:color="000000"/>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2015</w:t>
            </w:r>
          </w:p>
        </w:tc>
        <w:tc>
          <w:tcPr>
            <w:tcW w:w="1117" w:type="dxa"/>
            <w:tcBorders>
              <w:top w:val="single" w:sz="3" w:space="0" w:color="000000"/>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2016</w:t>
            </w:r>
          </w:p>
        </w:tc>
        <w:tc>
          <w:tcPr>
            <w:tcW w:w="1117" w:type="dxa"/>
            <w:tcBorders>
              <w:top w:val="single" w:sz="3" w:space="0" w:color="000000"/>
              <w:left w:val="nil"/>
              <w:bottom w:val="single" w:sz="3"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2017</w:t>
            </w:r>
          </w:p>
        </w:tc>
      </w:tr>
      <w:tr w:rsidR="00165178">
        <w:tblPrEx>
          <w:tblCellMar>
            <w:top w:w="0" w:type="dxa"/>
            <w:bottom w:w="0" w:type="dxa"/>
          </w:tblCellMar>
        </w:tblPrEx>
        <w:trPr>
          <w:trHeight w:val="300"/>
        </w:trPr>
        <w:tc>
          <w:tcPr>
            <w:tcW w:w="2085" w:type="dxa"/>
            <w:tcBorders>
              <w:top w:val="single" w:sz="3" w:space="0" w:color="000000"/>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sz w:val="18"/>
                <w:szCs w:val="18"/>
                <w:lang/>
              </w:rPr>
              <w:t>Total Population</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10,649,600</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10,943,529</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11,245,571</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11,555,948</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11,874,893</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12,202,640</w:t>
            </w:r>
          </w:p>
        </w:tc>
      </w:tr>
      <w:tr w:rsidR="00165178">
        <w:tblPrEx>
          <w:tblCellMar>
            <w:top w:w="0" w:type="dxa"/>
            <w:bottom w:w="0" w:type="dxa"/>
          </w:tblCellMar>
        </w:tblPrEx>
        <w:trPr>
          <w:trHeight w:val="215"/>
        </w:trPr>
        <w:tc>
          <w:tcPr>
            <w:tcW w:w="2085" w:type="dxa"/>
            <w:tcBorders>
              <w:top w:val="single" w:sz="3" w:space="0" w:color="000000"/>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sz w:val="18"/>
                <w:szCs w:val="18"/>
                <w:lang/>
              </w:rPr>
              <w:t>Birth cohort</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298,189</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306,419</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314,876</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323,567</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332,497</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341,674</w:t>
            </w:r>
          </w:p>
        </w:tc>
      </w:tr>
      <w:tr w:rsidR="00165178">
        <w:tblPrEx>
          <w:tblCellMar>
            <w:top w:w="0" w:type="dxa"/>
            <w:bottom w:w="0" w:type="dxa"/>
          </w:tblCellMar>
        </w:tblPrEx>
        <w:trPr>
          <w:trHeight w:val="161"/>
        </w:trPr>
        <w:tc>
          <w:tcPr>
            <w:tcW w:w="2085" w:type="dxa"/>
            <w:tcBorders>
              <w:top w:val="single" w:sz="3" w:space="0" w:color="000000"/>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sz w:val="18"/>
                <w:szCs w:val="18"/>
                <w:lang/>
              </w:rPr>
              <w:t>Surviving infants</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281,192</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288,953</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296,928</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305,123</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313,545</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322,198</w:t>
            </w:r>
          </w:p>
        </w:tc>
      </w:tr>
      <w:tr w:rsidR="00165178">
        <w:tblPrEx>
          <w:tblCellMar>
            <w:top w:w="0" w:type="dxa"/>
            <w:bottom w:w="0" w:type="dxa"/>
          </w:tblCellMar>
        </w:tblPrEx>
        <w:trPr>
          <w:trHeight w:val="233"/>
        </w:trPr>
        <w:tc>
          <w:tcPr>
            <w:tcW w:w="2085" w:type="dxa"/>
            <w:tcBorders>
              <w:top w:val="single" w:sz="3" w:space="0" w:color="000000"/>
              <w:left w:val="single" w:sz="3" w:space="0" w:color="000000"/>
              <w:bottom w:val="nil"/>
              <w:right w:val="single" w:sz="3"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sz w:val="18"/>
                <w:szCs w:val="18"/>
                <w:lang/>
              </w:rPr>
              <w:t>Pregnant women</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298,189</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306,419</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314,876</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323,567</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332,497</w:t>
            </w:r>
          </w:p>
        </w:tc>
        <w:tc>
          <w:tcPr>
            <w:tcW w:w="1117"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341,674</w:t>
            </w:r>
          </w:p>
        </w:tc>
      </w:tr>
      <w:tr w:rsidR="00165178">
        <w:tblPrEx>
          <w:tblCellMar>
            <w:top w:w="0" w:type="dxa"/>
            <w:bottom w:w="0" w:type="dxa"/>
          </w:tblCellMar>
        </w:tblPrEx>
        <w:trPr>
          <w:trHeight w:val="170"/>
        </w:trPr>
        <w:tc>
          <w:tcPr>
            <w:tcW w:w="2085" w:type="dxa"/>
            <w:tcBorders>
              <w:top w:val="single" w:sz="3" w:space="0" w:color="000000"/>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b/>
                <w:bCs/>
                <w:sz w:val="18"/>
                <w:szCs w:val="18"/>
                <w:lang/>
              </w:rPr>
              <w:t>Women 15 – 49 years</w:t>
            </w:r>
          </w:p>
        </w:tc>
        <w:tc>
          <w:tcPr>
            <w:tcW w:w="1117" w:type="dxa"/>
            <w:tcBorders>
              <w:top w:val="single" w:sz="3" w:space="0" w:color="000000"/>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2,787,000</w:t>
            </w:r>
          </w:p>
        </w:tc>
        <w:tc>
          <w:tcPr>
            <w:tcW w:w="1117" w:type="dxa"/>
            <w:tcBorders>
              <w:top w:val="single" w:sz="3" w:space="0" w:color="000000"/>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2,863,922</w:t>
            </w:r>
          </w:p>
        </w:tc>
        <w:tc>
          <w:tcPr>
            <w:tcW w:w="1117" w:type="dxa"/>
            <w:tcBorders>
              <w:top w:val="single" w:sz="3" w:space="0" w:color="000000"/>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2,942,966</w:t>
            </w:r>
          </w:p>
        </w:tc>
        <w:tc>
          <w:tcPr>
            <w:tcW w:w="1117" w:type="dxa"/>
            <w:tcBorders>
              <w:top w:val="single" w:sz="3" w:space="0" w:color="000000"/>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3,024,192</w:t>
            </w:r>
          </w:p>
        </w:tc>
        <w:tc>
          <w:tcPr>
            <w:tcW w:w="1117" w:type="dxa"/>
            <w:tcBorders>
              <w:top w:val="single" w:sz="3" w:space="0" w:color="000000"/>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3,107,659</w:t>
            </w:r>
          </w:p>
        </w:tc>
        <w:tc>
          <w:tcPr>
            <w:tcW w:w="1117" w:type="dxa"/>
            <w:tcBorders>
              <w:top w:val="single" w:sz="3" w:space="0" w:color="000000"/>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sz w:val="18"/>
                <w:szCs w:val="18"/>
                <w:lang/>
              </w:rPr>
              <w:t>3,193,431</w:t>
            </w:r>
          </w:p>
        </w:tc>
      </w:tr>
    </w:tbl>
    <w:p w:rsidR="00165178" w:rsidRDefault="00165178" w:rsidP="00165178">
      <w:pPr>
        <w:autoSpaceDE w:val="0"/>
        <w:autoSpaceDN w:val="0"/>
        <w:adjustRightInd w:val="0"/>
        <w:spacing w:after="0" w:line="240" w:lineRule="auto"/>
        <w:rPr>
          <w:rFonts w:ascii="Arial" w:hAnsi="Arial" w:cs="Arial"/>
          <w:i/>
          <w:iCs/>
          <w:sz w:val="18"/>
          <w:szCs w:val="18"/>
          <w:lang/>
        </w:rPr>
      </w:pPr>
      <w:r>
        <w:rPr>
          <w:rFonts w:ascii="Arial" w:hAnsi="Arial" w:cs="Arial"/>
          <w:i/>
          <w:iCs/>
          <w:sz w:val="18"/>
          <w:szCs w:val="18"/>
          <w:lang/>
        </w:rPr>
        <w:lastRenderedPageBreak/>
        <w:t xml:space="preserve"> (*)  RGPH – </w:t>
      </w:r>
      <w:proofErr w:type="gramStart"/>
      <w:r>
        <w:rPr>
          <w:rFonts w:ascii="Arial" w:hAnsi="Arial" w:cs="Arial"/>
          <w:i/>
          <w:iCs/>
          <w:sz w:val="18"/>
          <w:szCs w:val="18"/>
          <w:lang/>
        </w:rPr>
        <w:t>2003  IHSI</w:t>
      </w:r>
      <w:proofErr w:type="gramEnd"/>
      <w:r>
        <w:rPr>
          <w:rFonts w:ascii="Arial" w:hAnsi="Arial" w:cs="Arial"/>
          <w:i/>
          <w:iCs/>
          <w:sz w:val="18"/>
          <w:szCs w:val="18"/>
          <w:lang/>
        </w:rPr>
        <w:t>-UNFPA</w:t>
      </w:r>
    </w:p>
    <w:p w:rsidR="00165178" w:rsidRDefault="00165178" w:rsidP="00165178">
      <w:pPr>
        <w:autoSpaceDE w:val="0"/>
        <w:autoSpaceDN w:val="0"/>
        <w:adjustRightInd w:val="0"/>
        <w:spacing w:after="0" w:line="240" w:lineRule="auto"/>
        <w:rPr>
          <w:rFonts w:ascii="Arial" w:hAnsi="Arial" w:cs="Arial"/>
          <w:b/>
          <w:bCs/>
          <w:sz w:val="20"/>
          <w:szCs w:val="20"/>
          <w:highlight w:val="white"/>
          <w:lang/>
        </w:rPr>
      </w:pPr>
    </w:p>
    <w:p w:rsidR="00165178" w:rsidRDefault="00165178" w:rsidP="00165178">
      <w:pPr>
        <w:autoSpaceDE w:val="0"/>
        <w:autoSpaceDN w:val="0"/>
        <w:adjustRightInd w:val="0"/>
        <w:spacing w:after="0" w:line="240" w:lineRule="auto"/>
        <w:rPr>
          <w:rFonts w:ascii="Arial" w:hAnsi="Arial" w:cs="Arial"/>
          <w:b/>
          <w:bCs/>
          <w:sz w:val="20"/>
          <w:szCs w:val="20"/>
          <w:highlight w:val="white"/>
          <w:lang/>
        </w:rPr>
      </w:pPr>
    </w:p>
    <w:p w:rsidR="00165178" w:rsidRPr="00165178" w:rsidRDefault="00165178" w:rsidP="00165178">
      <w:pPr>
        <w:keepNext/>
        <w:tabs>
          <w:tab w:val="left" w:pos="360"/>
        </w:tabs>
        <w:autoSpaceDE w:val="0"/>
        <w:autoSpaceDN w:val="0"/>
        <w:adjustRightInd w:val="0"/>
        <w:spacing w:before="240" w:after="60" w:line="240" w:lineRule="auto"/>
        <w:ind w:left="360" w:hanging="360"/>
        <w:rPr>
          <w:rFonts w:ascii="Arial" w:hAnsi="Arial" w:cs="Arial"/>
          <w:sz w:val="32"/>
          <w:szCs w:val="32"/>
          <w:highlight w:val="cyan"/>
          <w:lang/>
        </w:rPr>
      </w:pPr>
      <w:r w:rsidRPr="00165178">
        <w:rPr>
          <w:rFonts w:ascii="Arial" w:hAnsi="Arial" w:cs="Arial"/>
          <w:sz w:val="32"/>
          <w:szCs w:val="32"/>
          <w:highlight w:val="cyan"/>
          <w:lang/>
        </w:rPr>
        <w:t>2.    STATUS OF THE COLD CHAIN LOGISTICS SYSTEM (CCL)</w:t>
      </w:r>
    </w:p>
    <w:p w:rsidR="00165178" w:rsidRDefault="00165178" w:rsidP="00165178">
      <w:pPr>
        <w:autoSpaceDE w:val="0"/>
        <w:autoSpaceDN w:val="0"/>
        <w:adjustRightInd w:val="0"/>
        <w:spacing w:before="120" w:after="120" w:line="240" w:lineRule="auto"/>
        <w:rPr>
          <w:rFonts w:ascii="Arial" w:hAnsi="Arial" w:cs="Arial"/>
          <w:sz w:val="20"/>
          <w:szCs w:val="20"/>
          <w:lang/>
        </w:rPr>
      </w:pPr>
      <w:r>
        <w:rPr>
          <w:rFonts w:ascii="Arial" w:hAnsi="Arial" w:cs="Arial"/>
          <w:sz w:val="20"/>
          <w:szCs w:val="20"/>
          <w:lang/>
        </w:rPr>
        <w:t xml:space="preserve">Since 2001, assessments of Haiti’s CCL system have been commissioned by various EPI Partners.  Experts’ reports are consistent in describing the structural faults and gaps in the system, and most recommend similar remedial actions to address its deficits, including those after the January 2010 earthquake, which further weakened the already fragile system. </w:t>
      </w:r>
    </w:p>
    <w:p w:rsidR="00165178" w:rsidRDefault="00165178" w:rsidP="00165178">
      <w:pPr>
        <w:autoSpaceDE w:val="0"/>
        <w:autoSpaceDN w:val="0"/>
        <w:adjustRightInd w:val="0"/>
        <w:spacing w:before="120" w:after="120" w:line="240" w:lineRule="auto"/>
        <w:rPr>
          <w:rFonts w:ascii="Arial" w:hAnsi="Arial" w:cs="Arial"/>
          <w:sz w:val="20"/>
          <w:szCs w:val="20"/>
          <w:lang/>
        </w:rPr>
      </w:pPr>
      <w:r>
        <w:rPr>
          <w:rFonts w:ascii="Arial" w:hAnsi="Arial" w:cs="Arial"/>
          <w:sz w:val="20"/>
          <w:szCs w:val="20"/>
          <w:lang/>
        </w:rPr>
        <w:t>Among the numerous interventions required to rehabilitate Haiti’s CCL system, two issues present particularly serious concerns:</w:t>
      </w:r>
    </w:p>
    <w:p w:rsidR="00165178" w:rsidRDefault="00165178" w:rsidP="00165178">
      <w:pPr>
        <w:numPr>
          <w:ilvl w:val="0"/>
          <w:numId w:val="1"/>
        </w:numPr>
        <w:autoSpaceDE w:val="0"/>
        <w:autoSpaceDN w:val="0"/>
        <w:adjustRightInd w:val="0"/>
        <w:spacing w:before="120" w:after="120" w:line="240" w:lineRule="auto"/>
        <w:ind w:left="720" w:hanging="360"/>
        <w:rPr>
          <w:rFonts w:ascii="Arial" w:hAnsi="Arial" w:cs="Arial"/>
          <w:sz w:val="20"/>
          <w:szCs w:val="20"/>
          <w:lang/>
        </w:rPr>
      </w:pPr>
      <w:r>
        <w:rPr>
          <w:rFonts w:ascii="Arial" w:hAnsi="Arial" w:cs="Arial"/>
          <w:sz w:val="20"/>
          <w:szCs w:val="20"/>
          <w:lang/>
        </w:rPr>
        <w:t>Poor cold chain and inadequate infrastructure at 30 intermediate vaccine depots;</w:t>
      </w:r>
    </w:p>
    <w:p w:rsidR="00165178" w:rsidRDefault="00165178" w:rsidP="00165178">
      <w:pPr>
        <w:numPr>
          <w:ilvl w:val="0"/>
          <w:numId w:val="1"/>
        </w:numPr>
        <w:autoSpaceDE w:val="0"/>
        <w:autoSpaceDN w:val="0"/>
        <w:adjustRightInd w:val="0"/>
        <w:spacing w:before="120" w:after="120" w:line="240" w:lineRule="auto"/>
        <w:ind w:left="720" w:hanging="360"/>
        <w:rPr>
          <w:rFonts w:ascii="Arial" w:hAnsi="Arial" w:cs="Arial"/>
          <w:sz w:val="20"/>
          <w:szCs w:val="20"/>
          <w:lang/>
        </w:rPr>
      </w:pPr>
      <w:r>
        <w:rPr>
          <w:rFonts w:ascii="Arial" w:hAnsi="Arial" w:cs="Arial"/>
          <w:sz w:val="20"/>
          <w:szCs w:val="20"/>
          <w:lang/>
        </w:rPr>
        <w:t>Unsecure funding for Liquid Propane (LP) Gas which is essential to maintaining cold chain integrity at health facilities.</w:t>
      </w:r>
    </w:p>
    <w:p w:rsidR="00165178" w:rsidRDefault="00165178" w:rsidP="00165178">
      <w:pPr>
        <w:autoSpaceDE w:val="0"/>
        <w:autoSpaceDN w:val="0"/>
        <w:adjustRightInd w:val="0"/>
        <w:spacing w:before="120" w:after="120" w:line="240" w:lineRule="auto"/>
        <w:rPr>
          <w:rFonts w:ascii="Arial" w:hAnsi="Arial" w:cs="Arial"/>
          <w:sz w:val="20"/>
          <w:szCs w:val="20"/>
          <w:lang/>
        </w:rPr>
      </w:pPr>
      <w:r>
        <w:rPr>
          <w:rFonts w:ascii="Arial" w:hAnsi="Arial" w:cs="Arial"/>
          <w:sz w:val="20"/>
          <w:szCs w:val="20"/>
          <w:lang/>
        </w:rPr>
        <w:t>In addition to these constraints however, the CCL system will be challenged even more by the introduction of three new antigens in the country’s vaccination schedule. The antigens are:</w:t>
      </w:r>
    </w:p>
    <w:p w:rsidR="00165178" w:rsidRDefault="00165178" w:rsidP="00165178">
      <w:pPr>
        <w:numPr>
          <w:ilvl w:val="0"/>
          <w:numId w:val="1"/>
        </w:numPr>
        <w:autoSpaceDE w:val="0"/>
        <w:autoSpaceDN w:val="0"/>
        <w:adjustRightInd w:val="0"/>
        <w:spacing w:before="120" w:after="120" w:line="240" w:lineRule="auto"/>
        <w:ind w:left="720" w:hanging="360"/>
        <w:rPr>
          <w:rFonts w:ascii="Arial" w:hAnsi="Arial" w:cs="Arial"/>
          <w:sz w:val="20"/>
          <w:szCs w:val="20"/>
          <w:lang/>
        </w:rPr>
      </w:pPr>
      <w:proofErr w:type="spellStart"/>
      <w:r>
        <w:rPr>
          <w:rFonts w:ascii="Arial" w:hAnsi="Arial" w:cs="Arial"/>
          <w:sz w:val="20"/>
          <w:szCs w:val="20"/>
          <w:lang/>
        </w:rPr>
        <w:t>Pentavalent</w:t>
      </w:r>
      <w:proofErr w:type="spellEnd"/>
      <w:r>
        <w:rPr>
          <w:rFonts w:ascii="Arial" w:hAnsi="Arial" w:cs="Arial"/>
          <w:sz w:val="20"/>
          <w:szCs w:val="20"/>
          <w:lang/>
        </w:rPr>
        <w:t xml:space="preserve"> in 2012;</w:t>
      </w:r>
    </w:p>
    <w:p w:rsidR="00165178" w:rsidRDefault="00165178" w:rsidP="00165178">
      <w:pPr>
        <w:numPr>
          <w:ilvl w:val="0"/>
          <w:numId w:val="1"/>
        </w:numPr>
        <w:autoSpaceDE w:val="0"/>
        <w:autoSpaceDN w:val="0"/>
        <w:adjustRightInd w:val="0"/>
        <w:spacing w:before="120" w:after="120" w:line="240" w:lineRule="auto"/>
        <w:ind w:left="720" w:hanging="360"/>
        <w:rPr>
          <w:rFonts w:ascii="Arial" w:hAnsi="Arial" w:cs="Arial"/>
          <w:sz w:val="20"/>
          <w:szCs w:val="20"/>
          <w:lang/>
        </w:rPr>
      </w:pPr>
      <w:r>
        <w:rPr>
          <w:rFonts w:ascii="Arial" w:hAnsi="Arial" w:cs="Arial"/>
          <w:sz w:val="20"/>
          <w:szCs w:val="20"/>
          <w:lang/>
        </w:rPr>
        <w:t xml:space="preserve">PCV13; and </w:t>
      </w:r>
    </w:p>
    <w:p w:rsidR="00165178" w:rsidRDefault="00165178" w:rsidP="00165178">
      <w:pPr>
        <w:numPr>
          <w:ilvl w:val="0"/>
          <w:numId w:val="1"/>
        </w:numPr>
        <w:autoSpaceDE w:val="0"/>
        <w:autoSpaceDN w:val="0"/>
        <w:adjustRightInd w:val="0"/>
        <w:spacing w:before="120" w:after="120" w:line="240" w:lineRule="auto"/>
        <w:ind w:left="720" w:hanging="360"/>
        <w:rPr>
          <w:rFonts w:ascii="Arial" w:hAnsi="Arial" w:cs="Arial"/>
          <w:sz w:val="20"/>
          <w:szCs w:val="20"/>
          <w:lang/>
        </w:rPr>
      </w:pPr>
      <w:r>
        <w:rPr>
          <w:rFonts w:ascii="Arial" w:hAnsi="Arial" w:cs="Arial"/>
          <w:sz w:val="20"/>
          <w:szCs w:val="20"/>
          <w:lang/>
        </w:rPr>
        <w:t>Rota in 2013</w:t>
      </w:r>
    </w:p>
    <w:p w:rsidR="00165178" w:rsidRDefault="00165178" w:rsidP="00165178">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Therefore the provision of adequate cold chain storage capacity in 2011, and the reorganization/funding of the EPI Logistics system before 2012 must become short term priorities for the </w:t>
      </w:r>
      <w:proofErr w:type="spellStart"/>
      <w:r>
        <w:rPr>
          <w:rFonts w:ascii="Arial" w:hAnsi="Arial" w:cs="Arial"/>
          <w:sz w:val="20"/>
          <w:szCs w:val="20"/>
          <w:lang/>
        </w:rPr>
        <w:t>Programme</w:t>
      </w:r>
      <w:proofErr w:type="spellEnd"/>
      <w:r>
        <w:rPr>
          <w:rFonts w:ascii="Arial" w:hAnsi="Arial" w:cs="Arial"/>
          <w:sz w:val="20"/>
          <w:szCs w:val="20"/>
          <w:lang/>
        </w:rPr>
        <w:t xml:space="preserve"> and its Partners.</w:t>
      </w:r>
    </w:p>
    <w:p w:rsidR="00165178" w:rsidRDefault="00165178" w:rsidP="00165178">
      <w:pPr>
        <w:autoSpaceDE w:val="0"/>
        <w:autoSpaceDN w:val="0"/>
        <w:adjustRightInd w:val="0"/>
        <w:spacing w:after="0" w:line="240" w:lineRule="auto"/>
        <w:rPr>
          <w:rFonts w:ascii="Arial" w:hAnsi="Arial" w:cs="Arial"/>
          <w:sz w:val="20"/>
          <w:szCs w:val="20"/>
          <w:lang/>
        </w:rPr>
      </w:pPr>
    </w:p>
    <w:p w:rsidR="00165178" w:rsidRDefault="00165178" w:rsidP="00165178">
      <w:pPr>
        <w:autoSpaceDE w:val="0"/>
        <w:autoSpaceDN w:val="0"/>
        <w:adjustRightInd w:val="0"/>
        <w:spacing w:after="0" w:line="240" w:lineRule="auto"/>
        <w:rPr>
          <w:rFonts w:ascii="Arial" w:hAnsi="Arial" w:cs="Arial"/>
          <w:sz w:val="20"/>
          <w:szCs w:val="20"/>
          <w:lang/>
        </w:rPr>
      </w:pPr>
    </w:p>
    <w:p w:rsidR="00165178" w:rsidRDefault="00165178" w:rsidP="00165178">
      <w:pPr>
        <w:autoSpaceDE w:val="0"/>
        <w:autoSpaceDN w:val="0"/>
        <w:adjustRightInd w:val="0"/>
        <w:spacing w:after="0" w:line="240" w:lineRule="auto"/>
        <w:rPr>
          <w:rFonts w:ascii="Arial" w:hAnsi="Arial" w:cs="Arial"/>
          <w:b/>
          <w:bCs/>
          <w:sz w:val="20"/>
          <w:szCs w:val="20"/>
          <w:highlight w:val="white"/>
          <w:lang/>
        </w:rPr>
      </w:pPr>
      <w:r>
        <w:rPr>
          <w:rFonts w:ascii="Arial" w:hAnsi="Arial" w:cs="Arial"/>
          <w:b/>
          <w:bCs/>
          <w:sz w:val="20"/>
          <w:szCs w:val="20"/>
          <w:highlight w:val="white"/>
          <w:lang/>
        </w:rPr>
        <w:t>2.1. Description of the CCL System</w:t>
      </w:r>
    </w:p>
    <w:p w:rsidR="00165178" w:rsidRDefault="00165178" w:rsidP="00165178">
      <w:pPr>
        <w:autoSpaceDE w:val="0"/>
        <w:autoSpaceDN w:val="0"/>
        <w:adjustRightInd w:val="0"/>
        <w:spacing w:before="120" w:after="120" w:line="240" w:lineRule="auto"/>
        <w:rPr>
          <w:rFonts w:ascii="Arial" w:hAnsi="Arial" w:cs="Arial"/>
          <w:sz w:val="20"/>
          <w:szCs w:val="20"/>
          <w:lang/>
        </w:rPr>
      </w:pPr>
      <w:r>
        <w:rPr>
          <w:rFonts w:ascii="Arial" w:hAnsi="Arial" w:cs="Arial"/>
          <w:sz w:val="20"/>
          <w:szCs w:val="20"/>
          <w:highlight w:val="white"/>
          <w:lang/>
        </w:rPr>
        <w:t xml:space="preserve">Immunization services in Haiti are </w:t>
      </w:r>
      <w:proofErr w:type="gramStart"/>
      <w:r>
        <w:rPr>
          <w:rFonts w:ascii="Arial" w:hAnsi="Arial" w:cs="Arial"/>
          <w:sz w:val="20"/>
          <w:szCs w:val="20"/>
          <w:highlight w:val="white"/>
          <w:lang/>
        </w:rPr>
        <w:t>provided  through</w:t>
      </w:r>
      <w:proofErr w:type="gramEnd"/>
      <w:r>
        <w:rPr>
          <w:rFonts w:ascii="Arial" w:hAnsi="Arial" w:cs="Arial"/>
          <w:sz w:val="20"/>
          <w:szCs w:val="20"/>
          <w:highlight w:val="white"/>
          <w:lang/>
        </w:rPr>
        <w:t xml:space="preserve"> 10 Departments; 140 Communes and 553 Communal Sections. </w:t>
      </w:r>
      <w:r>
        <w:rPr>
          <w:rFonts w:ascii="Arial" w:hAnsi="Arial" w:cs="Arial"/>
          <w:sz w:val="20"/>
          <w:szCs w:val="20"/>
          <w:lang/>
        </w:rPr>
        <w:t xml:space="preserve">The CCL system for immunization operations Haiti has three operational levels as shown by the graph in next page.  </w:t>
      </w:r>
    </w:p>
    <w:p w:rsidR="00165178" w:rsidRDefault="00165178" w:rsidP="00165178">
      <w:pPr>
        <w:numPr>
          <w:ilvl w:val="0"/>
          <w:numId w:val="1"/>
        </w:numPr>
        <w:autoSpaceDE w:val="0"/>
        <w:autoSpaceDN w:val="0"/>
        <w:adjustRightInd w:val="0"/>
        <w:spacing w:before="120" w:after="120" w:line="240" w:lineRule="auto"/>
        <w:ind w:left="720" w:hanging="360"/>
        <w:rPr>
          <w:rFonts w:ascii="Arial" w:hAnsi="Arial" w:cs="Arial"/>
          <w:sz w:val="20"/>
          <w:szCs w:val="20"/>
          <w:lang/>
        </w:rPr>
      </w:pPr>
      <w:r>
        <w:rPr>
          <w:rFonts w:ascii="Arial" w:hAnsi="Arial" w:cs="Arial"/>
          <w:sz w:val="20"/>
          <w:szCs w:val="20"/>
          <w:lang/>
        </w:rPr>
        <w:t>Central Level – One (01) vaccine store located in Port-au Prince at PROMESS</w:t>
      </w:r>
    </w:p>
    <w:p w:rsidR="00165178" w:rsidRDefault="00165178" w:rsidP="00165178">
      <w:pPr>
        <w:numPr>
          <w:ilvl w:val="0"/>
          <w:numId w:val="1"/>
        </w:numPr>
        <w:autoSpaceDE w:val="0"/>
        <w:autoSpaceDN w:val="0"/>
        <w:adjustRightInd w:val="0"/>
        <w:spacing w:before="120" w:after="120" w:line="240" w:lineRule="auto"/>
        <w:ind w:left="720" w:hanging="360"/>
        <w:rPr>
          <w:rFonts w:ascii="Arial" w:hAnsi="Arial" w:cs="Arial"/>
          <w:sz w:val="20"/>
          <w:szCs w:val="20"/>
          <w:lang/>
        </w:rPr>
      </w:pPr>
      <w:r>
        <w:rPr>
          <w:rFonts w:ascii="Arial" w:hAnsi="Arial" w:cs="Arial"/>
          <w:sz w:val="20"/>
          <w:szCs w:val="20"/>
          <w:lang/>
        </w:rPr>
        <w:t>Intermediate Level – Thirty (30) vaccine stores and sub-stores at Departments/Communes (*)</w:t>
      </w:r>
    </w:p>
    <w:p w:rsidR="00165178" w:rsidRDefault="00165178" w:rsidP="00165178">
      <w:pPr>
        <w:numPr>
          <w:ilvl w:val="0"/>
          <w:numId w:val="1"/>
        </w:numPr>
        <w:autoSpaceDE w:val="0"/>
        <w:autoSpaceDN w:val="0"/>
        <w:adjustRightInd w:val="0"/>
        <w:spacing w:before="120" w:after="120" w:line="240" w:lineRule="auto"/>
        <w:ind w:left="720" w:hanging="360"/>
        <w:rPr>
          <w:rFonts w:ascii="Arial" w:hAnsi="Arial" w:cs="Arial"/>
          <w:sz w:val="20"/>
          <w:szCs w:val="20"/>
          <w:lang/>
        </w:rPr>
      </w:pPr>
      <w:r>
        <w:rPr>
          <w:rFonts w:ascii="Arial" w:hAnsi="Arial" w:cs="Arial"/>
          <w:sz w:val="20"/>
          <w:szCs w:val="20"/>
          <w:lang/>
        </w:rPr>
        <w:t xml:space="preserve">Health Facility Level -  Six hundred seventy six (676) HCs at urban and rural localities  </w:t>
      </w:r>
    </w:p>
    <w:p w:rsidR="00165178" w:rsidRDefault="00165178" w:rsidP="00165178">
      <w:pPr>
        <w:autoSpaceDE w:val="0"/>
        <w:autoSpaceDN w:val="0"/>
        <w:adjustRightInd w:val="0"/>
        <w:spacing w:after="0" w:line="240" w:lineRule="auto"/>
        <w:rPr>
          <w:rFonts w:ascii="Arial" w:hAnsi="Arial" w:cs="Arial"/>
          <w:sz w:val="20"/>
          <w:szCs w:val="20"/>
          <w:highlight w:val="white"/>
          <w:lang/>
        </w:rPr>
      </w:pPr>
      <w:r>
        <w:rPr>
          <w:rFonts w:ascii="Arial" w:hAnsi="Arial" w:cs="Arial"/>
          <w:sz w:val="20"/>
          <w:szCs w:val="20"/>
          <w:highlight w:val="white"/>
          <w:lang/>
        </w:rPr>
        <w:t xml:space="preserve">The central vaccine store receives vaccines quarterly from abroad. Quarterly deliveries of vaccines are made from the central store directly to a network of thirty intermediate depots and sub-depots. </w:t>
      </w:r>
      <w:proofErr w:type="gramStart"/>
      <w:r>
        <w:rPr>
          <w:rFonts w:ascii="Arial" w:hAnsi="Arial" w:cs="Arial"/>
          <w:sz w:val="20"/>
          <w:szCs w:val="20"/>
          <w:highlight w:val="white"/>
          <w:lang/>
        </w:rPr>
        <w:t>Each  intermediate</w:t>
      </w:r>
      <w:proofErr w:type="gramEnd"/>
      <w:r>
        <w:rPr>
          <w:rFonts w:ascii="Arial" w:hAnsi="Arial" w:cs="Arial"/>
          <w:sz w:val="20"/>
          <w:szCs w:val="20"/>
          <w:highlight w:val="white"/>
          <w:lang/>
        </w:rPr>
        <w:t xml:space="preserve"> depot and sub-depot is the location where six hundred and seventy six health facilities come to collect vaccines and supplies on a monthly basis. </w:t>
      </w:r>
    </w:p>
    <w:p w:rsidR="00165178" w:rsidRDefault="00165178" w:rsidP="00165178">
      <w:pPr>
        <w:autoSpaceDE w:val="0"/>
        <w:autoSpaceDN w:val="0"/>
        <w:adjustRightInd w:val="0"/>
        <w:spacing w:after="0" w:line="240" w:lineRule="auto"/>
        <w:rPr>
          <w:rFonts w:ascii="Arial" w:hAnsi="Arial" w:cs="Arial"/>
          <w:sz w:val="20"/>
          <w:szCs w:val="20"/>
          <w:highlight w:val="white"/>
          <w:lang/>
        </w:rPr>
      </w:pPr>
    </w:p>
    <w:p w:rsidR="00165178" w:rsidRDefault="00165178" w:rsidP="00165178">
      <w:pPr>
        <w:autoSpaceDE w:val="0"/>
        <w:autoSpaceDN w:val="0"/>
        <w:adjustRightInd w:val="0"/>
        <w:spacing w:after="0" w:line="240" w:lineRule="auto"/>
        <w:rPr>
          <w:rFonts w:ascii="Arial" w:hAnsi="Arial" w:cs="Arial"/>
          <w:sz w:val="20"/>
          <w:szCs w:val="20"/>
          <w:lang/>
        </w:rPr>
      </w:pPr>
      <w:r>
        <w:rPr>
          <w:rFonts w:ascii="Arial" w:hAnsi="Arial" w:cs="Arial"/>
          <w:sz w:val="20"/>
          <w:szCs w:val="20"/>
          <w:highlight w:val="white"/>
          <w:lang/>
        </w:rPr>
        <w:t xml:space="preserve">The </w:t>
      </w:r>
      <w:r>
        <w:rPr>
          <w:rFonts w:ascii="Arial" w:hAnsi="Arial" w:cs="Arial"/>
          <w:sz w:val="20"/>
          <w:szCs w:val="20"/>
          <w:lang/>
        </w:rPr>
        <w:t xml:space="preserve">challenge of introducing  </w:t>
      </w:r>
      <w:proofErr w:type="spellStart"/>
      <w:r>
        <w:rPr>
          <w:rFonts w:ascii="Arial" w:hAnsi="Arial" w:cs="Arial"/>
          <w:sz w:val="20"/>
          <w:szCs w:val="20"/>
          <w:lang/>
        </w:rPr>
        <w:t>Penta</w:t>
      </w:r>
      <w:proofErr w:type="spellEnd"/>
      <w:r>
        <w:rPr>
          <w:rFonts w:ascii="Arial" w:hAnsi="Arial" w:cs="Arial"/>
          <w:sz w:val="20"/>
          <w:szCs w:val="20"/>
          <w:lang/>
        </w:rPr>
        <w:t xml:space="preserve"> in 2012, followed by PCV 13, Rota in 2013 require an </w:t>
      </w:r>
      <w:r>
        <w:rPr>
          <w:rFonts w:ascii="Arial" w:hAnsi="Arial" w:cs="Arial"/>
          <w:sz w:val="20"/>
          <w:szCs w:val="20"/>
          <w:highlight w:val="white"/>
          <w:lang/>
        </w:rPr>
        <w:t xml:space="preserve">analysis of the present transport and distribution system to determine its cost effectiveness. Efforts are currently </w:t>
      </w:r>
      <w:proofErr w:type="gramStart"/>
      <w:r>
        <w:rPr>
          <w:rFonts w:ascii="Arial" w:hAnsi="Arial" w:cs="Arial"/>
          <w:sz w:val="20"/>
          <w:szCs w:val="20"/>
          <w:highlight w:val="white"/>
          <w:lang/>
        </w:rPr>
        <w:t>underway  to</w:t>
      </w:r>
      <w:proofErr w:type="gramEnd"/>
      <w:r>
        <w:rPr>
          <w:rFonts w:ascii="Arial" w:hAnsi="Arial" w:cs="Arial"/>
          <w:sz w:val="20"/>
          <w:szCs w:val="20"/>
          <w:highlight w:val="white"/>
          <w:lang/>
        </w:rPr>
        <w:t>:</w:t>
      </w:r>
    </w:p>
    <w:p w:rsidR="00165178" w:rsidRDefault="00165178" w:rsidP="00165178">
      <w:pPr>
        <w:autoSpaceDE w:val="0"/>
        <w:autoSpaceDN w:val="0"/>
        <w:adjustRightInd w:val="0"/>
        <w:spacing w:after="0" w:line="240" w:lineRule="auto"/>
        <w:rPr>
          <w:rFonts w:ascii="Arial" w:hAnsi="Arial" w:cs="Arial"/>
          <w:sz w:val="20"/>
          <w:szCs w:val="20"/>
          <w:lang/>
        </w:rPr>
      </w:pPr>
    </w:p>
    <w:p w:rsidR="00165178" w:rsidRDefault="00165178" w:rsidP="00165178">
      <w:pPr>
        <w:numPr>
          <w:ilvl w:val="0"/>
          <w:numId w:val="1"/>
        </w:numPr>
        <w:autoSpaceDE w:val="0"/>
        <w:autoSpaceDN w:val="0"/>
        <w:adjustRightInd w:val="0"/>
        <w:spacing w:after="0" w:line="240" w:lineRule="auto"/>
        <w:ind w:left="720" w:hanging="360"/>
        <w:rPr>
          <w:rFonts w:ascii="Arial" w:hAnsi="Arial" w:cs="Arial"/>
          <w:sz w:val="20"/>
          <w:szCs w:val="20"/>
          <w:lang/>
        </w:rPr>
      </w:pPr>
      <w:r>
        <w:rPr>
          <w:rFonts w:ascii="Arial" w:hAnsi="Arial" w:cs="Arial"/>
          <w:sz w:val="20"/>
          <w:szCs w:val="20"/>
          <w:lang/>
        </w:rPr>
        <w:t>Determine alternate delivery schedules and/or routing schemes</w:t>
      </w:r>
    </w:p>
    <w:p w:rsidR="00165178" w:rsidRDefault="00165178" w:rsidP="00165178">
      <w:pPr>
        <w:numPr>
          <w:ilvl w:val="0"/>
          <w:numId w:val="1"/>
        </w:numPr>
        <w:autoSpaceDE w:val="0"/>
        <w:autoSpaceDN w:val="0"/>
        <w:adjustRightInd w:val="0"/>
        <w:spacing w:after="0" w:line="240" w:lineRule="auto"/>
        <w:ind w:left="720" w:hanging="360"/>
        <w:rPr>
          <w:rFonts w:ascii="Arial" w:hAnsi="Arial" w:cs="Arial"/>
          <w:sz w:val="20"/>
          <w:szCs w:val="20"/>
          <w:lang/>
        </w:rPr>
      </w:pPr>
      <w:r>
        <w:rPr>
          <w:rFonts w:ascii="Arial" w:hAnsi="Arial" w:cs="Arial"/>
          <w:sz w:val="20"/>
          <w:szCs w:val="20"/>
          <w:lang/>
        </w:rPr>
        <w:t xml:space="preserve">Apply optimal delivery schedules to the new CCL system </w:t>
      </w:r>
    </w:p>
    <w:p w:rsidR="00165178" w:rsidRDefault="00165178" w:rsidP="00165178">
      <w:pPr>
        <w:autoSpaceDE w:val="0"/>
        <w:autoSpaceDN w:val="0"/>
        <w:adjustRightInd w:val="0"/>
        <w:spacing w:after="0" w:line="240" w:lineRule="auto"/>
        <w:rPr>
          <w:rFonts w:ascii="Arial" w:hAnsi="Arial" w:cs="Arial"/>
          <w:sz w:val="20"/>
          <w:szCs w:val="20"/>
          <w:highlight w:val="white"/>
          <w:lang/>
        </w:rPr>
      </w:pPr>
    </w:p>
    <w:p w:rsidR="00165178" w:rsidRDefault="00165178" w:rsidP="00165178">
      <w:pPr>
        <w:autoSpaceDE w:val="0"/>
        <w:autoSpaceDN w:val="0"/>
        <w:adjustRightInd w:val="0"/>
        <w:spacing w:after="0" w:line="240" w:lineRule="auto"/>
        <w:rPr>
          <w:rFonts w:ascii="Arial" w:hAnsi="Arial" w:cs="Arial"/>
          <w:sz w:val="20"/>
          <w:szCs w:val="20"/>
          <w:highlight w:val="white"/>
          <w:lang/>
        </w:rPr>
      </w:pPr>
      <w:r>
        <w:rPr>
          <w:rFonts w:ascii="Arial" w:hAnsi="Arial" w:cs="Arial"/>
          <w:sz w:val="20"/>
          <w:szCs w:val="20"/>
          <w:highlight w:val="white"/>
          <w:lang/>
        </w:rPr>
        <w:t xml:space="preserve">(*) One store in the </w:t>
      </w:r>
      <w:proofErr w:type="spellStart"/>
      <w:r>
        <w:rPr>
          <w:rFonts w:ascii="Arial" w:hAnsi="Arial" w:cs="Arial"/>
          <w:sz w:val="20"/>
          <w:szCs w:val="20"/>
          <w:highlight w:val="white"/>
          <w:lang/>
        </w:rPr>
        <w:t>Metroplolitan</w:t>
      </w:r>
      <w:proofErr w:type="spellEnd"/>
      <w:r>
        <w:rPr>
          <w:rFonts w:ascii="Arial" w:hAnsi="Arial" w:cs="Arial"/>
          <w:sz w:val="20"/>
          <w:szCs w:val="20"/>
          <w:highlight w:val="white"/>
          <w:lang/>
        </w:rPr>
        <w:t xml:space="preserve"> was totally destroyed by the 2010 earthquake, and will not be reinstated.  </w:t>
      </w:r>
    </w:p>
    <w:p w:rsidR="00165178" w:rsidRDefault="00165178" w:rsidP="00165178">
      <w:pPr>
        <w:autoSpaceDE w:val="0"/>
        <w:autoSpaceDN w:val="0"/>
        <w:adjustRightInd w:val="0"/>
        <w:rPr>
          <w:rFonts w:ascii="Calibri" w:hAnsi="Calibri" w:cs="Calibri"/>
          <w:lang/>
        </w:rPr>
      </w:pPr>
      <w:r>
        <w:rPr>
          <w:rFonts w:ascii="Calibri" w:hAnsi="Calibri" w:cs="Calibri"/>
          <w:noProof/>
        </w:rPr>
        <w:lastRenderedPageBreak/>
        <w:drawing>
          <wp:inline distT="0" distB="0" distL="0" distR="0">
            <wp:extent cx="4733925" cy="35718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733925" cy="3571875"/>
                    </a:xfrm>
                    <a:prstGeom prst="rect">
                      <a:avLst/>
                    </a:prstGeom>
                    <a:noFill/>
                    <a:ln w="9525">
                      <a:noFill/>
                      <a:miter lim="800000"/>
                      <a:headEnd/>
                      <a:tailEnd/>
                    </a:ln>
                  </pic:spPr>
                </pic:pic>
              </a:graphicData>
            </a:graphic>
          </wp:inline>
        </w:drawing>
      </w:r>
    </w:p>
    <w:p w:rsidR="00165178" w:rsidRDefault="00165178" w:rsidP="00165178">
      <w:pPr>
        <w:keepNext/>
        <w:tabs>
          <w:tab w:val="left" w:pos="360"/>
        </w:tabs>
        <w:autoSpaceDE w:val="0"/>
        <w:autoSpaceDN w:val="0"/>
        <w:adjustRightInd w:val="0"/>
        <w:spacing w:before="240" w:after="60" w:line="240" w:lineRule="auto"/>
        <w:ind w:left="360" w:hanging="360"/>
        <w:rPr>
          <w:rFonts w:ascii="Times New Roman" w:hAnsi="Times New Roman" w:cs="Times New Roman"/>
          <w:color w:val="FFFFFF"/>
          <w:sz w:val="32"/>
          <w:szCs w:val="32"/>
          <w:highlight w:val="cyan"/>
          <w:lang/>
        </w:rPr>
      </w:pPr>
      <w:r w:rsidRPr="00165178">
        <w:rPr>
          <w:rFonts w:ascii="Arial" w:hAnsi="Arial" w:cs="Arial"/>
          <w:sz w:val="32"/>
          <w:szCs w:val="32"/>
          <w:highlight w:val="cyan"/>
          <w:lang/>
        </w:rPr>
        <w:t>3.    MAIN ISSUES AND RESPONSES FOR CCL</w:t>
      </w:r>
      <w:r>
        <w:rPr>
          <w:rFonts w:ascii="Arial" w:hAnsi="Arial" w:cs="Arial"/>
          <w:color w:val="FFFFFF"/>
          <w:sz w:val="32"/>
          <w:szCs w:val="32"/>
          <w:highlight w:val="cyan"/>
          <w:lang/>
        </w:rPr>
        <w:t xml:space="preserve"> </w:t>
      </w:r>
    </w:p>
    <w:p w:rsidR="00165178" w:rsidRDefault="00165178" w:rsidP="00165178">
      <w:pPr>
        <w:autoSpaceDE w:val="0"/>
        <w:autoSpaceDN w:val="0"/>
        <w:adjustRightInd w:val="0"/>
        <w:spacing w:before="120" w:after="120" w:line="240" w:lineRule="auto"/>
        <w:jc w:val="both"/>
        <w:rPr>
          <w:rFonts w:ascii="Arial" w:hAnsi="Arial" w:cs="Arial"/>
          <w:b/>
          <w:bCs/>
          <w:color w:val="009BFD"/>
          <w:sz w:val="28"/>
          <w:szCs w:val="28"/>
          <w:lang/>
        </w:rPr>
      </w:pPr>
      <w:r>
        <w:rPr>
          <w:rFonts w:ascii="Arial" w:hAnsi="Arial" w:cs="Arial"/>
          <w:b/>
          <w:bCs/>
          <w:color w:val="009BFD"/>
          <w:sz w:val="28"/>
          <w:szCs w:val="28"/>
          <w:lang/>
        </w:rPr>
        <w:t>A - Central Level Issues and Responses</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 xml:space="preserve">Issue # 1 – Insufficient cold storage capacity </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The vaccine storage space required to store traditional and new vaccines in 2012-2015, at the rate of four deliveries a year, is estimated at 60 m3. Presently, only 17 m3 of storage capacity is available. That storage space is sufficient to store traditional vaccines only. Thus a gap of 33 m3 in vaccine storage capacity needs to be bridged before 2012.</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Responses to Issue # 1 – Provision of additional Cold storage capacity</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Three (03) new walk-in cold rooms of respectively 40, 20, and 20 cubic meters of storage capacity are presently available at a UNICEF/PAP warehouse. As per the consensus reached between </w:t>
      </w:r>
      <w:proofErr w:type="spellStart"/>
      <w:r>
        <w:rPr>
          <w:rFonts w:ascii="Arial" w:hAnsi="Arial" w:cs="Arial"/>
          <w:sz w:val="20"/>
          <w:szCs w:val="20"/>
          <w:lang/>
        </w:rPr>
        <w:t>between</w:t>
      </w:r>
      <w:proofErr w:type="spellEnd"/>
      <w:r>
        <w:rPr>
          <w:rFonts w:ascii="Arial" w:hAnsi="Arial" w:cs="Arial"/>
          <w:sz w:val="20"/>
          <w:szCs w:val="20"/>
          <w:lang/>
        </w:rPr>
        <w:t xml:space="preserve"> </w:t>
      </w:r>
      <w:proofErr w:type="spellStart"/>
      <w:r>
        <w:rPr>
          <w:rFonts w:ascii="Arial" w:hAnsi="Arial" w:cs="Arial"/>
          <w:sz w:val="20"/>
          <w:szCs w:val="20"/>
          <w:lang/>
        </w:rPr>
        <w:t>MoH</w:t>
      </w:r>
      <w:proofErr w:type="spellEnd"/>
      <w:r>
        <w:rPr>
          <w:rFonts w:ascii="Arial" w:hAnsi="Arial" w:cs="Arial"/>
          <w:sz w:val="20"/>
          <w:szCs w:val="20"/>
          <w:lang/>
        </w:rPr>
        <w:t>, OPS, and UNICEF the three new units will be installed at PROMESS. The combined capacity of 80 m3 between the three new cold rooms will exceed by 50% the volume required to bridge the storage gap identified at the central level.</w:t>
      </w:r>
    </w:p>
    <w:p w:rsidR="00165178" w:rsidRDefault="00165178" w:rsidP="00165178">
      <w:pPr>
        <w:autoSpaceDE w:val="0"/>
        <w:autoSpaceDN w:val="0"/>
        <w:adjustRightInd w:val="0"/>
        <w:spacing w:after="0" w:line="240" w:lineRule="auto"/>
        <w:ind w:left="360"/>
        <w:rPr>
          <w:rFonts w:ascii="Arial" w:hAnsi="Arial" w:cs="Arial"/>
          <w:sz w:val="20"/>
          <w:szCs w:val="20"/>
          <w:lang/>
        </w:rPr>
      </w:pP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Two local companies have responded to UNICEF’s call for bids on the installations. Discussions are presently under way between the </w:t>
      </w:r>
      <w:proofErr w:type="spellStart"/>
      <w:r>
        <w:rPr>
          <w:rFonts w:ascii="Arial" w:hAnsi="Arial" w:cs="Arial"/>
          <w:sz w:val="20"/>
          <w:szCs w:val="20"/>
          <w:lang/>
        </w:rPr>
        <w:t>MoH</w:t>
      </w:r>
      <w:proofErr w:type="spellEnd"/>
      <w:r>
        <w:rPr>
          <w:rFonts w:ascii="Arial" w:hAnsi="Arial" w:cs="Arial"/>
          <w:sz w:val="20"/>
          <w:szCs w:val="20"/>
          <w:lang/>
        </w:rPr>
        <w:t xml:space="preserve">, OPS, and UNICEF over the construction of an extension to the building where the three additional cold rooms are to be installed. The completion of building extensions and the installation of cold rooms are scheduled for January 2012. Additional cold rooms will need more electrical energy and for that, UNICEF has planned to purchase additional three (03) electric generators for the Government’s management at the Central level but currently lacks funds for this purpose. At the same time, UNICEF planned to purchase seven (07) electric generators to support EPI at the intermediate level, however, there is currently a funding gap for these procurements as well. Total funding gaps in this area to 2023 are $ 211,400. </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 xml:space="preserve">Issue # 2 – Insufficient dry storage capacity </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highlight w:val="white"/>
          <w:lang/>
        </w:rPr>
      </w:pPr>
      <w:r>
        <w:rPr>
          <w:rFonts w:ascii="Arial" w:hAnsi="Arial" w:cs="Arial"/>
          <w:sz w:val="20"/>
          <w:szCs w:val="20"/>
          <w:lang/>
        </w:rPr>
        <w:lastRenderedPageBreak/>
        <w:t xml:space="preserve">By year 2017, the dry storage volume required to store injection material will be 253 m3. Presently, vaccines dispatched from PROMESS to the intermediate depots are not systematically bundled with injection materials. This situation occurs mainly because the storage and management of EPI injection material and dry goods in PAP is split between PROMESS and other </w:t>
      </w:r>
      <w:proofErr w:type="spellStart"/>
      <w:r>
        <w:rPr>
          <w:rFonts w:ascii="Arial" w:hAnsi="Arial" w:cs="Arial"/>
          <w:sz w:val="20"/>
          <w:szCs w:val="20"/>
          <w:lang/>
        </w:rPr>
        <w:t>MoH</w:t>
      </w:r>
      <w:proofErr w:type="spellEnd"/>
      <w:r>
        <w:rPr>
          <w:rFonts w:ascii="Arial" w:hAnsi="Arial" w:cs="Arial"/>
          <w:sz w:val="20"/>
          <w:szCs w:val="20"/>
          <w:lang/>
        </w:rPr>
        <w:t xml:space="preserve"> facilities.  </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Responses to Issue # 2 – Provision of additional dry storage capacity</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Discussions are ongoing between </w:t>
      </w:r>
      <w:proofErr w:type="spellStart"/>
      <w:r>
        <w:rPr>
          <w:rFonts w:ascii="Arial" w:hAnsi="Arial" w:cs="Arial"/>
          <w:sz w:val="20"/>
          <w:szCs w:val="20"/>
          <w:lang/>
        </w:rPr>
        <w:t>MoH</w:t>
      </w:r>
      <w:proofErr w:type="spellEnd"/>
      <w:r>
        <w:rPr>
          <w:rFonts w:ascii="Arial" w:hAnsi="Arial" w:cs="Arial"/>
          <w:sz w:val="20"/>
          <w:szCs w:val="20"/>
          <w:lang/>
        </w:rPr>
        <w:t xml:space="preserve">, OPS, and UNICEF to consolidate the storage of all EPI injection materials and dry goods at PROMESS. The provision of adequate dry storage space will be integrated in the planned expansion of buildings. Completion of building extension and provision of dry storage space are scheduled for March 2012. UNICEF will provide technical assistance to ensure building standards and is interested in supporting construction costs, if adequate funds are mobilized. </w:t>
      </w:r>
    </w:p>
    <w:p w:rsidR="00165178" w:rsidRDefault="00165178" w:rsidP="00165178">
      <w:pPr>
        <w:autoSpaceDE w:val="0"/>
        <w:autoSpaceDN w:val="0"/>
        <w:adjustRightInd w:val="0"/>
        <w:spacing w:after="0" w:line="240" w:lineRule="auto"/>
        <w:ind w:left="360"/>
        <w:rPr>
          <w:rFonts w:ascii="Arial" w:hAnsi="Arial" w:cs="Arial"/>
          <w:sz w:val="20"/>
          <w:szCs w:val="20"/>
          <w:lang/>
        </w:rPr>
      </w:pPr>
    </w:p>
    <w:p w:rsidR="00165178" w:rsidRDefault="00165178" w:rsidP="00165178">
      <w:pPr>
        <w:numPr>
          <w:ilvl w:val="0"/>
          <w:numId w:val="1"/>
        </w:numPr>
        <w:autoSpaceDE w:val="0"/>
        <w:autoSpaceDN w:val="0"/>
        <w:adjustRightInd w:val="0"/>
        <w:spacing w:after="0" w:line="240" w:lineRule="auto"/>
        <w:ind w:left="1080" w:hanging="360"/>
        <w:rPr>
          <w:rFonts w:ascii="Arial" w:hAnsi="Arial" w:cs="Arial"/>
          <w:b/>
          <w:bCs/>
          <w:i/>
          <w:iCs/>
          <w:sz w:val="20"/>
          <w:szCs w:val="20"/>
          <w:lang/>
        </w:rPr>
      </w:pPr>
      <w:r>
        <w:rPr>
          <w:rFonts w:ascii="Arial" w:hAnsi="Arial" w:cs="Arial"/>
          <w:b/>
          <w:bCs/>
          <w:i/>
          <w:iCs/>
          <w:sz w:val="20"/>
          <w:szCs w:val="20"/>
          <w:lang/>
        </w:rPr>
        <w:t>Issue # 3 – Waste management</w:t>
      </w:r>
    </w:p>
    <w:p w:rsidR="00165178" w:rsidRDefault="00165178" w:rsidP="00165178">
      <w:pPr>
        <w:autoSpaceDE w:val="0"/>
        <w:autoSpaceDN w:val="0"/>
        <w:adjustRightInd w:val="0"/>
        <w:spacing w:after="0" w:line="240" w:lineRule="auto"/>
        <w:ind w:left="360"/>
        <w:rPr>
          <w:rFonts w:ascii="Arial" w:hAnsi="Arial" w:cs="Arial"/>
          <w:b/>
          <w:bCs/>
          <w:i/>
          <w:iCs/>
          <w:sz w:val="20"/>
          <w:szCs w:val="20"/>
          <w:lang/>
        </w:rPr>
      </w:pP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highlight w:val="white"/>
          <w:lang/>
        </w:rPr>
      </w:pPr>
      <w:r>
        <w:rPr>
          <w:rFonts w:ascii="Arial" w:hAnsi="Arial" w:cs="Arial"/>
          <w:sz w:val="20"/>
          <w:szCs w:val="20"/>
          <w:highlight w:val="white"/>
          <w:lang/>
        </w:rPr>
        <w:t xml:space="preserve">It is estimated that ninety six (96) incinerators are needed by EPI to properly eliminate contaminated sharps produced from vaccination. To dispose of its biomedical waste, the EPI has 46 incinerators available, of which 37 are installed.  Nine (090) have been awaiting installation since 2006 by the SOGEBANK Foundation. Seventeen (17) electrical incinerators are </w:t>
      </w:r>
      <w:proofErr w:type="spellStart"/>
      <w:r>
        <w:rPr>
          <w:rFonts w:ascii="Arial" w:hAnsi="Arial" w:cs="Arial"/>
          <w:sz w:val="20"/>
          <w:szCs w:val="20"/>
          <w:highlight w:val="white"/>
          <w:lang/>
        </w:rPr>
        <w:t>malfunctionning</w:t>
      </w:r>
      <w:proofErr w:type="spellEnd"/>
      <w:r>
        <w:rPr>
          <w:rFonts w:ascii="Arial" w:hAnsi="Arial" w:cs="Arial"/>
          <w:sz w:val="20"/>
          <w:szCs w:val="20"/>
          <w:highlight w:val="white"/>
          <w:lang/>
        </w:rPr>
        <w:t xml:space="preserve"> and are </w:t>
      </w:r>
      <w:proofErr w:type="gramStart"/>
      <w:r>
        <w:rPr>
          <w:rFonts w:ascii="Arial" w:hAnsi="Arial" w:cs="Arial"/>
          <w:sz w:val="20"/>
          <w:szCs w:val="20"/>
          <w:highlight w:val="white"/>
          <w:lang/>
        </w:rPr>
        <w:t>awaiting</w:t>
      </w:r>
      <w:proofErr w:type="gramEnd"/>
      <w:r>
        <w:rPr>
          <w:rFonts w:ascii="Arial" w:hAnsi="Arial" w:cs="Arial"/>
          <w:sz w:val="20"/>
          <w:szCs w:val="20"/>
          <w:highlight w:val="white"/>
          <w:lang/>
        </w:rPr>
        <w:t xml:space="preserve"> to be fitted with the proper spare parts.  The equipment is not standardized </w:t>
      </w:r>
      <w:proofErr w:type="gramStart"/>
      <w:r>
        <w:rPr>
          <w:rFonts w:ascii="Arial" w:hAnsi="Arial" w:cs="Arial"/>
          <w:sz w:val="20"/>
          <w:szCs w:val="20"/>
          <w:highlight w:val="white"/>
          <w:lang/>
        </w:rPr>
        <w:t>and  is</w:t>
      </w:r>
      <w:proofErr w:type="gramEnd"/>
      <w:r>
        <w:rPr>
          <w:rFonts w:ascii="Arial" w:hAnsi="Arial" w:cs="Arial"/>
          <w:sz w:val="20"/>
          <w:szCs w:val="20"/>
          <w:highlight w:val="white"/>
          <w:lang/>
        </w:rPr>
        <w:t xml:space="preserve"> comprised of a mix of biomass and electrical/fuel models. Overall however, the utilization of available incinerators is poor for technical and managerial reasons.    </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highlight w:val="white"/>
          <w:lang/>
        </w:rPr>
        <w:t>R</w:t>
      </w:r>
      <w:r>
        <w:rPr>
          <w:rFonts w:ascii="Arial" w:hAnsi="Arial" w:cs="Arial"/>
          <w:b/>
          <w:bCs/>
          <w:i/>
          <w:iCs/>
          <w:sz w:val="20"/>
          <w:szCs w:val="20"/>
          <w:lang/>
        </w:rPr>
        <w:t>esponses to Issue # 3 – Strengthening of waste management system</w:t>
      </w:r>
    </w:p>
    <w:p w:rsidR="00165178" w:rsidRDefault="00165178" w:rsidP="00165178">
      <w:pPr>
        <w:autoSpaceDE w:val="0"/>
        <w:autoSpaceDN w:val="0"/>
        <w:adjustRightInd w:val="0"/>
        <w:spacing w:after="0" w:line="240" w:lineRule="auto"/>
        <w:ind w:left="360"/>
        <w:rPr>
          <w:rFonts w:ascii="Arial" w:hAnsi="Arial" w:cs="Arial"/>
          <w:sz w:val="20"/>
          <w:szCs w:val="20"/>
          <w:highlight w:val="white"/>
          <w:lang/>
        </w:rPr>
      </w:pPr>
      <w:r>
        <w:rPr>
          <w:rFonts w:ascii="Arial" w:hAnsi="Arial" w:cs="Arial"/>
          <w:sz w:val="20"/>
          <w:szCs w:val="20"/>
          <w:highlight w:val="white"/>
          <w:lang/>
        </w:rPr>
        <w:t xml:space="preserve">Waste management is one of the greatest concerns of UNICEF and the </w:t>
      </w:r>
      <w:proofErr w:type="spellStart"/>
      <w:r>
        <w:rPr>
          <w:rFonts w:ascii="Arial" w:hAnsi="Arial" w:cs="Arial"/>
          <w:sz w:val="20"/>
          <w:szCs w:val="20"/>
          <w:highlight w:val="white"/>
          <w:lang/>
        </w:rPr>
        <w:t>organisation</w:t>
      </w:r>
      <w:proofErr w:type="spellEnd"/>
      <w:r>
        <w:rPr>
          <w:rFonts w:ascii="Arial" w:hAnsi="Arial" w:cs="Arial"/>
          <w:sz w:val="20"/>
          <w:szCs w:val="20"/>
          <w:highlight w:val="white"/>
          <w:lang/>
        </w:rPr>
        <w:t xml:space="preserve"> is seeking funding to support the Government to:</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highlight w:val="white"/>
          <w:lang/>
        </w:rPr>
      </w:pPr>
      <w:r>
        <w:rPr>
          <w:rFonts w:ascii="Arial" w:hAnsi="Arial" w:cs="Arial"/>
          <w:sz w:val="20"/>
          <w:szCs w:val="20"/>
          <w:highlight w:val="white"/>
          <w:lang/>
        </w:rPr>
        <w:t>Pay for the cost of repairing the 17 electrical incinerators that are out of order;</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highlight w:val="white"/>
          <w:lang/>
        </w:rPr>
      </w:pPr>
      <w:r>
        <w:rPr>
          <w:rFonts w:ascii="Arial" w:hAnsi="Arial" w:cs="Arial"/>
          <w:sz w:val="20"/>
          <w:szCs w:val="20"/>
          <w:highlight w:val="white"/>
          <w:lang/>
        </w:rPr>
        <w:t>Purchase Eighty-five (85) new electrical incinerators in 2012;</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highlight w:val="white"/>
          <w:lang/>
        </w:rPr>
      </w:pPr>
      <w:r>
        <w:rPr>
          <w:rFonts w:ascii="Arial" w:hAnsi="Arial" w:cs="Arial"/>
          <w:sz w:val="20"/>
          <w:szCs w:val="20"/>
          <w:highlight w:val="white"/>
          <w:lang/>
        </w:rPr>
        <w:t xml:space="preserve">Purchase </w:t>
      </w:r>
      <w:proofErr w:type="spellStart"/>
      <w:r>
        <w:rPr>
          <w:rFonts w:ascii="Arial" w:hAnsi="Arial" w:cs="Arial"/>
          <w:sz w:val="20"/>
          <w:szCs w:val="20"/>
          <w:highlight w:val="white"/>
          <w:lang/>
        </w:rPr>
        <w:t>Fourty</w:t>
      </w:r>
      <w:proofErr w:type="spellEnd"/>
      <w:r>
        <w:rPr>
          <w:rFonts w:ascii="Arial" w:hAnsi="Arial" w:cs="Arial"/>
          <w:sz w:val="20"/>
          <w:szCs w:val="20"/>
          <w:highlight w:val="white"/>
          <w:lang/>
        </w:rPr>
        <w:t>-five (45) new electrical incinerators in 2013;</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highlight w:val="white"/>
          <w:lang/>
        </w:rPr>
      </w:pPr>
      <w:r>
        <w:rPr>
          <w:rFonts w:ascii="Arial" w:hAnsi="Arial" w:cs="Arial"/>
          <w:sz w:val="20"/>
          <w:szCs w:val="20"/>
          <w:highlight w:val="white"/>
          <w:lang/>
        </w:rPr>
        <w:t xml:space="preserve">Support the operating costs of the incinerators, and the system of collection/incineration of filled Safety Boxes from health facilities. </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 xml:space="preserve">Issue # 4 – Management of vaccines at the central level  </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PROMESS is a central medical store directly operated by PAHO.  The facility manages the national network for the distribution of essential drugs. Because the EPI </w:t>
      </w:r>
      <w:proofErr w:type="spellStart"/>
      <w:r>
        <w:rPr>
          <w:rFonts w:ascii="Arial" w:hAnsi="Arial" w:cs="Arial"/>
          <w:sz w:val="20"/>
          <w:szCs w:val="20"/>
          <w:lang/>
        </w:rPr>
        <w:t>Programme</w:t>
      </w:r>
      <w:proofErr w:type="spellEnd"/>
      <w:r>
        <w:rPr>
          <w:rFonts w:ascii="Arial" w:hAnsi="Arial" w:cs="Arial"/>
          <w:sz w:val="20"/>
          <w:szCs w:val="20"/>
          <w:lang/>
        </w:rPr>
        <w:t xml:space="preserve"> does not have its own central cold chain store, vaccines are kept at PROMESS. The vaccine storage equipment consists of walk-in cold rooms procured and installed by UNICEF. </w:t>
      </w:r>
    </w:p>
    <w:p w:rsidR="00165178" w:rsidRDefault="00165178" w:rsidP="00165178">
      <w:pPr>
        <w:autoSpaceDE w:val="0"/>
        <w:autoSpaceDN w:val="0"/>
        <w:adjustRightInd w:val="0"/>
        <w:spacing w:after="0" w:line="240" w:lineRule="auto"/>
        <w:rPr>
          <w:rFonts w:ascii="Arial" w:hAnsi="Arial" w:cs="Arial"/>
          <w:sz w:val="20"/>
          <w:szCs w:val="20"/>
          <w:lang/>
        </w:rPr>
      </w:pP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An annual fee representing ten percent of the value of antigens has been paid by UNICEF to PROMESS to support the safekeeping of EPI vaccines – however these costs are not sustainable and UNICEF continues to advocate with the Government and Development Partners to allocate funds for these costs. </w:t>
      </w:r>
    </w:p>
    <w:p w:rsidR="00165178" w:rsidRDefault="00165178" w:rsidP="00165178">
      <w:pPr>
        <w:autoSpaceDE w:val="0"/>
        <w:autoSpaceDN w:val="0"/>
        <w:adjustRightInd w:val="0"/>
        <w:spacing w:after="0" w:line="240" w:lineRule="auto"/>
        <w:rPr>
          <w:rFonts w:ascii="Arial" w:hAnsi="Arial" w:cs="Arial"/>
          <w:sz w:val="20"/>
          <w:szCs w:val="20"/>
          <w:lang/>
        </w:rPr>
      </w:pP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PAHO and UNICEF continue to work to enhance the capacity of the Government to progressively manage the national medical stores independently. However, the EPI personnel responsible for vaccine management at the central level are absent from PROMESS. The national manager of the central vaccine store works at the </w:t>
      </w:r>
      <w:proofErr w:type="spellStart"/>
      <w:r>
        <w:rPr>
          <w:rFonts w:ascii="Arial" w:hAnsi="Arial" w:cs="Arial"/>
          <w:sz w:val="20"/>
          <w:szCs w:val="20"/>
          <w:lang/>
        </w:rPr>
        <w:t>MoH</w:t>
      </w:r>
      <w:proofErr w:type="spellEnd"/>
      <w:r>
        <w:rPr>
          <w:rFonts w:ascii="Arial" w:hAnsi="Arial" w:cs="Arial"/>
          <w:sz w:val="20"/>
          <w:szCs w:val="20"/>
          <w:lang/>
        </w:rPr>
        <w:t xml:space="preserve">, where no vaccines are stored. </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Responses to Issue # 4 – Strengthening management of the central vaccine store</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 </w:t>
      </w:r>
      <w:proofErr w:type="spellStart"/>
      <w:r>
        <w:rPr>
          <w:rFonts w:ascii="Arial" w:hAnsi="Arial" w:cs="Arial"/>
          <w:sz w:val="20"/>
          <w:szCs w:val="20"/>
          <w:lang/>
        </w:rPr>
        <w:t>MoH</w:t>
      </w:r>
      <w:proofErr w:type="spellEnd"/>
      <w:r>
        <w:rPr>
          <w:rFonts w:ascii="Arial" w:hAnsi="Arial" w:cs="Arial"/>
          <w:sz w:val="20"/>
          <w:szCs w:val="20"/>
          <w:lang/>
        </w:rPr>
        <w:t xml:space="preserve"> and UNICEF are reviewing TORs for a vaccine manager at the central level. This staff is responsible for vaccine management at central level – and will work at PROMESS.  </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A new National CCL Manager (that works on vaccines; logistics and the cold chain teams throughout the country) with the desired profile has recently been appointed by the </w:t>
      </w:r>
      <w:proofErr w:type="spellStart"/>
      <w:r>
        <w:rPr>
          <w:rFonts w:ascii="Arial" w:hAnsi="Arial" w:cs="Arial"/>
          <w:sz w:val="20"/>
          <w:szCs w:val="20"/>
          <w:lang/>
        </w:rPr>
        <w:t>MoH</w:t>
      </w:r>
      <w:proofErr w:type="spellEnd"/>
      <w:r>
        <w:rPr>
          <w:rFonts w:ascii="Arial" w:hAnsi="Arial" w:cs="Arial"/>
          <w:sz w:val="20"/>
          <w:szCs w:val="20"/>
          <w:lang/>
        </w:rPr>
        <w:t>, as a result of UNICEF advocacy;</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lastRenderedPageBreak/>
        <w:t xml:space="preserve">To better support the Government with technical assistance, UNICEF has also created and will fund a new National Officer post for CCL Logistics. The preferred candidate should begin working before the end of 2011; </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Mid-Level Management training (a training course for national and sub national EPI staff) is planned in 2011/2012, with costs and technical assistance supported by UNICEF.</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Issue # 5 –  Transport and distribution of EPI vaccines and commodities</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Cold Chain Technicians stationed at EPI Directorate in PAP routinely make rotations to carry out the actual distribution of vaccines and injection materials to the 30 stores at the intermediate level. UNICEF usually supports the local costs of these scheduled distribution activities. Recently however, ad-hoc shipments of vaccines have become common due the frequent failure of the cold chain at intermediate vaccine warehouses. Shortages due to poor planning and/or crisis situations explain why small quantities of vaccines have to be constantly fed to the depots on an ad-hoc basis.</w:t>
      </w:r>
    </w:p>
    <w:p w:rsidR="00165178" w:rsidRDefault="00165178" w:rsidP="00165178">
      <w:pPr>
        <w:autoSpaceDE w:val="0"/>
        <w:autoSpaceDN w:val="0"/>
        <w:adjustRightInd w:val="0"/>
        <w:spacing w:after="0" w:line="240" w:lineRule="auto"/>
        <w:ind w:left="360"/>
        <w:rPr>
          <w:rFonts w:ascii="Arial" w:hAnsi="Arial" w:cs="Arial"/>
          <w:sz w:val="20"/>
          <w:szCs w:val="20"/>
          <w:lang/>
        </w:rPr>
      </w:pPr>
      <w:r>
        <w:rPr>
          <w:rFonts w:ascii="Arial" w:hAnsi="Arial" w:cs="Arial"/>
          <w:sz w:val="20"/>
          <w:szCs w:val="20"/>
          <w:lang/>
        </w:rPr>
        <w:t xml:space="preserve"> </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For many years, UNICEF has been supporting the Government by purchasing LP gas, but due to poor management of available LP gas, failures of distribution often occur at health facilities. This creates a situation of chronic cold chain disruption. In an environment where temperatures are not satisfactorily monitored, this situation makes the largest portion of the national cold chain very vulnerable to spoilage. </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Responses to Issue # 5 – Managed transport and distribution system for CCL</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highlight w:val="white"/>
          <w:lang/>
        </w:rPr>
        <w:t xml:space="preserve">Using the fairly accurate data bases available on vaccine quotas by locality, and on the GPS </w:t>
      </w:r>
      <w:proofErr w:type="spellStart"/>
      <w:r>
        <w:rPr>
          <w:rFonts w:ascii="Arial" w:hAnsi="Arial" w:cs="Arial"/>
          <w:sz w:val="20"/>
          <w:szCs w:val="20"/>
          <w:highlight w:val="white"/>
          <w:lang/>
        </w:rPr>
        <w:t>positionning</w:t>
      </w:r>
      <w:proofErr w:type="spellEnd"/>
      <w:r>
        <w:rPr>
          <w:rFonts w:ascii="Arial" w:hAnsi="Arial" w:cs="Arial"/>
          <w:sz w:val="20"/>
          <w:szCs w:val="20"/>
          <w:highlight w:val="white"/>
          <w:lang/>
        </w:rPr>
        <w:t xml:space="preserve"> of health facilities, an initiative is </w:t>
      </w:r>
      <w:proofErr w:type="gramStart"/>
      <w:r>
        <w:rPr>
          <w:rFonts w:ascii="Arial" w:hAnsi="Arial" w:cs="Arial"/>
          <w:sz w:val="20"/>
          <w:szCs w:val="20"/>
          <w:highlight w:val="white"/>
          <w:lang/>
        </w:rPr>
        <w:t>underway  to</w:t>
      </w:r>
      <w:proofErr w:type="gramEnd"/>
      <w:r>
        <w:rPr>
          <w:rFonts w:ascii="Arial" w:hAnsi="Arial" w:cs="Arial"/>
          <w:sz w:val="20"/>
          <w:szCs w:val="20"/>
          <w:highlight w:val="white"/>
          <w:lang/>
        </w:rPr>
        <w:t xml:space="preserve"> select </w:t>
      </w:r>
      <w:r>
        <w:rPr>
          <w:rFonts w:ascii="Arial" w:hAnsi="Arial" w:cs="Arial"/>
          <w:sz w:val="20"/>
          <w:szCs w:val="20"/>
          <w:lang/>
        </w:rPr>
        <w:t xml:space="preserve">optimal delivery schedules, cargo configurations, and best routing schemes for the new vaccine supply chain of EPI Haiti. UNICEF is providing technical assistance to the Government for this initiative and is seeking funds to continue the effort. </w:t>
      </w:r>
    </w:p>
    <w:p w:rsidR="00165178" w:rsidRDefault="00165178" w:rsidP="00165178">
      <w:pPr>
        <w:autoSpaceDE w:val="0"/>
        <w:autoSpaceDN w:val="0"/>
        <w:adjustRightInd w:val="0"/>
        <w:ind w:left="360"/>
        <w:rPr>
          <w:rFonts w:ascii="Arial" w:hAnsi="Arial" w:cs="Arial"/>
          <w:sz w:val="20"/>
          <w:szCs w:val="20"/>
          <w:lang/>
        </w:rPr>
      </w:pPr>
    </w:p>
    <w:p w:rsidR="00165178" w:rsidRDefault="00165178" w:rsidP="00165178">
      <w:pPr>
        <w:numPr>
          <w:ilvl w:val="0"/>
          <w:numId w:val="1"/>
        </w:numPr>
        <w:autoSpaceDE w:val="0"/>
        <w:autoSpaceDN w:val="0"/>
        <w:adjustRightInd w:val="0"/>
        <w:ind w:left="360" w:hanging="360"/>
        <w:rPr>
          <w:rFonts w:ascii="Arial" w:hAnsi="Arial" w:cs="Arial"/>
          <w:sz w:val="20"/>
          <w:szCs w:val="20"/>
          <w:lang/>
        </w:rPr>
      </w:pPr>
      <w:r>
        <w:rPr>
          <w:rFonts w:ascii="Arial" w:hAnsi="Arial" w:cs="Arial"/>
          <w:sz w:val="20"/>
          <w:szCs w:val="20"/>
          <w:lang/>
        </w:rPr>
        <w:t xml:space="preserve">The Government of Brazil’s mission through the Tripartite Cooperation (Haiti/Brazil/Cuba) has recently committed itself to made available three mid-size 4X4 trucks to the EPI </w:t>
      </w:r>
      <w:proofErr w:type="spellStart"/>
      <w:r>
        <w:rPr>
          <w:rFonts w:ascii="Arial" w:hAnsi="Arial" w:cs="Arial"/>
          <w:sz w:val="20"/>
          <w:szCs w:val="20"/>
          <w:lang/>
        </w:rPr>
        <w:t>Programme</w:t>
      </w:r>
      <w:proofErr w:type="spellEnd"/>
      <w:r>
        <w:rPr>
          <w:rFonts w:ascii="Arial" w:hAnsi="Arial" w:cs="Arial"/>
          <w:sz w:val="20"/>
          <w:szCs w:val="20"/>
          <w:lang/>
        </w:rPr>
        <w:t xml:space="preserve">. The acquisition of this fleet will allow the consolidated delivery of vaccines, injection material, LP Gas, and other EPI commodities. Presently, each commodity is transported separately from the same locations to the same destinations. Budgets for the running costs of these trucks are developed from the planning of optimal cargo sizes, deliveries schedules, and route mapping.  </w:t>
      </w:r>
    </w:p>
    <w:p w:rsidR="00165178" w:rsidRDefault="00165178" w:rsidP="00165178">
      <w:pPr>
        <w:autoSpaceDE w:val="0"/>
        <w:autoSpaceDN w:val="0"/>
        <w:adjustRightInd w:val="0"/>
        <w:ind w:left="360"/>
        <w:rPr>
          <w:rFonts w:ascii="Arial" w:hAnsi="Arial" w:cs="Arial"/>
          <w:sz w:val="20"/>
          <w:szCs w:val="20"/>
          <w:lang/>
        </w:rPr>
      </w:pPr>
      <w:r>
        <w:rPr>
          <w:rFonts w:ascii="Arial" w:hAnsi="Arial" w:cs="Arial"/>
          <w:sz w:val="20"/>
          <w:szCs w:val="20"/>
          <w:lang/>
        </w:rPr>
        <w:t xml:space="preserve"> </w:t>
      </w:r>
    </w:p>
    <w:p w:rsidR="00165178" w:rsidRDefault="00165178" w:rsidP="00165178">
      <w:pPr>
        <w:numPr>
          <w:ilvl w:val="0"/>
          <w:numId w:val="1"/>
        </w:numPr>
        <w:autoSpaceDE w:val="0"/>
        <w:autoSpaceDN w:val="0"/>
        <w:adjustRightInd w:val="0"/>
        <w:ind w:left="360" w:hanging="360"/>
        <w:rPr>
          <w:rFonts w:ascii="Arial" w:hAnsi="Arial" w:cs="Arial"/>
          <w:sz w:val="20"/>
          <w:szCs w:val="20"/>
          <w:lang/>
        </w:rPr>
      </w:pPr>
      <w:r>
        <w:rPr>
          <w:rFonts w:ascii="Arial" w:hAnsi="Arial" w:cs="Arial"/>
          <w:sz w:val="20"/>
          <w:szCs w:val="20"/>
          <w:lang/>
        </w:rPr>
        <w:t xml:space="preserve">The Brazilian mission has also expressed firm intentions to fund the budget of LP Gas. Negotiations are on-going between the mission and </w:t>
      </w:r>
      <w:proofErr w:type="spellStart"/>
      <w:r>
        <w:rPr>
          <w:rFonts w:ascii="Arial" w:hAnsi="Arial" w:cs="Arial"/>
          <w:sz w:val="20"/>
          <w:szCs w:val="20"/>
          <w:lang/>
        </w:rPr>
        <w:t>MoH</w:t>
      </w:r>
      <w:proofErr w:type="spellEnd"/>
      <w:r>
        <w:rPr>
          <w:rFonts w:ascii="Arial" w:hAnsi="Arial" w:cs="Arial"/>
          <w:sz w:val="20"/>
          <w:szCs w:val="20"/>
          <w:lang/>
        </w:rPr>
        <w:t xml:space="preserve">, both in Haiti and in international forums. </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Issue # 6: Capacity building and Technical assistance:</w:t>
      </w:r>
    </w:p>
    <w:p w:rsidR="00165178" w:rsidRDefault="00165178" w:rsidP="00165178">
      <w:pPr>
        <w:autoSpaceDE w:val="0"/>
        <w:autoSpaceDN w:val="0"/>
        <w:adjustRightInd w:val="0"/>
        <w:spacing w:before="120" w:after="120" w:line="240" w:lineRule="auto"/>
        <w:jc w:val="both"/>
        <w:rPr>
          <w:rFonts w:ascii="Arial" w:hAnsi="Arial" w:cs="Arial"/>
          <w:sz w:val="20"/>
          <w:szCs w:val="20"/>
          <w:lang/>
        </w:rPr>
      </w:pPr>
      <w:r>
        <w:rPr>
          <w:rFonts w:ascii="Arial" w:hAnsi="Arial" w:cs="Arial"/>
          <w:sz w:val="20"/>
          <w:szCs w:val="20"/>
          <w:lang/>
        </w:rPr>
        <w:t xml:space="preserve">Considering the development of new kinds of cold chain equipment (such as the Solar Chills and Fridge Tags) at all levels’ the introduction of new vaccines and the general need to improve knowledge, skills and capacities to manage vaccines and consumables – systematic training and mentoring is required at all levels. With our global and national experience in cold chain management, UNICEF has an important role to play in terms of supporting the Government at both central and decentralized levels to develop and implement a variety of training </w:t>
      </w:r>
      <w:proofErr w:type="spellStart"/>
      <w:r>
        <w:rPr>
          <w:rFonts w:ascii="Arial" w:hAnsi="Arial" w:cs="Arial"/>
          <w:sz w:val="20"/>
          <w:szCs w:val="20"/>
          <w:lang/>
        </w:rPr>
        <w:t>programmes</w:t>
      </w:r>
      <w:proofErr w:type="spellEnd"/>
      <w:r>
        <w:rPr>
          <w:rFonts w:ascii="Arial" w:hAnsi="Arial" w:cs="Arial"/>
          <w:sz w:val="20"/>
          <w:szCs w:val="20"/>
          <w:lang/>
        </w:rPr>
        <w:t xml:space="preserve">. </w:t>
      </w:r>
    </w:p>
    <w:p w:rsidR="00165178" w:rsidRDefault="00165178" w:rsidP="00165178">
      <w:pPr>
        <w:autoSpaceDE w:val="0"/>
        <w:autoSpaceDN w:val="0"/>
        <w:adjustRightInd w:val="0"/>
        <w:spacing w:before="120" w:after="120" w:line="240" w:lineRule="auto"/>
        <w:jc w:val="both"/>
        <w:rPr>
          <w:rFonts w:ascii="Arial" w:hAnsi="Arial" w:cs="Arial"/>
          <w:sz w:val="20"/>
          <w:szCs w:val="20"/>
          <w:lang/>
        </w:rPr>
      </w:pPr>
    </w:p>
    <w:p w:rsidR="00165178" w:rsidRDefault="00165178" w:rsidP="00165178">
      <w:pPr>
        <w:autoSpaceDE w:val="0"/>
        <w:autoSpaceDN w:val="0"/>
        <w:adjustRightInd w:val="0"/>
        <w:spacing w:before="120" w:after="120" w:line="240" w:lineRule="auto"/>
        <w:jc w:val="both"/>
        <w:rPr>
          <w:rFonts w:ascii="Arial" w:hAnsi="Arial" w:cs="Arial"/>
          <w:b/>
          <w:bCs/>
          <w:color w:val="009BFD"/>
          <w:sz w:val="28"/>
          <w:szCs w:val="28"/>
          <w:lang/>
        </w:rPr>
      </w:pPr>
      <w:r>
        <w:rPr>
          <w:rFonts w:ascii="Arial" w:hAnsi="Arial" w:cs="Arial"/>
          <w:b/>
          <w:bCs/>
          <w:color w:val="009BFD"/>
          <w:sz w:val="28"/>
          <w:szCs w:val="28"/>
          <w:lang/>
        </w:rPr>
        <w:t>B - Intermediate Level Issues and Responses</w:t>
      </w:r>
    </w:p>
    <w:p w:rsidR="00165178" w:rsidRDefault="00165178" w:rsidP="00165178">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To take a quick pulse of Haiti’s CCL, a comprehensive review of the central and intermediate cold chain was conducted in April 2011.  At the intermediate level, the poor status of the cold chain equipment, the inadequate layout of many depots, and the inefficient management of these structures are observations </w:t>
      </w:r>
      <w:r>
        <w:rPr>
          <w:rFonts w:ascii="Arial" w:hAnsi="Arial" w:cs="Arial"/>
          <w:sz w:val="20"/>
          <w:szCs w:val="20"/>
          <w:lang/>
        </w:rPr>
        <w:lastRenderedPageBreak/>
        <w:t xml:space="preserve">documented in several evaluation reports on Haiti’s CCL. By all accounts, the intermediate level is clearly identified as the weakest link of EPI Haiti’s CCL system. Stores are in great need of short term rehabilitation of their cold chain equipment, and infrastructure in general. </w:t>
      </w:r>
    </w:p>
    <w:p w:rsidR="00165178" w:rsidRDefault="00165178" w:rsidP="00165178">
      <w:pPr>
        <w:autoSpaceDE w:val="0"/>
        <w:autoSpaceDN w:val="0"/>
        <w:adjustRightInd w:val="0"/>
        <w:spacing w:after="0" w:line="240" w:lineRule="auto"/>
        <w:ind w:left="720"/>
        <w:rPr>
          <w:rFonts w:ascii="Arial" w:hAnsi="Arial" w:cs="Arial"/>
          <w:sz w:val="20"/>
          <w:szCs w:val="20"/>
          <w:lang/>
        </w:rPr>
      </w:pPr>
      <w:r>
        <w:rPr>
          <w:rFonts w:ascii="Arial" w:hAnsi="Arial" w:cs="Arial"/>
          <w:sz w:val="20"/>
          <w:szCs w:val="20"/>
          <w:lang/>
        </w:rPr>
        <w:t xml:space="preserve"> </w:t>
      </w:r>
    </w:p>
    <w:p w:rsidR="00165178" w:rsidRDefault="00165178" w:rsidP="00165178">
      <w:pPr>
        <w:autoSpaceDE w:val="0"/>
        <w:autoSpaceDN w:val="0"/>
        <w:adjustRightInd w:val="0"/>
        <w:spacing w:after="0" w:line="240" w:lineRule="auto"/>
        <w:jc w:val="center"/>
        <w:rPr>
          <w:rFonts w:ascii="Arial" w:hAnsi="Arial" w:cs="Arial"/>
          <w:b/>
          <w:bCs/>
          <w:i/>
          <w:iCs/>
          <w:sz w:val="16"/>
          <w:szCs w:val="16"/>
          <w:lang/>
        </w:rPr>
      </w:pPr>
      <w:r>
        <w:rPr>
          <w:rFonts w:ascii="Calibri" w:hAnsi="Calibri" w:cs="Calibri"/>
          <w:noProof/>
        </w:rPr>
        <w:drawing>
          <wp:inline distT="0" distB="0" distL="0" distR="0">
            <wp:extent cx="2562225" cy="20288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562225" cy="2028825"/>
                    </a:xfrm>
                    <a:prstGeom prst="rect">
                      <a:avLst/>
                    </a:prstGeom>
                    <a:noFill/>
                    <a:ln w="9525">
                      <a:noFill/>
                      <a:miter lim="800000"/>
                      <a:headEnd/>
                      <a:tailEnd/>
                    </a:ln>
                  </pic:spPr>
                </pic:pic>
              </a:graphicData>
            </a:graphic>
          </wp:inline>
        </w:drawing>
      </w:r>
      <w:r>
        <w:rPr>
          <w:rFonts w:ascii="Calibri" w:hAnsi="Calibri" w:cs="Calibri"/>
          <w:noProof/>
        </w:rPr>
        <w:drawing>
          <wp:inline distT="0" distB="0" distL="0" distR="0">
            <wp:extent cx="2733675" cy="20288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733675" cy="2028825"/>
                    </a:xfrm>
                    <a:prstGeom prst="rect">
                      <a:avLst/>
                    </a:prstGeom>
                    <a:noFill/>
                    <a:ln w="9525">
                      <a:noFill/>
                      <a:miter lim="800000"/>
                      <a:headEnd/>
                      <a:tailEnd/>
                    </a:ln>
                  </pic:spPr>
                </pic:pic>
              </a:graphicData>
            </a:graphic>
          </wp:inline>
        </w:drawing>
      </w:r>
      <w:r>
        <w:rPr>
          <w:rFonts w:ascii="Arial" w:hAnsi="Arial" w:cs="Arial"/>
          <w:b/>
          <w:bCs/>
          <w:i/>
          <w:iCs/>
          <w:sz w:val="16"/>
          <w:szCs w:val="16"/>
          <w:lang/>
        </w:rPr>
        <w:t>Summary of indicators of four Sub Stores 2006</w:t>
      </w:r>
      <w:r>
        <w:rPr>
          <w:rFonts w:ascii="Arial" w:hAnsi="Arial" w:cs="Arial"/>
          <w:b/>
          <w:bCs/>
          <w:i/>
          <w:iCs/>
          <w:sz w:val="16"/>
          <w:szCs w:val="16"/>
          <w:lang/>
        </w:rPr>
        <w:tab/>
        <w:t xml:space="preserve">        Summary of indicators of same four Sub Stores 2011</w:t>
      </w:r>
    </w:p>
    <w:p w:rsidR="00165178" w:rsidRDefault="00165178" w:rsidP="00165178">
      <w:pPr>
        <w:autoSpaceDE w:val="0"/>
        <w:autoSpaceDN w:val="0"/>
        <w:adjustRightInd w:val="0"/>
        <w:spacing w:after="0" w:line="240" w:lineRule="auto"/>
        <w:jc w:val="center"/>
        <w:rPr>
          <w:rFonts w:ascii="Arial" w:hAnsi="Arial" w:cs="Arial"/>
          <w:i/>
          <w:iCs/>
          <w:color w:val="009BFD"/>
          <w:sz w:val="18"/>
          <w:szCs w:val="18"/>
          <w:lang/>
        </w:rPr>
      </w:pPr>
    </w:p>
    <w:p w:rsidR="00165178" w:rsidRDefault="00165178" w:rsidP="00165178">
      <w:pPr>
        <w:autoSpaceDE w:val="0"/>
        <w:autoSpaceDN w:val="0"/>
        <w:adjustRightInd w:val="0"/>
        <w:spacing w:after="0" w:line="240" w:lineRule="auto"/>
        <w:jc w:val="center"/>
        <w:rPr>
          <w:rFonts w:ascii="Arial" w:hAnsi="Arial" w:cs="Arial"/>
          <w:b/>
          <w:bCs/>
          <w:color w:val="009BFD"/>
          <w:lang/>
        </w:rPr>
      </w:pPr>
      <w:r>
        <w:rPr>
          <w:rFonts w:ascii="Arial" w:hAnsi="Arial" w:cs="Arial"/>
          <w:i/>
          <w:iCs/>
          <w:color w:val="009BFD"/>
          <w:sz w:val="18"/>
          <w:szCs w:val="18"/>
          <w:lang/>
        </w:rPr>
        <w:t>These charts provide a summary of the cold chain assessments. On the outer rim of the web we can see the critical elements of cold chain management. A score between 0 (representing poor performance) and 5 (indicating sufficient performance) has been assigned to each element. These charts indicate that progress has been made in the handling of vaccine but the cold chain inadequacy is stagnant, and its reliability has regressed.</w:t>
      </w:r>
    </w:p>
    <w:p w:rsidR="00165178" w:rsidRDefault="00165178" w:rsidP="00165178">
      <w:pPr>
        <w:autoSpaceDE w:val="0"/>
        <w:autoSpaceDN w:val="0"/>
        <w:adjustRightInd w:val="0"/>
        <w:spacing w:after="0" w:line="240" w:lineRule="auto"/>
        <w:rPr>
          <w:rFonts w:ascii="Arial" w:hAnsi="Arial" w:cs="Arial"/>
          <w:sz w:val="20"/>
          <w:szCs w:val="20"/>
          <w:lang/>
        </w:rPr>
      </w:pP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 xml:space="preserve">Issue # 1 – Insufficient cold storage capacity </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The vaccine storage space required to store traditional and new vaccines in 2012-2015, at the rate of four deliveries a year, is estimated at 15 m3. Presently, the combined vaccine storage capacity of the 30 intermediate stores is around 5 m3, made of small </w:t>
      </w:r>
      <w:proofErr w:type="spellStart"/>
      <w:r>
        <w:rPr>
          <w:rFonts w:ascii="Arial" w:hAnsi="Arial" w:cs="Arial"/>
          <w:sz w:val="20"/>
          <w:szCs w:val="20"/>
          <w:lang/>
        </w:rPr>
        <w:t>Sibir</w:t>
      </w:r>
      <w:proofErr w:type="spellEnd"/>
      <w:r>
        <w:rPr>
          <w:rFonts w:ascii="Arial" w:hAnsi="Arial" w:cs="Arial"/>
          <w:sz w:val="20"/>
          <w:szCs w:val="20"/>
          <w:lang/>
        </w:rPr>
        <w:t xml:space="preserve"> fridges which need to be replaced. Thus a gap instead of 10 m3, will be of 15 m3 in vaccine storage capacity needs to be bridged before 2012.</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Responses to Issue # 1 – Provision of additional cold storage capacity</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 Individual gaps in storage capacity have been determined for each of the 30 depots. Calculations are based on quarterly deliveries of all vaccines, and on 200 cm3 of storage capacity per fully immunized child. The combined cold chain capacity needs can be satisfied with the provision of approximately 150 refrigerators of 100 liter capacity each. </w:t>
      </w:r>
    </w:p>
    <w:p w:rsidR="00165178" w:rsidRDefault="00165178" w:rsidP="00165178">
      <w:pPr>
        <w:autoSpaceDE w:val="0"/>
        <w:autoSpaceDN w:val="0"/>
        <w:adjustRightInd w:val="0"/>
        <w:spacing w:after="0" w:line="240" w:lineRule="auto"/>
        <w:ind w:left="360"/>
        <w:rPr>
          <w:rFonts w:ascii="Arial" w:hAnsi="Arial" w:cs="Arial"/>
          <w:sz w:val="20"/>
          <w:szCs w:val="20"/>
          <w:lang/>
        </w:rPr>
      </w:pP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Given the chronic shortage of electricity at the sub national level in Haiti, the recommended refrigerator model is the battery-less solar refrigerator called the “Sure Chill”.  This model has just been approved for utilization in EPI </w:t>
      </w:r>
      <w:proofErr w:type="spellStart"/>
      <w:r>
        <w:rPr>
          <w:rFonts w:ascii="Arial" w:hAnsi="Arial" w:cs="Arial"/>
          <w:sz w:val="20"/>
          <w:szCs w:val="20"/>
          <w:lang/>
        </w:rPr>
        <w:t>Programmes</w:t>
      </w:r>
      <w:proofErr w:type="spellEnd"/>
      <w:r>
        <w:rPr>
          <w:rFonts w:ascii="Arial" w:hAnsi="Arial" w:cs="Arial"/>
          <w:sz w:val="20"/>
          <w:szCs w:val="20"/>
          <w:lang/>
        </w:rPr>
        <w:t xml:space="preserve"> by </w:t>
      </w:r>
      <w:proofErr w:type="gramStart"/>
      <w:r>
        <w:rPr>
          <w:rFonts w:ascii="Arial" w:hAnsi="Arial" w:cs="Arial"/>
          <w:sz w:val="20"/>
          <w:szCs w:val="20"/>
          <w:lang/>
        </w:rPr>
        <w:t>WHO</w:t>
      </w:r>
      <w:proofErr w:type="gramEnd"/>
      <w:r>
        <w:rPr>
          <w:rFonts w:ascii="Arial" w:hAnsi="Arial" w:cs="Arial"/>
          <w:sz w:val="20"/>
          <w:szCs w:val="20"/>
          <w:lang/>
        </w:rPr>
        <w:t>. The unit cost of the sure chill is around $3.500. The Brazilian mission has expressed strong commitment in financing the procurement of 150 units by March 2012, which would satisfy current needs.</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 xml:space="preserve">Issue # 2 – Dry storage capacity </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highlight w:val="white"/>
          <w:lang/>
        </w:rPr>
      </w:pPr>
      <w:r>
        <w:rPr>
          <w:rFonts w:ascii="Arial" w:hAnsi="Arial" w:cs="Arial"/>
          <w:sz w:val="20"/>
          <w:szCs w:val="20"/>
          <w:lang/>
        </w:rPr>
        <w:t xml:space="preserve">By year 2017, the combined dry storage volume required to store injection materials will be around 63 m3. In the present situation, health facilities do not always find injection materials at the depots where they collect their vaccines. Because of space constraints at many intermediate vaccine depots, injection materials and other commodities such as LP Gas, etc. are stored at various locations in the same city where vaccines are kept. Consolidating vaccines and related dry goods in the same compound will offer obvious managerial benefits.  </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Responses to Issue # 2 – Provision of dry storage capacity</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At each intermediate depot, sufficient floor space needs to be provided for the uncluttered layout of refrigerators, and for the storage of bulky commodities such as diluents, syringes, needles, safety boxes, passive cold chain equipment, and gas cylinders. </w:t>
      </w:r>
    </w:p>
    <w:p w:rsidR="00165178" w:rsidRDefault="00165178" w:rsidP="00165178">
      <w:pPr>
        <w:autoSpaceDE w:val="0"/>
        <w:autoSpaceDN w:val="0"/>
        <w:adjustRightInd w:val="0"/>
        <w:spacing w:after="0" w:line="240" w:lineRule="auto"/>
        <w:ind w:left="360"/>
        <w:rPr>
          <w:rFonts w:ascii="Arial" w:hAnsi="Arial" w:cs="Arial"/>
          <w:sz w:val="20"/>
          <w:szCs w:val="20"/>
          <w:lang/>
        </w:rPr>
      </w:pP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The requirements for dry storage capacity have been estimated for the year 2017 on the basis of 1.5 m2 of floor space for 1 refrigerator. The same amount of floor space is allocated for the storage of all dry goods. The table below shows calculations for each individual store. The estimated average cost of refurbishing each store is $30,000.  The Brazilian mission has expressed strong commitment in financing the $900,000 budget, which represents 100 percent of the overall estimated costs.  </w:t>
      </w:r>
    </w:p>
    <w:p w:rsidR="00165178" w:rsidRDefault="00165178" w:rsidP="00165178">
      <w:pPr>
        <w:autoSpaceDE w:val="0"/>
        <w:autoSpaceDN w:val="0"/>
        <w:adjustRightInd w:val="0"/>
        <w:spacing w:after="0" w:line="240" w:lineRule="auto"/>
        <w:ind w:left="720"/>
        <w:rPr>
          <w:rFonts w:ascii="Arial" w:hAnsi="Arial" w:cs="Arial"/>
          <w:sz w:val="20"/>
          <w:szCs w:val="20"/>
          <w:lang/>
        </w:rPr>
      </w:pPr>
    </w:p>
    <w:p w:rsidR="00165178" w:rsidRDefault="00165178" w:rsidP="00165178">
      <w:pPr>
        <w:autoSpaceDE w:val="0"/>
        <w:autoSpaceDN w:val="0"/>
        <w:adjustRightInd w:val="0"/>
        <w:spacing w:after="0" w:line="240" w:lineRule="auto"/>
        <w:rPr>
          <w:rFonts w:ascii="Arial" w:hAnsi="Arial" w:cs="Arial"/>
          <w:b/>
          <w:bCs/>
          <w:i/>
          <w:iCs/>
          <w:sz w:val="20"/>
          <w:szCs w:val="20"/>
          <w:lang/>
        </w:rPr>
      </w:pPr>
      <w:r>
        <w:rPr>
          <w:rFonts w:ascii="Arial" w:hAnsi="Arial" w:cs="Arial"/>
          <w:b/>
          <w:bCs/>
          <w:i/>
          <w:iCs/>
          <w:sz w:val="20"/>
          <w:szCs w:val="20"/>
          <w:lang/>
        </w:rPr>
        <w:t>Cost Projections by Individual Store at the Intermediate Level</w:t>
      </w:r>
    </w:p>
    <w:tbl>
      <w:tblPr>
        <w:tblW w:w="0" w:type="auto"/>
        <w:jc w:val="center"/>
        <w:tblLayout w:type="fixed"/>
        <w:tblLook w:val="0000"/>
      </w:tblPr>
      <w:tblGrid>
        <w:gridCol w:w="417"/>
        <w:gridCol w:w="1868"/>
        <w:gridCol w:w="1267"/>
        <w:gridCol w:w="517"/>
        <w:gridCol w:w="1330"/>
        <w:gridCol w:w="899"/>
        <w:gridCol w:w="1080"/>
        <w:gridCol w:w="720"/>
        <w:gridCol w:w="1170"/>
      </w:tblGrid>
      <w:tr w:rsidR="00165178">
        <w:tblPrEx>
          <w:tblCellMar>
            <w:top w:w="0" w:type="dxa"/>
            <w:bottom w:w="0" w:type="dxa"/>
          </w:tblCellMar>
        </w:tblPrEx>
        <w:trPr>
          <w:trHeight w:val="178"/>
          <w:jc w:val="center"/>
        </w:trPr>
        <w:tc>
          <w:tcPr>
            <w:tcW w:w="417" w:type="dxa"/>
            <w:tcBorders>
              <w:top w:val="single" w:sz="3" w:space="0" w:color="000000"/>
              <w:left w:val="single" w:sz="6" w:space="0" w:color="000000"/>
              <w:bottom w:val="single" w:sz="6" w:space="0" w:color="000000"/>
              <w:right w:val="single" w:sz="6"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w:t>
            </w:r>
          </w:p>
        </w:tc>
        <w:tc>
          <w:tcPr>
            <w:tcW w:w="1868" w:type="dxa"/>
            <w:tcBorders>
              <w:top w:val="single" w:sz="3" w:space="0" w:color="000000"/>
              <w:left w:val="nil"/>
              <w:bottom w:val="single" w:sz="6" w:space="0" w:color="000000"/>
              <w:right w:val="single" w:sz="6"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Vaccine store</w:t>
            </w:r>
          </w:p>
        </w:tc>
        <w:tc>
          <w:tcPr>
            <w:tcW w:w="1267" w:type="dxa"/>
            <w:tcBorders>
              <w:top w:val="single" w:sz="3" w:space="0" w:color="000000"/>
              <w:left w:val="nil"/>
              <w:bottom w:val="single" w:sz="6" w:space="0" w:color="000000"/>
              <w:right w:val="single" w:sz="6"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Pop 2017</w:t>
            </w:r>
          </w:p>
        </w:tc>
        <w:tc>
          <w:tcPr>
            <w:tcW w:w="517" w:type="dxa"/>
            <w:tcBorders>
              <w:top w:val="single" w:sz="3" w:space="0" w:color="000000"/>
              <w:left w:val="nil"/>
              <w:bottom w:val="single" w:sz="6" w:space="0" w:color="000000"/>
              <w:right w:val="single" w:sz="3"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proofErr w:type="spellStart"/>
            <w:r>
              <w:rPr>
                <w:rFonts w:ascii="Arial" w:hAnsi="Arial" w:cs="Arial"/>
                <w:b/>
                <w:bCs/>
                <w:color w:val="FFFFFF"/>
                <w:sz w:val="18"/>
                <w:szCs w:val="18"/>
                <w:lang/>
              </w:rPr>
              <w:t>Nb</w:t>
            </w:r>
            <w:proofErr w:type="spellEnd"/>
            <w:r>
              <w:rPr>
                <w:rFonts w:ascii="Arial" w:hAnsi="Arial" w:cs="Arial"/>
                <w:b/>
                <w:bCs/>
                <w:color w:val="FFFFFF"/>
                <w:sz w:val="18"/>
                <w:szCs w:val="18"/>
                <w:lang/>
              </w:rPr>
              <w:t xml:space="preserve"> CS</w:t>
            </w:r>
          </w:p>
        </w:tc>
        <w:tc>
          <w:tcPr>
            <w:tcW w:w="1330" w:type="dxa"/>
            <w:tcBorders>
              <w:top w:val="single" w:sz="3" w:space="0" w:color="000000"/>
              <w:left w:val="single" w:sz="3" w:space="0" w:color="000000"/>
              <w:bottom w:val="single" w:sz="3" w:space="0" w:color="000000"/>
              <w:right w:val="single" w:sz="6"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Cold storage capacity required in liters</w:t>
            </w:r>
          </w:p>
        </w:tc>
        <w:tc>
          <w:tcPr>
            <w:tcW w:w="899" w:type="dxa"/>
            <w:tcBorders>
              <w:top w:val="single" w:sz="3" w:space="0" w:color="000000"/>
              <w:left w:val="nil"/>
              <w:bottom w:val="single" w:sz="3" w:space="0" w:color="000000"/>
              <w:right w:val="single" w:sz="6"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 xml:space="preserve">Fridges of 100 liter cap. </w:t>
            </w:r>
          </w:p>
        </w:tc>
        <w:tc>
          <w:tcPr>
            <w:tcW w:w="1080" w:type="dxa"/>
            <w:tcBorders>
              <w:top w:val="single" w:sz="3" w:space="0" w:color="000000"/>
              <w:left w:val="nil"/>
              <w:bottom w:val="single" w:sz="3" w:space="0" w:color="000000"/>
              <w:right w:val="single" w:sz="6"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 xml:space="preserve">M3/ </w:t>
            </w:r>
            <w:proofErr w:type="spellStart"/>
            <w:r>
              <w:rPr>
                <w:rFonts w:ascii="Arial" w:hAnsi="Arial" w:cs="Arial"/>
                <w:b/>
                <w:bCs/>
                <w:color w:val="FFFFFF"/>
                <w:sz w:val="18"/>
                <w:szCs w:val="18"/>
                <w:lang/>
              </w:rPr>
              <w:t>Inj</w:t>
            </w:r>
            <w:proofErr w:type="spellEnd"/>
            <w:r>
              <w:rPr>
                <w:rFonts w:ascii="Arial" w:hAnsi="Arial" w:cs="Arial"/>
                <w:b/>
                <w:bCs/>
                <w:color w:val="FFFFFF"/>
                <w:sz w:val="18"/>
                <w:szCs w:val="18"/>
                <w:lang/>
              </w:rPr>
              <w:t xml:space="preserve"> Mat</w:t>
            </w:r>
          </w:p>
        </w:tc>
        <w:tc>
          <w:tcPr>
            <w:tcW w:w="720" w:type="dxa"/>
            <w:tcBorders>
              <w:top w:val="single" w:sz="3" w:space="0" w:color="000000"/>
              <w:left w:val="nil"/>
              <w:bottom w:val="single" w:sz="3" w:space="0" w:color="000000"/>
              <w:right w:val="single" w:sz="6"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proofErr w:type="spellStart"/>
            <w:r>
              <w:rPr>
                <w:rFonts w:ascii="Arial" w:hAnsi="Arial" w:cs="Arial"/>
                <w:b/>
                <w:bCs/>
                <w:color w:val="FFFFFF"/>
                <w:sz w:val="18"/>
                <w:szCs w:val="18"/>
                <w:lang/>
              </w:rPr>
              <w:t>Nb</w:t>
            </w:r>
            <w:proofErr w:type="spellEnd"/>
            <w:r>
              <w:rPr>
                <w:rFonts w:ascii="Arial" w:hAnsi="Arial" w:cs="Arial"/>
                <w:b/>
                <w:bCs/>
                <w:color w:val="FFFFFF"/>
                <w:sz w:val="18"/>
                <w:szCs w:val="18"/>
                <w:lang/>
              </w:rPr>
              <w:t xml:space="preserve"> Gas </w:t>
            </w:r>
            <w:proofErr w:type="spellStart"/>
            <w:r>
              <w:rPr>
                <w:rFonts w:ascii="Arial" w:hAnsi="Arial" w:cs="Arial"/>
                <w:b/>
                <w:bCs/>
                <w:color w:val="FFFFFF"/>
                <w:sz w:val="18"/>
                <w:szCs w:val="18"/>
                <w:lang/>
              </w:rPr>
              <w:t>cyl</w:t>
            </w:r>
            <w:proofErr w:type="spellEnd"/>
            <w:r>
              <w:rPr>
                <w:rFonts w:ascii="Arial" w:hAnsi="Arial" w:cs="Arial"/>
                <w:b/>
                <w:bCs/>
                <w:color w:val="FFFFFF"/>
                <w:sz w:val="18"/>
                <w:szCs w:val="18"/>
                <w:lang/>
              </w:rPr>
              <w:t xml:space="preserve"> </w:t>
            </w:r>
          </w:p>
        </w:tc>
        <w:tc>
          <w:tcPr>
            <w:tcW w:w="1170" w:type="dxa"/>
            <w:tcBorders>
              <w:top w:val="single" w:sz="3" w:space="0" w:color="000000"/>
              <w:left w:val="nil"/>
              <w:bottom w:val="single" w:sz="3" w:space="0" w:color="000000"/>
              <w:right w:val="single" w:sz="6" w:space="0" w:color="000000"/>
            </w:tcBorders>
            <w:shd w:val="clear" w:color="auto" w:fill="009BFD"/>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FFFFFF"/>
                <w:sz w:val="18"/>
                <w:szCs w:val="18"/>
                <w:lang/>
              </w:rPr>
              <w:t>Total dry Storage Space/M2</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color w:val="000000"/>
                <w:sz w:val="18"/>
                <w:szCs w:val="18"/>
                <w:lang/>
              </w:rPr>
              <w:t>Carrefour</w:t>
            </w:r>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603,456</w:t>
            </w:r>
          </w:p>
        </w:tc>
        <w:tc>
          <w:tcPr>
            <w:tcW w:w="517" w:type="dxa"/>
            <w:tcBorders>
              <w:top w:val="single" w:sz="6" w:space="0" w:color="000000"/>
              <w:left w:val="nil"/>
              <w:bottom w:val="single" w:sz="6"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26</w:t>
            </w:r>
          </w:p>
        </w:tc>
        <w:tc>
          <w:tcPr>
            <w:tcW w:w="1330" w:type="dxa"/>
            <w:tcBorders>
              <w:top w:val="single" w:sz="3" w:space="0" w:color="000000"/>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754 </w:t>
            </w:r>
          </w:p>
        </w:tc>
        <w:tc>
          <w:tcPr>
            <w:tcW w:w="899" w:type="dxa"/>
            <w:tcBorders>
              <w:top w:val="single" w:sz="3" w:space="0" w:color="000000"/>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8   </w:t>
            </w:r>
          </w:p>
        </w:tc>
        <w:tc>
          <w:tcPr>
            <w:tcW w:w="1080" w:type="dxa"/>
            <w:tcBorders>
              <w:top w:val="single" w:sz="3" w:space="0" w:color="000000"/>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3.335 </w:t>
            </w:r>
          </w:p>
        </w:tc>
        <w:tc>
          <w:tcPr>
            <w:tcW w:w="720" w:type="dxa"/>
            <w:tcBorders>
              <w:top w:val="single" w:sz="3" w:space="0" w:color="000000"/>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78 </w:t>
            </w:r>
          </w:p>
        </w:tc>
        <w:tc>
          <w:tcPr>
            <w:tcW w:w="1170" w:type="dxa"/>
            <w:tcBorders>
              <w:top w:val="single" w:sz="3" w:space="0" w:color="000000"/>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24</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Delmas</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927,807</w:t>
            </w:r>
          </w:p>
        </w:tc>
        <w:tc>
          <w:tcPr>
            <w:tcW w:w="517" w:type="dxa"/>
            <w:tcBorders>
              <w:top w:val="single" w:sz="6" w:space="0" w:color="000000"/>
              <w:left w:val="nil"/>
              <w:bottom w:val="single" w:sz="6"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29</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1,160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12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5.127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87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36</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Kenscoff</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70,223</w:t>
            </w:r>
          </w:p>
        </w:tc>
        <w:tc>
          <w:tcPr>
            <w:tcW w:w="517" w:type="dxa"/>
            <w:tcBorders>
              <w:top w:val="single" w:sz="6" w:space="0" w:color="000000"/>
              <w:left w:val="nil"/>
              <w:bottom w:val="single" w:sz="6"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7</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88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1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0.388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21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4</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Pétion</w:t>
            </w:r>
            <w:proofErr w:type="spellEnd"/>
            <w:r>
              <w:rPr>
                <w:rFonts w:ascii="Arial" w:hAnsi="Arial" w:cs="Arial"/>
                <w:color w:val="000000"/>
                <w:sz w:val="18"/>
                <w:szCs w:val="18"/>
                <w:lang/>
              </w:rPr>
              <w:t>-Ville</w:t>
            </w:r>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430,287</w:t>
            </w:r>
          </w:p>
        </w:tc>
        <w:tc>
          <w:tcPr>
            <w:tcW w:w="517" w:type="dxa"/>
            <w:tcBorders>
              <w:top w:val="single" w:sz="6" w:space="0" w:color="000000"/>
              <w:left w:val="nil"/>
              <w:bottom w:val="single" w:sz="6"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20</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538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5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2.378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60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15</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5</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color w:val="000000"/>
                <w:sz w:val="18"/>
                <w:szCs w:val="18"/>
                <w:lang/>
              </w:rPr>
              <w:t xml:space="preserve">Port. </w:t>
            </w:r>
            <w:proofErr w:type="spellStart"/>
            <w:r>
              <w:rPr>
                <w:rFonts w:ascii="Arial" w:hAnsi="Arial" w:cs="Arial"/>
                <w:color w:val="000000"/>
                <w:sz w:val="18"/>
                <w:szCs w:val="18"/>
                <w:lang/>
              </w:rPr>
              <w:t>Leogane</w:t>
            </w:r>
            <w:proofErr w:type="spellEnd"/>
            <w:r>
              <w:rPr>
                <w:rFonts w:ascii="Arial" w:hAnsi="Arial" w:cs="Arial"/>
                <w:color w:val="000000"/>
                <w:sz w:val="18"/>
                <w:szCs w:val="18"/>
                <w:lang/>
              </w:rPr>
              <w:t xml:space="preserve"> - PAP</w:t>
            </w:r>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1,131,127</w:t>
            </w:r>
          </w:p>
        </w:tc>
        <w:tc>
          <w:tcPr>
            <w:tcW w:w="517" w:type="dxa"/>
            <w:tcBorders>
              <w:top w:val="single" w:sz="6" w:space="0" w:color="000000"/>
              <w:left w:val="nil"/>
              <w:bottom w:val="single" w:sz="6"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22</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1,414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14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6.250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66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42</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6</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color w:val="000000"/>
                <w:sz w:val="18"/>
                <w:szCs w:val="18"/>
                <w:lang/>
              </w:rPr>
              <w:t>Croix des Bouquets</w:t>
            </w:r>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257,618</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19</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322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3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1.424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57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9</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7</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color w:val="000000"/>
                <w:sz w:val="18"/>
                <w:szCs w:val="18"/>
                <w:lang/>
              </w:rPr>
              <w:t>Cabaret</w:t>
            </w:r>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70,429</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5</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88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1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0.389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15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8</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color w:val="000000"/>
                <w:sz w:val="18"/>
                <w:szCs w:val="18"/>
                <w:lang/>
              </w:rPr>
              <w:t xml:space="preserve">Petit  </w:t>
            </w:r>
            <w:proofErr w:type="spellStart"/>
            <w:r>
              <w:rPr>
                <w:rFonts w:ascii="Arial" w:hAnsi="Arial" w:cs="Arial"/>
                <w:color w:val="000000"/>
                <w:sz w:val="18"/>
                <w:szCs w:val="18"/>
                <w:lang/>
              </w:rPr>
              <w:t>Goave</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178,502</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12</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223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2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0.986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36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6</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9</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Ganthier</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64,536</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9</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81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1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0.357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27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10</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Arcahaie</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134,477</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7</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168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2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0.743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21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6</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11</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Anse</w:t>
            </w:r>
            <w:proofErr w:type="spellEnd"/>
            <w:r>
              <w:rPr>
                <w:rFonts w:ascii="Arial" w:hAnsi="Arial" w:cs="Arial"/>
                <w:color w:val="000000"/>
                <w:sz w:val="18"/>
                <w:szCs w:val="18"/>
                <w:lang/>
              </w:rPr>
              <w:t xml:space="preserve"> a </w:t>
            </w:r>
            <w:proofErr w:type="spellStart"/>
            <w:r>
              <w:rPr>
                <w:rFonts w:ascii="Arial" w:hAnsi="Arial" w:cs="Arial"/>
                <w:color w:val="000000"/>
                <w:sz w:val="18"/>
                <w:szCs w:val="18"/>
                <w:lang/>
              </w:rPr>
              <w:t>Galets</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64,561</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10</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81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1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0.357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30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12</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Fonds</w:t>
            </w:r>
            <w:proofErr w:type="spellEnd"/>
            <w:r>
              <w:rPr>
                <w:rFonts w:ascii="Arial" w:hAnsi="Arial" w:cs="Arial"/>
                <w:color w:val="000000"/>
                <w:sz w:val="18"/>
                <w:szCs w:val="18"/>
                <w:lang/>
              </w:rPr>
              <w:t xml:space="preserve"> </w:t>
            </w:r>
            <w:proofErr w:type="spellStart"/>
            <w:r>
              <w:rPr>
                <w:rFonts w:ascii="Arial" w:hAnsi="Arial" w:cs="Arial"/>
                <w:color w:val="000000"/>
                <w:sz w:val="18"/>
                <w:szCs w:val="18"/>
                <w:lang/>
              </w:rPr>
              <w:t>Verretes</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51,625</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65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1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0.285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9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13</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Cornillon</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61,570</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77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1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0.340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6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14</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Thomazeau</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54,656</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68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1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0.302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3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15</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Anacaona</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206,208</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11</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258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3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1.139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33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9</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16</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Gonaïves</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1,131,238</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58</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1,414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14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6.251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174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42</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17</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color w:val="000000"/>
                <w:sz w:val="18"/>
                <w:szCs w:val="18"/>
                <w:lang/>
              </w:rPr>
              <w:t>Saint Marc</w:t>
            </w:r>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723,486</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41</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904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9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3.998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123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27</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18</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Hinche</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415,067</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23</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519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5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2.294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69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15</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19</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Mirebalais</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427,247</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16</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534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5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2.361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48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15</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20</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Jérémie</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496,170</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45</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620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6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2.742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135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18</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21</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Miragoane</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316,907</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29</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396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4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1.751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87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12</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22</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color w:val="000000"/>
                <w:sz w:val="18"/>
                <w:szCs w:val="18"/>
                <w:lang/>
              </w:rPr>
              <w:t>Cap-</w:t>
            </w:r>
            <w:proofErr w:type="spellStart"/>
            <w:r>
              <w:rPr>
                <w:rFonts w:ascii="Arial" w:hAnsi="Arial" w:cs="Arial"/>
                <w:color w:val="000000"/>
                <w:sz w:val="18"/>
                <w:szCs w:val="18"/>
                <w:lang/>
              </w:rPr>
              <w:t>Haïtien</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973,338</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60</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1,217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12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5.379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180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36</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23</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Pignon</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184,259</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8</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230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2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1.018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24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6</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24</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Fort</w:t>
            </w:r>
            <w:proofErr w:type="spellEnd"/>
            <w:r>
              <w:rPr>
                <w:rFonts w:ascii="Arial" w:hAnsi="Arial" w:cs="Arial"/>
                <w:color w:val="000000"/>
                <w:sz w:val="18"/>
                <w:szCs w:val="18"/>
                <w:lang/>
              </w:rPr>
              <w:t>-</w:t>
            </w:r>
            <w:proofErr w:type="spellStart"/>
            <w:r>
              <w:rPr>
                <w:rFonts w:ascii="Arial" w:hAnsi="Arial" w:cs="Arial"/>
                <w:color w:val="000000"/>
                <w:sz w:val="18"/>
                <w:szCs w:val="18"/>
                <w:lang/>
              </w:rPr>
              <w:t>Liberté</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95,670</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26</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120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1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0.529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78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25</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color w:val="000000"/>
                <w:sz w:val="18"/>
                <w:szCs w:val="18"/>
                <w:lang/>
              </w:rPr>
              <w:t>Port-de-</w:t>
            </w:r>
            <w:proofErr w:type="spellStart"/>
            <w:r>
              <w:rPr>
                <w:rFonts w:ascii="Arial" w:hAnsi="Arial" w:cs="Arial"/>
                <w:color w:val="000000"/>
                <w:sz w:val="18"/>
                <w:szCs w:val="18"/>
                <w:lang/>
              </w:rPr>
              <w:t>Paix</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506,370</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38</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633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6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2.798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114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18</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26</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color w:val="000000"/>
                <w:sz w:val="18"/>
                <w:szCs w:val="18"/>
                <w:lang/>
              </w:rPr>
              <w:t xml:space="preserve">Jean </w:t>
            </w:r>
            <w:proofErr w:type="spellStart"/>
            <w:r>
              <w:rPr>
                <w:rFonts w:ascii="Arial" w:hAnsi="Arial" w:cs="Arial"/>
                <w:color w:val="000000"/>
                <w:sz w:val="18"/>
                <w:szCs w:val="18"/>
                <w:lang/>
              </w:rPr>
              <w:t>Rabel</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259,317</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26</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324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3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1.433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78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27</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r>
              <w:rPr>
                <w:rFonts w:ascii="Arial" w:hAnsi="Arial" w:cs="Arial"/>
                <w:color w:val="000000"/>
                <w:sz w:val="18"/>
                <w:szCs w:val="18"/>
                <w:lang/>
              </w:rPr>
              <w:t xml:space="preserve">Les </w:t>
            </w:r>
            <w:proofErr w:type="spellStart"/>
            <w:r>
              <w:rPr>
                <w:rFonts w:ascii="Arial" w:hAnsi="Arial" w:cs="Arial"/>
                <w:color w:val="000000"/>
                <w:sz w:val="18"/>
                <w:szCs w:val="18"/>
                <w:lang/>
              </w:rPr>
              <w:t>Cayes</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902,956</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65</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1,129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11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4.990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195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33</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28</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Jacmel</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496,543</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36</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621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6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2.744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108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18</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29</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rPr>
                <w:rFonts w:ascii="Calibri" w:hAnsi="Calibri" w:cs="Calibri"/>
                <w:lang/>
              </w:rPr>
            </w:pPr>
            <w:proofErr w:type="spellStart"/>
            <w:r>
              <w:rPr>
                <w:rFonts w:ascii="Arial" w:hAnsi="Arial" w:cs="Arial"/>
                <w:color w:val="000000"/>
                <w:sz w:val="18"/>
                <w:szCs w:val="18"/>
                <w:lang/>
              </w:rPr>
              <w:t>Thiotte</w:t>
            </w:r>
            <w:proofErr w:type="spellEnd"/>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165,253</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12</w:t>
            </w:r>
          </w:p>
        </w:tc>
        <w:tc>
          <w:tcPr>
            <w:tcW w:w="1330" w:type="dxa"/>
            <w:tcBorders>
              <w:top w:val="nil"/>
              <w:left w:val="single" w:sz="3" w:space="0" w:color="000000"/>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207 </w:t>
            </w:r>
          </w:p>
        </w:tc>
        <w:tc>
          <w:tcPr>
            <w:tcW w:w="899"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sz w:val="18"/>
                <w:szCs w:val="18"/>
                <w:lang/>
              </w:rPr>
              <w:t xml:space="preserve">          2   </w:t>
            </w:r>
          </w:p>
        </w:tc>
        <w:tc>
          <w:tcPr>
            <w:tcW w:w="1080" w:type="dxa"/>
            <w:tcBorders>
              <w:top w:val="nil"/>
              <w:left w:val="nil"/>
              <w:bottom w:val="single" w:sz="3" w:space="0" w:color="000000"/>
              <w:right w:val="single" w:sz="3"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0.913 </w:t>
            </w:r>
          </w:p>
        </w:tc>
        <w:tc>
          <w:tcPr>
            <w:tcW w:w="72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 xml:space="preserve">      36 </w:t>
            </w:r>
          </w:p>
        </w:tc>
        <w:tc>
          <w:tcPr>
            <w:tcW w:w="1170" w:type="dxa"/>
            <w:tcBorders>
              <w:top w:val="nil"/>
              <w:left w:val="nil"/>
              <w:bottom w:val="single" w:sz="3" w:space="0" w:color="000000"/>
              <w:right w:val="single" w:sz="3" w:space="0" w:color="000000"/>
            </w:tcBorders>
            <w:shd w:val="clear" w:color="000000" w:fill="FFFFFF"/>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color w:val="000000"/>
                <w:sz w:val="18"/>
                <w:szCs w:val="18"/>
                <w:lang/>
              </w:rPr>
              <w:t>6</w:t>
            </w:r>
          </w:p>
        </w:tc>
      </w:tr>
      <w:tr w:rsidR="00165178">
        <w:tblPrEx>
          <w:tblCellMar>
            <w:top w:w="0" w:type="dxa"/>
            <w:bottom w:w="0" w:type="dxa"/>
          </w:tblCellMar>
        </w:tblPrEx>
        <w:trPr>
          <w:trHeight w:val="20"/>
          <w:jc w:val="center"/>
        </w:trPr>
        <w:tc>
          <w:tcPr>
            <w:tcW w:w="417" w:type="dxa"/>
            <w:tcBorders>
              <w:top w:val="nil"/>
              <w:left w:val="single" w:sz="6" w:space="0" w:color="000000"/>
              <w:bottom w:val="single" w:sz="6" w:space="0" w:color="000000"/>
              <w:right w:val="single" w:sz="6"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b/>
                <w:bCs/>
                <w:color w:val="000000"/>
                <w:sz w:val="18"/>
                <w:szCs w:val="18"/>
                <w:lang/>
              </w:rPr>
              <w:t> </w:t>
            </w:r>
          </w:p>
        </w:tc>
        <w:tc>
          <w:tcPr>
            <w:tcW w:w="1868"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right"/>
              <w:rPr>
                <w:rFonts w:ascii="Calibri" w:hAnsi="Calibri" w:cs="Calibri"/>
                <w:lang/>
              </w:rPr>
            </w:pPr>
            <w:r>
              <w:rPr>
                <w:rFonts w:ascii="Arial" w:hAnsi="Arial" w:cs="Arial"/>
                <w:b/>
                <w:bCs/>
                <w:color w:val="000000"/>
                <w:sz w:val="18"/>
                <w:szCs w:val="18"/>
                <w:lang/>
              </w:rPr>
              <w:t>Total</w:t>
            </w:r>
          </w:p>
        </w:tc>
        <w:tc>
          <w:tcPr>
            <w:tcW w:w="126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 xml:space="preserve">   11,400,903 </w:t>
            </w:r>
          </w:p>
        </w:tc>
        <w:tc>
          <w:tcPr>
            <w:tcW w:w="517"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666</w:t>
            </w:r>
          </w:p>
        </w:tc>
        <w:tc>
          <w:tcPr>
            <w:tcW w:w="1330"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 xml:space="preserve">     14,251 </w:t>
            </w:r>
          </w:p>
        </w:tc>
        <w:tc>
          <w:tcPr>
            <w:tcW w:w="899"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 xml:space="preserve">        143 </w:t>
            </w:r>
          </w:p>
        </w:tc>
        <w:tc>
          <w:tcPr>
            <w:tcW w:w="1080"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 xml:space="preserve">    63</w:t>
            </w:r>
          </w:p>
        </w:tc>
        <w:tc>
          <w:tcPr>
            <w:tcW w:w="720"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 xml:space="preserve"> 1,998 </w:t>
            </w:r>
          </w:p>
        </w:tc>
        <w:tc>
          <w:tcPr>
            <w:tcW w:w="1170" w:type="dxa"/>
            <w:tcBorders>
              <w:top w:val="nil"/>
              <w:left w:val="nil"/>
              <w:bottom w:val="single" w:sz="6" w:space="0" w:color="000000"/>
              <w:right w:val="single" w:sz="6" w:space="0" w:color="000000"/>
            </w:tcBorders>
            <w:vAlign w:val="bottom"/>
          </w:tcPr>
          <w:p w:rsidR="00165178" w:rsidRDefault="00165178">
            <w:pPr>
              <w:autoSpaceDE w:val="0"/>
              <w:autoSpaceDN w:val="0"/>
              <w:adjustRightInd w:val="0"/>
              <w:spacing w:after="0" w:line="240" w:lineRule="auto"/>
              <w:jc w:val="center"/>
              <w:rPr>
                <w:rFonts w:ascii="Calibri" w:hAnsi="Calibri" w:cs="Calibri"/>
                <w:lang/>
              </w:rPr>
            </w:pPr>
            <w:r>
              <w:rPr>
                <w:rFonts w:ascii="Arial" w:hAnsi="Arial" w:cs="Arial"/>
                <w:b/>
                <w:bCs/>
                <w:color w:val="000000"/>
                <w:sz w:val="18"/>
                <w:szCs w:val="18"/>
                <w:lang/>
              </w:rPr>
              <w:t>426</w:t>
            </w:r>
          </w:p>
        </w:tc>
      </w:tr>
    </w:tbl>
    <w:p w:rsidR="00165178" w:rsidRDefault="00165178" w:rsidP="00165178">
      <w:pPr>
        <w:autoSpaceDE w:val="0"/>
        <w:autoSpaceDN w:val="0"/>
        <w:adjustRightInd w:val="0"/>
        <w:spacing w:after="0" w:line="240" w:lineRule="auto"/>
        <w:ind w:left="720"/>
        <w:rPr>
          <w:rFonts w:ascii="Arial" w:hAnsi="Arial" w:cs="Arial"/>
          <w:sz w:val="20"/>
          <w:szCs w:val="20"/>
          <w:lang/>
        </w:rPr>
      </w:pPr>
      <w:r>
        <w:rPr>
          <w:rFonts w:ascii="Arial" w:hAnsi="Arial" w:cs="Arial"/>
          <w:sz w:val="20"/>
          <w:szCs w:val="20"/>
          <w:lang/>
        </w:rPr>
        <w:t xml:space="preserve">   </w:t>
      </w:r>
    </w:p>
    <w:p w:rsidR="00165178" w:rsidRDefault="00165178" w:rsidP="00165178">
      <w:pPr>
        <w:numPr>
          <w:ilvl w:val="0"/>
          <w:numId w:val="1"/>
        </w:numPr>
        <w:autoSpaceDE w:val="0"/>
        <w:autoSpaceDN w:val="0"/>
        <w:adjustRightInd w:val="0"/>
        <w:spacing w:before="120" w:after="0" w:line="240" w:lineRule="auto"/>
        <w:ind w:left="1080" w:hanging="360"/>
        <w:jc w:val="both"/>
        <w:rPr>
          <w:rFonts w:ascii="Arial" w:hAnsi="Arial" w:cs="Arial"/>
          <w:b/>
          <w:bCs/>
          <w:i/>
          <w:iCs/>
          <w:sz w:val="20"/>
          <w:szCs w:val="20"/>
          <w:lang/>
        </w:rPr>
      </w:pPr>
      <w:r>
        <w:rPr>
          <w:rFonts w:ascii="Arial" w:hAnsi="Arial" w:cs="Arial"/>
          <w:b/>
          <w:bCs/>
          <w:i/>
          <w:iCs/>
          <w:sz w:val="20"/>
          <w:szCs w:val="20"/>
          <w:lang/>
        </w:rPr>
        <w:t>Issue # 3 – Maintenance of cold chain and EPI Logistics equipment</w:t>
      </w:r>
    </w:p>
    <w:p w:rsidR="00165178" w:rsidRDefault="00165178" w:rsidP="00165178">
      <w:pPr>
        <w:autoSpaceDE w:val="0"/>
        <w:autoSpaceDN w:val="0"/>
        <w:adjustRightInd w:val="0"/>
        <w:spacing w:after="0" w:line="240" w:lineRule="auto"/>
        <w:rPr>
          <w:rFonts w:ascii="Arial" w:hAnsi="Arial" w:cs="Arial"/>
          <w:sz w:val="20"/>
          <w:szCs w:val="20"/>
          <w:lang/>
        </w:rPr>
      </w:pP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The routine maintenance/repair of the cold chain equipment of the intermediate level is the responsibility of a group of twenty (20) “Departmental” cold chain technicians. These technicians are employees of the </w:t>
      </w:r>
      <w:proofErr w:type="spellStart"/>
      <w:r>
        <w:rPr>
          <w:rFonts w:ascii="Arial" w:hAnsi="Arial" w:cs="Arial"/>
          <w:sz w:val="20"/>
          <w:szCs w:val="20"/>
          <w:lang/>
        </w:rPr>
        <w:t>MoH</w:t>
      </w:r>
      <w:proofErr w:type="spellEnd"/>
      <w:r>
        <w:rPr>
          <w:rFonts w:ascii="Arial" w:hAnsi="Arial" w:cs="Arial"/>
          <w:sz w:val="20"/>
          <w:szCs w:val="20"/>
          <w:lang/>
        </w:rPr>
        <w:t>, and are mostly present at their respective duty stations. But their effective participation in cold chain maintenance is limited by a lack of tools; of spare parts; of means of transport; of irregular salaries and/or, of unclear work contract situations and overall poor support and supervision.</w:t>
      </w:r>
    </w:p>
    <w:p w:rsidR="00165178" w:rsidRDefault="00165178" w:rsidP="00165178">
      <w:pPr>
        <w:autoSpaceDE w:val="0"/>
        <w:autoSpaceDN w:val="0"/>
        <w:adjustRightInd w:val="0"/>
        <w:spacing w:after="0" w:line="240" w:lineRule="auto"/>
        <w:rPr>
          <w:rFonts w:ascii="Arial" w:hAnsi="Arial" w:cs="Arial"/>
          <w:sz w:val="20"/>
          <w:szCs w:val="20"/>
          <w:lang/>
        </w:rPr>
      </w:pP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In practice, maintenance/repair services to the intermediate (and often to Health Facility) levels are provided directly from PAP by a group of nine (09) DNPEV staff dedicated to the support of all “Logistics” interventions in the field, including vaccine and supplies deliveries. Very often, the </w:t>
      </w:r>
      <w:r>
        <w:rPr>
          <w:rFonts w:ascii="Arial" w:hAnsi="Arial" w:cs="Arial"/>
          <w:sz w:val="20"/>
          <w:szCs w:val="20"/>
          <w:lang/>
        </w:rPr>
        <w:lastRenderedPageBreak/>
        <w:t>“Departmental” cold chain technicians do not participate in those interventions, even while they are occurring in their perimeter of responsibility.</w:t>
      </w:r>
    </w:p>
    <w:p w:rsidR="00165178" w:rsidRDefault="00165178" w:rsidP="00165178">
      <w:pPr>
        <w:autoSpaceDE w:val="0"/>
        <w:autoSpaceDN w:val="0"/>
        <w:adjustRightInd w:val="0"/>
        <w:ind w:left="360"/>
        <w:rPr>
          <w:rFonts w:ascii="Arial" w:hAnsi="Arial" w:cs="Arial"/>
          <w:sz w:val="20"/>
          <w:szCs w:val="20"/>
          <w:lang/>
        </w:rPr>
      </w:pP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To strengthen cold chain supervision, EPI Directorate has multi-year plan for the purchase of vehicles for the Central level as well as motorcycles for the intermediate and operational levels. </w:t>
      </w:r>
    </w:p>
    <w:p w:rsidR="00165178" w:rsidRDefault="00165178" w:rsidP="00165178">
      <w:pPr>
        <w:autoSpaceDE w:val="0"/>
        <w:autoSpaceDN w:val="0"/>
        <w:adjustRightInd w:val="0"/>
        <w:spacing w:after="0" w:line="240" w:lineRule="auto"/>
        <w:rPr>
          <w:rFonts w:ascii="Arial" w:hAnsi="Arial" w:cs="Arial"/>
          <w:sz w:val="20"/>
          <w:szCs w:val="20"/>
          <w:lang/>
        </w:rPr>
      </w:pPr>
    </w:p>
    <w:p w:rsidR="00165178" w:rsidRDefault="00165178" w:rsidP="00165178">
      <w:pPr>
        <w:numPr>
          <w:ilvl w:val="0"/>
          <w:numId w:val="1"/>
        </w:numPr>
        <w:autoSpaceDE w:val="0"/>
        <w:autoSpaceDN w:val="0"/>
        <w:adjustRightInd w:val="0"/>
        <w:spacing w:before="120" w:after="0" w:line="240" w:lineRule="auto"/>
        <w:ind w:left="1080" w:hanging="360"/>
        <w:jc w:val="both"/>
        <w:rPr>
          <w:rFonts w:ascii="Arial" w:hAnsi="Arial" w:cs="Arial"/>
          <w:b/>
          <w:bCs/>
          <w:i/>
          <w:iCs/>
          <w:sz w:val="20"/>
          <w:szCs w:val="20"/>
          <w:lang/>
        </w:rPr>
      </w:pPr>
      <w:r>
        <w:rPr>
          <w:rFonts w:ascii="Arial" w:hAnsi="Arial" w:cs="Arial"/>
          <w:b/>
          <w:bCs/>
          <w:i/>
          <w:iCs/>
          <w:sz w:val="20"/>
          <w:szCs w:val="20"/>
          <w:lang/>
        </w:rPr>
        <w:t>Response to Issue # 3 – Maintenance of cold chain and EPI Logistics equipment</w:t>
      </w:r>
    </w:p>
    <w:p w:rsidR="00165178" w:rsidRDefault="00165178" w:rsidP="00165178">
      <w:pPr>
        <w:autoSpaceDE w:val="0"/>
        <w:autoSpaceDN w:val="0"/>
        <w:adjustRightInd w:val="0"/>
        <w:spacing w:after="0" w:line="240" w:lineRule="auto"/>
        <w:rPr>
          <w:rFonts w:ascii="Arial" w:hAnsi="Arial" w:cs="Arial"/>
          <w:sz w:val="20"/>
          <w:szCs w:val="20"/>
          <w:lang/>
        </w:rPr>
      </w:pP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The new CCL management system re-assigns the routine maintenance and repair of the cold chain equipment to the “Departmental” cold chain technicians. </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UNICEF has recently procured individual tool kits which will be distributed to each technician. Regular in-service training is also scheduled to build their capacity and upgrade their skills. UNICEF will be supporting this training financially and with technical assistance. </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UNICEF is willing to support the procurement of vehicles and motorcycles in support of the EPI Directorate, if sufficient funds are mobilized (current funding gap for 2012 $ 153,000).</w:t>
      </w:r>
    </w:p>
    <w:p w:rsidR="00165178" w:rsidRDefault="00165178" w:rsidP="00165178">
      <w:pPr>
        <w:numPr>
          <w:ilvl w:val="0"/>
          <w:numId w:val="1"/>
        </w:numPr>
        <w:autoSpaceDE w:val="0"/>
        <w:autoSpaceDN w:val="0"/>
        <w:adjustRightInd w:val="0"/>
        <w:spacing w:after="0" w:line="240" w:lineRule="auto"/>
        <w:ind w:left="360" w:hanging="360"/>
        <w:rPr>
          <w:rFonts w:ascii="Arial" w:hAnsi="Arial" w:cs="Arial"/>
          <w:sz w:val="20"/>
          <w:szCs w:val="20"/>
          <w:lang/>
        </w:rPr>
      </w:pPr>
      <w:r>
        <w:rPr>
          <w:rFonts w:ascii="Arial" w:hAnsi="Arial" w:cs="Arial"/>
          <w:sz w:val="20"/>
          <w:szCs w:val="20"/>
          <w:lang/>
        </w:rPr>
        <w:t xml:space="preserve">The EPI </w:t>
      </w:r>
      <w:proofErr w:type="spellStart"/>
      <w:r>
        <w:rPr>
          <w:rFonts w:ascii="Arial" w:hAnsi="Arial" w:cs="Arial"/>
          <w:sz w:val="20"/>
          <w:szCs w:val="20"/>
          <w:lang/>
        </w:rPr>
        <w:t>Programme</w:t>
      </w:r>
      <w:proofErr w:type="spellEnd"/>
      <w:r>
        <w:rPr>
          <w:rFonts w:ascii="Arial" w:hAnsi="Arial" w:cs="Arial"/>
          <w:sz w:val="20"/>
          <w:szCs w:val="20"/>
          <w:lang/>
        </w:rPr>
        <w:t xml:space="preserve"> has recently recruited a national manager for the CCL system. Care was taken by the </w:t>
      </w:r>
      <w:proofErr w:type="spellStart"/>
      <w:r>
        <w:rPr>
          <w:rFonts w:ascii="Arial" w:hAnsi="Arial" w:cs="Arial"/>
          <w:sz w:val="20"/>
          <w:szCs w:val="20"/>
          <w:lang/>
        </w:rPr>
        <w:t>MoH</w:t>
      </w:r>
      <w:proofErr w:type="spellEnd"/>
      <w:r>
        <w:rPr>
          <w:rFonts w:ascii="Arial" w:hAnsi="Arial" w:cs="Arial"/>
          <w:sz w:val="20"/>
          <w:szCs w:val="20"/>
          <w:lang/>
        </w:rPr>
        <w:t xml:space="preserve"> to select an officer with the desired profile and competencies. A budget is also inserted in the 2012 plan of operation to finance systematic supervision of the CCL in the field by six technical staff of the central level.</w:t>
      </w:r>
    </w:p>
    <w:p w:rsidR="00165178" w:rsidRDefault="00165178" w:rsidP="00165178">
      <w:pPr>
        <w:autoSpaceDE w:val="0"/>
        <w:autoSpaceDN w:val="0"/>
        <w:adjustRightInd w:val="0"/>
        <w:spacing w:after="0" w:line="240" w:lineRule="auto"/>
        <w:rPr>
          <w:rFonts w:ascii="Arial" w:hAnsi="Arial" w:cs="Arial"/>
          <w:b/>
          <w:bCs/>
          <w:sz w:val="20"/>
          <w:szCs w:val="20"/>
          <w:highlight w:val="white"/>
          <w:lang/>
        </w:rPr>
      </w:pPr>
    </w:p>
    <w:p w:rsidR="00165178" w:rsidRDefault="00165178" w:rsidP="00165178">
      <w:pPr>
        <w:autoSpaceDE w:val="0"/>
        <w:autoSpaceDN w:val="0"/>
        <w:adjustRightInd w:val="0"/>
        <w:spacing w:after="0" w:line="240" w:lineRule="auto"/>
        <w:rPr>
          <w:rFonts w:ascii="Arial" w:hAnsi="Arial" w:cs="Arial"/>
          <w:b/>
          <w:bCs/>
          <w:sz w:val="20"/>
          <w:szCs w:val="20"/>
          <w:highlight w:val="white"/>
          <w:lang/>
        </w:rPr>
      </w:pPr>
    </w:p>
    <w:p w:rsidR="00165178" w:rsidRDefault="00165178" w:rsidP="00165178">
      <w:pPr>
        <w:autoSpaceDE w:val="0"/>
        <w:autoSpaceDN w:val="0"/>
        <w:adjustRightInd w:val="0"/>
        <w:spacing w:before="120" w:after="120" w:line="240" w:lineRule="auto"/>
        <w:jc w:val="both"/>
        <w:rPr>
          <w:rFonts w:ascii="Arial" w:hAnsi="Arial" w:cs="Arial"/>
          <w:b/>
          <w:bCs/>
          <w:color w:val="009BFD"/>
          <w:sz w:val="28"/>
          <w:szCs w:val="28"/>
          <w:lang/>
        </w:rPr>
      </w:pPr>
      <w:r>
        <w:rPr>
          <w:rFonts w:ascii="Arial" w:hAnsi="Arial" w:cs="Arial"/>
          <w:b/>
          <w:bCs/>
          <w:color w:val="009BFD"/>
          <w:sz w:val="28"/>
          <w:szCs w:val="28"/>
          <w:lang/>
        </w:rPr>
        <w:t>C - Health Facility Level</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 xml:space="preserve">Issue # 1 – Cold chain management </w:t>
      </w:r>
    </w:p>
    <w:p w:rsidR="00165178" w:rsidRDefault="00165178" w:rsidP="00165178">
      <w:pPr>
        <w:numPr>
          <w:ilvl w:val="0"/>
          <w:numId w:val="1"/>
        </w:numPr>
        <w:autoSpaceDE w:val="0"/>
        <w:autoSpaceDN w:val="0"/>
        <w:adjustRightInd w:val="0"/>
        <w:ind w:left="360" w:hanging="360"/>
        <w:rPr>
          <w:rFonts w:ascii="Arial" w:hAnsi="Arial" w:cs="Arial"/>
          <w:sz w:val="20"/>
          <w:szCs w:val="20"/>
          <w:lang/>
        </w:rPr>
      </w:pPr>
      <w:r>
        <w:rPr>
          <w:rFonts w:ascii="Arial" w:hAnsi="Arial" w:cs="Arial"/>
          <w:sz w:val="20"/>
          <w:szCs w:val="20"/>
          <w:lang/>
        </w:rPr>
        <w:t xml:space="preserve">At the peripheral level, more than two thirds of the 676 health facilities that offer immunization services are equipped with an LP gas operated vaccine refrigerator. Surveys have shown a propensity by this refrigerator to reach freezing temperatures. This raises concerns about the protection of new and expensive vaccines that are freeze-sensitive. </w:t>
      </w:r>
    </w:p>
    <w:p w:rsidR="00165178" w:rsidRDefault="00165178" w:rsidP="00165178">
      <w:pPr>
        <w:autoSpaceDE w:val="0"/>
        <w:autoSpaceDN w:val="0"/>
        <w:adjustRightInd w:val="0"/>
        <w:ind w:left="360"/>
        <w:rPr>
          <w:rFonts w:ascii="Arial" w:hAnsi="Arial" w:cs="Arial"/>
          <w:sz w:val="20"/>
          <w:szCs w:val="20"/>
          <w:lang/>
        </w:rPr>
      </w:pPr>
    </w:p>
    <w:p w:rsidR="00165178" w:rsidRDefault="00165178" w:rsidP="00165178">
      <w:pPr>
        <w:numPr>
          <w:ilvl w:val="0"/>
          <w:numId w:val="1"/>
        </w:numPr>
        <w:autoSpaceDE w:val="0"/>
        <w:autoSpaceDN w:val="0"/>
        <w:adjustRightInd w:val="0"/>
        <w:ind w:left="360" w:hanging="360"/>
        <w:rPr>
          <w:rFonts w:ascii="Arial" w:hAnsi="Arial" w:cs="Arial"/>
          <w:sz w:val="20"/>
          <w:szCs w:val="20"/>
          <w:lang/>
        </w:rPr>
      </w:pPr>
      <w:r>
        <w:rPr>
          <w:rFonts w:ascii="Arial" w:hAnsi="Arial" w:cs="Arial"/>
          <w:sz w:val="20"/>
          <w:szCs w:val="20"/>
          <w:lang/>
        </w:rPr>
        <w:t xml:space="preserve"> The last inventory of the equipment was done in 2001. Efforts have been made by UNICEF and WHO to update the data base in 2006 and 2009.  However, an accurate update of the inventory is </w:t>
      </w:r>
      <w:proofErr w:type="gramStart"/>
      <w:r>
        <w:rPr>
          <w:rFonts w:ascii="Arial" w:hAnsi="Arial" w:cs="Arial"/>
          <w:sz w:val="20"/>
          <w:szCs w:val="20"/>
          <w:lang/>
        </w:rPr>
        <w:t>key</w:t>
      </w:r>
      <w:proofErr w:type="gramEnd"/>
      <w:r>
        <w:rPr>
          <w:rFonts w:ascii="Arial" w:hAnsi="Arial" w:cs="Arial"/>
          <w:sz w:val="20"/>
          <w:szCs w:val="20"/>
          <w:lang/>
        </w:rPr>
        <w:t xml:space="preserve"> to the correct estimates of costs for replacement and/or expansion of the equipment. </w:t>
      </w:r>
    </w:p>
    <w:p w:rsidR="00165178" w:rsidRDefault="00165178" w:rsidP="00165178">
      <w:pPr>
        <w:autoSpaceDE w:val="0"/>
        <w:autoSpaceDN w:val="0"/>
        <w:adjustRightInd w:val="0"/>
        <w:ind w:left="360"/>
        <w:rPr>
          <w:rFonts w:ascii="Arial" w:hAnsi="Arial" w:cs="Arial"/>
          <w:sz w:val="20"/>
          <w:szCs w:val="20"/>
          <w:lang/>
        </w:rPr>
      </w:pPr>
    </w:p>
    <w:p w:rsidR="00165178" w:rsidRDefault="00165178" w:rsidP="00165178">
      <w:pPr>
        <w:numPr>
          <w:ilvl w:val="0"/>
          <w:numId w:val="1"/>
        </w:numPr>
        <w:autoSpaceDE w:val="0"/>
        <w:autoSpaceDN w:val="0"/>
        <w:adjustRightInd w:val="0"/>
        <w:ind w:left="360" w:hanging="360"/>
        <w:rPr>
          <w:rFonts w:ascii="Arial" w:hAnsi="Arial" w:cs="Arial"/>
          <w:sz w:val="20"/>
          <w:szCs w:val="20"/>
          <w:lang/>
        </w:rPr>
      </w:pPr>
      <w:r>
        <w:rPr>
          <w:rFonts w:ascii="Arial" w:hAnsi="Arial" w:cs="Arial"/>
          <w:sz w:val="20"/>
          <w:szCs w:val="20"/>
          <w:lang/>
        </w:rPr>
        <w:t xml:space="preserve"> The systematic recording and monitoring of temperatures is less than adequate from the intermediate level down. Few health facilities maintain records on temperature variations of their cold chain equipment. Except for the central level, existing temperature records are not analyzed.  </w:t>
      </w:r>
    </w:p>
    <w:p w:rsidR="00165178" w:rsidRDefault="00165178" w:rsidP="00165178">
      <w:pPr>
        <w:autoSpaceDE w:val="0"/>
        <w:autoSpaceDN w:val="0"/>
        <w:adjustRightInd w:val="0"/>
        <w:ind w:left="360"/>
        <w:rPr>
          <w:rFonts w:ascii="Arial" w:hAnsi="Arial" w:cs="Arial"/>
          <w:sz w:val="20"/>
          <w:szCs w:val="20"/>
          <w:lang/>
        </w:rPr>
      </w:pPr>
    </w:p>
    <w:p w:rsidR="00165178" w:rsidRDefault="00165178" w:rsidP="00165178">
      <w:pPr>
        <w:numPr>
          <w:ilvl w:val="0"/>
          <w:numId w:val="1"/>
        </w:numPr>
        <w:autoSpaceDE w:val="0"/>
        <w:autoSpaceDN w:val="0"/>
        <w:adjustRightInd w:val="0"/>
        <w:ind w:left="360" w:hanging="360"/>
        <w:rPr>
          <w:rFonts w:ascii="Arial" w:hAnsi="Arial" w:cs="Arial"/>
          <w:sz w:val="20"/>
          <w:szCs w:val="20"/>
          <w:lang/>
        </w:rPr>
      </w:pPr>
      <w:r>
        <w:rPr>
          <w:rFonts w:ascii="Arial" w:hAnsi="Arial" w:cs="Arial"/>
          <w:sz w:val="20"/>
          <w:szCs w:val="20"/>
          <w:lang/>
        </w:rPr>
        <w:t xml:space="preserve">Because of poor management as well as delay in funding, health facilities faced frequent disruptions of gas supply. This causes serious concerns about the integrity of the cold chain, and the quality of vaccines that are stored at the service level.  </w:t>
      </w:r>
    </w:p>
    <w:p w:rsidR="00165178" w:rsidRDefault="00165178" w:rsidP="00165178">
      <w:pPr>
        <w:autoSpaceDE w:val="0"/>
        <w:autoSpaceDN w:val="0"/>
        <w:adjustRightInd w:val="0"/>
        <w:ind w:left="360"/>
        <w:rPr>
          <w:rFonts w:ascii="Arial" w:hAnsi="Arial" w:cs="Arial"/>
          <w:sz w:val="20"/>
          <w:szCs w:val="20"/>
          <w:lang/>
        </w:rPr>
      </w:pPr>
    </w:p>
    <w:p w:rsidR="00165178" w:rsidRDefault="00165178" w:rsidP="00165178">
      <w:pPr>
        <w:numPr>
          <w:ilvl w:val="0"/>
          <w:numId w:val="1"/>
        </w:numPr>
        <w:autoSpaceDE w:val="0"/>
        <w:autoSpaceDN w:val="0"/>
        <w:adjustRightInd w:val="0"/>
        <w:ind w:left="360" w:hanging="360"/>
        <w:rPr>
          <w:rFonts w:ascii="Arial" w:hAnsi="Arial" w:cs="Arial"/>
          <w:sz w:val="20"/>
          <w:szCs w:val="20"/>
          <w:lang/>
        </w:rPr>
      </w:pPr>
      <w:r>
        <w:rPr>
          <w:rFonts w:ascii="Arial" w:hAnsi="Arial" w:cs="Arial"/>
          <w:sz w:val="20"/>
          <w:szCs w:val="20"/>
          <w:lang/>
        </w:rPr>
        <w:t xml:space="preserve">Each gas operated refrigerator consumes more than 2 cylinders of 25 lb per 30 days of operation. To provide gas operated refrigerator with full autonomy of energy, each one is allocated three (03) LP </w:t>
      </w:r>
      <w:r>
        <w:rPr>
          <w:rFonts w:ascii="Arial" w:hAnsi="Arial" w:cs="Arial"/>
          <w:sz w:val="20"/>
          <w:szCs w:val="20"/>
          <w:lang/>
        </w:rPr>
        <w:lastRenderedPageBreak/>
        <w:t xml:space="preserve">gas cylinders of 25 lb. Thus a total of 2,090 gas cylinders are circulating in the distribution system.  At $ 16 per refill, the monthly budget is around $ 540,000 per year, counting transport. </w:t>
      </w:r>
    </w:p>
    <w:p w:rsidR="00165178" w:rsidRDefault="00165178" w:rsidP="00165178">
      <w:pPr>
        <w:numPr>
          <w:ilvl w:val="0"/>
          <w:numId w:val="1"/>
        </w:numPr>
        <w:autoSpaceDE w:val="0"/>
        <w:autoSpaceDN w:val="0"/>
        <w:adjustRightInd w:val="0"/>
        <w:spacing w:before="120" w:after="120" w:line="240" w:lineRule="auto"/>
        <w:ind w:left="1080" w:hanging="360"/>
        <w:jc w:val="both"/>
        <w:rPr>
          <w:rFonts w:ascii="Arial" w:hAnsi="Arial" w:cs="Arial"/>
          <w:b/>
          <w:bCs/>
          <w:i/>
          <w:iCs/>
          <w:sz w:val="20"/>
          <w:szCs w:val="20"/>
          <w:lang/>
        </w:rPr>
      </w:pPr>
      <w:r>
        <w:rPr>
          <w:rFonts w:ascii="Arial" w:hAnsi="Arial" w:cs="Arial"/>
          <w:b/>
          <w:bCs/>
          <w:i/>
          <w:iCs/>
          <w:sz w:val="20"/>
          <w:szCs w:val="20"/>
          <w:lang/>
        </w:rPr>
        <w:t xml:space="preserve">Responses to Issue # 1 – Cold chain management </w:t>
      </w:r>
    </w:p>
    <w:p w:rsidR="00165178" w:rsidRDefault="00165178" w:rsidP="00165178">
      <w:pPr>
        <w:numPr>
          <w:ilvl w:val="0"/>
          <w:numId w:val="1"/>
        </w:numPr>
        <w:autoSpaceDE w:val="0"/>
        <w:autoSpaceDN w:val="0"/>
        <w:adjustRightInd w:val="0"/>
        <w:ind w:left="360" w:hanging="360"/>
        <w:rPr>
          <w:rFonts w:ascii="Arial" w:hAnsi="Arial" w:cs="Arial"/>
          <w:sz w:val="20"/>
          <w:szCs w:val="20"/>
          <w:lang/>
        </w:rPr>
      </w:pPr>
      <w:r>
        <w:rPr>
          <w:rFonts w:ascii="Arial" w:hAnsi="Arial" w:cs="Arial"/>
          <w:sz w:val="20"/>
          <w:szCs w:val="20"/>
          <w:lang/>
        </w:rPr>
        <w:t>The gas operated refrigerators have a net storage capacity of fifty five (55) liters. This is enough space to store traditional and new vaccines for one month, for a total population of 10,000 people. Therefore available cold chain capacity is adequate at the facility level.</w:t>
      </w:r>
    </w:p>
    <w:p w:rsidR="00165178" w:rsidRDefault="00165178" w:rsidP="00165178">
      <w:pPr>
        <w:autoSpaceDE w:val="0"/>
        <w:autoSpaceDN w:val="0"/>
        <w:adjustRightInd w:val="0"/>
        <w:ind w:left="360"/>
        <w:rPr>
          <w:rFonts w:ascii="Arial" w:hAnsi="Arial" w:cs="Arial"/>
          <w:sz w:val="20"/>
          <w:szCs w:val="20"/>
          <w:lang/>
        </w:rPr>
      </w:pPr>
    </w:p>
    <w:p w:rsidR="00165178" w:rsidRDefault="00165178" w:rsidP="00165178">
      <w:pPr>
        <w:numPr>
          <w:ilvl w:val="0"/>
          <w:numId w:val="1"/>
        </w:numPr>
        <w:autoSpaceDE w:val="0"/>
        <w:autoSpaceDN w:val="0"/>
        <w:adjustRightInd w:val="0"/>
        <w:ind w:left="360" w:hanging="360"/>
        <w:rPr>
          <w:rFonts w:ascii="Arial" w:hAnsi="Arial" w:cs="Arial"/>
          <w:sz w:val="20"/>
          <w:szCs w:val="20"/>
          <w:lang/>
        </w:rPr>
      </w:pPr>
      <w:r>
        <w:rPr>
          <w:rFonts w:ascii="Arial" w:hAnsi="Arial" w:cs="Arial"/>
          <w:sz w:val="20"/>
          <w:szCs w:val="20"/>
          <w:lang/>
        </w:rPr>
        <w:t>In addition to the 676 installed refrigerators, 110 gas operated refrigerators of 55 liter capacity, and 170 solar refrigerators of 19 liter net capacity are being installed at selected health facilities. The idea is to replace all the gas powered refrigerators by the solar powered refrigerators by purchasing and installing approximately 124 new solar refrigerators each year from 2012 until 2015. An EVM is scheduled to take place by end 2012 and will help to determine the number and functionality of existing refrigerators. UNICEF is willing to support the Government to procure these refrigerators, if sufficient funds are mobilized (approximately $2.7 million is required for procurement between now and 2023.This does not include the cost of installation).</w:t>
      </w:r>
    </w:p>
    <w:p w:rsidR="00165178" w:rsidRDefault="00165178" w:rsidP="00165178">
      <w:pPr>
        <w:autoSpaceDE w:val="0"/>
        <w:autoSpaceDN w:val="0"/>
        <w:adjustRightInd w:val="0"/>
        <w:ind w:left="360"/>
        <w:rPr>
          <w:rFonts w:ascii="Arial" w:hAnsi="Arial" w:cs="Arial"/>
          <w:sz w:val="20"/>
          <w:szCs w:val="20"/>
          <w:lang/>
        </w:rPr>
      </w:pPr>
    </w:p>
    <w:p w:rsidR="00165178" w:rsidRDefault="00165178" w:rsidP="00165178">
      <w:pPr>
        <w:numPr>
          <w:ilvl w:val="0"/>
          <w:numId w:val="1"/>
        </w:numPr>
        <w:autoSpaceDE w:val="0"/>
        <w:autoSpaceDN w:val="0"/>
        <w:adjustRightInd w:val="0"/>
        <w:ind w:left="360" w:hanging="360"/>
        <w:rPr>
          <w:rFonts w:ascii="Arial" w:hAnsi="Arial" w:cs="Arial"/>
          <w:sz w:val="20"/>
          <w:szCs w:val="20"/>
          <w:lang/>
        </w:rPr>
      </w:pPr>
      <w:r>
        <w:rPr>
          <w:rFonts w:ascii="Arial" w:hAnsi="Arial" w:cs="Arial"/>
          <w:sz w:val="20"/>
          <w:szCs w:val="20"/>
          <w:lang/>
        </w:rPr>
        <w:t xml:space="preserve">In 2010, </w:t>
      </w:r>
      <w:proofErr w:type="gramStart"/>
      <w:r>
        <w:rPr>
          <w:rFonts w:ascii="Arial" w:hAnsi="Arial" w:cs="Arial"/>
          <w:sz w:val="20"/>
          <w:szCs w:val="20"/>
          <w:lang/>
        </w:rPr>
        <w:t>three hundred Fridge Tags (FT) to monitor temperatures</w:t>
      </w:r>
      <w:proofErr w:type="gramEnd"/>
      <w:r>
        <w:rPr>
          <w:rFonts w:ascii="Arial" w:hAnsi="Arial" w:cs="Arial"/>
          <w:sz w:val="20"/>
          <w:szCs w:val="20"/>
          <w:lang/>
        </w:rPr>
        <w:t xml:space="preserve"> were installed in EPI refrigerators of four </w:t>
      </w:r>
      <w:proofErr w:type="spellStart"/>
      <w:r>
        <w:rPr>
          <w:rFonts w:ascii="Arial" w:hAnsi="Arial" w:cs="Arial"/>
          <w:sz w:val="20"/>
          <w:szCs w:val="20"/>
          <w:lang/>
        </w:rPr>
        <w:t>of ten</w:t>
      </w:r>
      <w:proofErr w:type="spellEnd"/>
      <w:r>
        <w:rPr>
          <w:rFonts w:ascii="Arial" w:hAnsi="Arial" w:cs="Arial"/>
          <w:sz w:val="20"/>
          <w:szCs w:val="20"/>
          <w:lang/>
        </w:rPr>
        <w:t xml:space="preserve"> departments of the country. Temperature records are analyzed regularly.  Four hundred more FTs are being installed in EPI refrigerators. By end 2012, all EPI refrigerators will be systematically monitored.  UNICEF procured these fridge tags for the Government, and continues to be willing to expand efforts. </w:t>
      </w:r>
    </w:p>
    <w:p w:rsidR="00165178" w:rsidRDefault="00165178" w:rsidP="00165178">
      <w:pPr>
        <w:autoSpaceDE w:val="0"/>
        <w:autoSpaceDN w:val="0"/>
        <w:adjustRightInd w:val="0"/>
        <w:ind w:left="360"/>
        <w:rPr>
          <w:rFonts w:ascii="Arial" w:hAnsi="Arial" w:cs="Arial"/>
          <w:sz w:val="20"/>
          <w:szCs w:val="20"/>
          <w:lang/>
        </w:rPr>
      </w:pPr>
    </w:p>
    <w:p w:rsidR="00165178" w:rsidRDefault="00165178" w:rsidP="00165178">
      <w:pPr>
        <w:numPr>
          <w:ilvl w:val="0"/>
          <w:numId w:val="1"/>
        </w:numPr>
        <w:autoSpaceDE w:val="0"/>
        <w:autoSpaceDN w:val="0"/>
        <w:adjustRightInd w:val="0"/>
        <w:ind w:left="360" w:hanging="360"/>
        <w:rPr>
          <w:rFonts w:ascii="Arial" w:hAnsi="Arial" w:cs="Arial"/>
          <w:sz w:val="20"/>
          <w:szCs w:val="20"/>
          <w:lang/>
        </w:rPr>
      </w:pPr>
      <w:r>
        <w:rPr>
          <w:rFonts w:ascii="Arial" w:hAnsi="Arial" w:cs="Arial"/>
          <w:sz w:val="20"/>
          <w:szCs w:val="20"/>
          <w:lang/>
        </w:rPr>
        <w:t xml:space="preserve">To reduce the burden of high recurrent costs for gas, while eliminating the heavy logistics of distributing gas cylinders, the </w:t>
      </w:r>
      <w:proofErr w:type="spellStart"/>
      <w:r>
        <w:rPr>
          <w:rFonts w:ascii="Arial" w:hAnsi="Arial" w:cs="Arial"/>
          <w:sz w:val="20"/>
          <w:szCs w:val="20"/>
          <w:lang/>
        </w:rPr>
        <w:t>cMyP</w:t>
      </w:r>
      <w:proofErr w:type="spellEnd"/>
      <w:r>
        <w:rPr>
          <w:rFonts w:ascii="Arial" w:hAnsi="Arial" w:cs="Arial"/>
          <w:sz w:val="20"/>
          <w:szCs w:val="20"/>
          <w:lang/>
        </w:rPr>
        <w:t xml:space="preserve"> (complete Multiyear Plan) 2011-2015 of EPI has decided to gradually phase out all gas operated refrigerators by 2015. UNICEF continues to support the planning and realization of this effort. </w:t>
      </w:r>
    </w:p>
    <w:p w:rsidR="00165178" w:rsidRPr="00165178" w:rsidRDefault="00165178" w:rsidP="00165178">
      <w:pPr>
        <w:keepNext/>
        <w:tabs>
          <w:tab w:val="left" w:pos="360"/>
        </w:tabs>
        <w:autoSpaceDE w:val="0"/>
        <w:autoSpaceDN w:val="0"/>
        <w:adjustRightInd w:val="0"/>
        <w:spacing w:before="240" w:after="60" w:line="240" w:lineRule="auto"/>
        <w:ind w:left="360" w:hanging="360"/>
        <w:rPr>
          <w:rFonts w:ascii="Arial" w:hAnsi="Arial" w:cs="Arial"/>
          <w:sz w:val="32"/>
          <w:szCs w:val="32"/>
          <w:highlight w:val="cyan"/>
          <w:lang/>
        </w:rPr>
      </w:pPr>
      <w:r w:rsidRPr="00165178">
        <w:rPr>
          <w:rFonts w:ascii="Arial" w:hAnsi="Arial" w:cs="Arial"/>
          <w:sz w:val="32"/>
          <w:szCs w:val="32"/>
          <w:highlight w:val="cyan"/>
          <w:lang/>
        </w:rPr>
        <w:t xml:space="preserve">4.    SUMMARY OF REHABILITATION PLAN FOR CCL FOR EPI </w:t>
      </w:r>
    </w:p>
    <w:p w:rsidR="00165178" w:rsidRDefault="00165178" w:rsidP="00165178">
      <w:pPr>
        <w:autoSpaceDE w:val="0"/>
        <w:autoSpaceDN w:val="0"/>
        <w:adjustRightInd w:val="0"/>
        <w:rPr>
          <w:rFonts w:ascii="Calibri" w:hAnsi="Calibri" w:cs="Calibri"/>
          <w:lang/>
        </w:rPr>
      </w:pPr>
    </w:p>
    <w:p w:rsidR="00165178" w:rsidRDefault="00165178" w:rsidP="00165178">
      <w:pPr>
        <w:autoSpaceDE w:val="0"/>
        <w:autoSpaceDN w:val="0"/>
        <w:adjustRightInd w:val="0"/>
        <w:spacing w:after="0" w:line="240" w:lineRule="auto"/>
        <w:rPr>
          <w:rFonts w:ascii="Arial" w:hAnsi="Arial" w:cs="Arial"/>
          <w:b/>
          <w:bCs/>
          <w:sz w:val="20"/>
          <w:szCs w:val="20"/>
          <w:lang/>
        </w:rPr>
      </w:pPr>
      <w:r>
        <w:rPr>
          <w:rFonts w:ascii="Arial" w:hAnsi="Arial" w:cs="Arial"/>
          <w:b/>
          <w:bCs/>
          <w:sz w:val="20"/>
          <w:szCs w:val="20"/>
          <w:lang/>
        </w:rPr>
        <w:t xml:space="preserve">Objectives </w:t>
      </w:r>
    </w:p>
    <w:p w:rsidR="00165178" w:rsidRDefault="00165178" w:rsidP="00165178">
      <w:pPr>
        <w:autoSpaceDE w:val="0"/>
        <w:autoSpaceDN w:val="0"/>
        <w:adjustRightInd w:val="0"/>
        <w:spacing w:after="0" w:line="240" w:lineRule="auto"/>
        <w:rPr>
          <w:rFonts w:ascii="Arial" w:hAnsi="Arial" w:cs="Arial"/>
          <w:b/>
          <w:bCs/>
          <w:sz w:val="20"/>
          <w:szCs w:val="20"/>
          <w:lang/>
        </w:rPr>
      </w:pPr>
    </w:p>
    <w:p w:rsidR="00165178" w:rsidRDefault="00165178" w:rsidP="00165178">
      <w:pPr>
        <w:numPr>
          <w:ilvl w:val="0"/>
          <w:numId w:val="1"/>
        </w:numPr>
        <w:tabs>
          <w:tab w:val="left" w:pos="720"/>
        </w:tabs>
        <w:autoSpaceDE w:val="0"/>
        <w:autoSpaceDN w:val="0"/>
        <w:adjustRightInd w:val="0"/>
        <w:spacing w:after="0" w:line="240" w:lineRule="auto"/>
        <w:ind w:left="720" w:hanging="360"/>
        <w:rPr>
          <w:rFonts w:ascii="Arial" w:hAnsi="Arial" w:cs="Arial"/>
          <w:sz w:val="20"/>
          <w:szCs w:val="20"/>
          <w:lang/>
        </w:rPr>
      </w:pPr>
      <w:r>
        <w:rPr>
          <w:rFonts w:ascii="Arial" w:hAnsi="Arial" w:cs="Arial"/>
          <w:sz w:val="20"/>
          <w:szCs w:val="20"/>
          <w:lang/>
        </w:rPr>
        <w:t>To expand the storage capacity of the Central Cold Store;</w:t>
      </w:r>
    </w:p>
    <w:p w:rsidR="00165178" w:rsidRDefault="00165178" w:rsidP="00165178">
      <w:pPr>
        <w:numPr>
          <w:ilvl w:val="0"/>
          <w:numId w:val="1"/>
        </w:numPr>
        <w:tabs>
          <w:tab w:val="left" w:pos="720"/>
        </w:tabs>
        <w:autoSpaceDE w:val="0"/>
        <w:autoSpaceDN w:val="0"/>
        <w:adjustRightInd w:val="0"/>
        <w:spacing w:after="0" w:line="240" w:lineRule="auto"/>
        <w:ind w:left="720" w:hanging="360"/>
        <w:rPr>
          <w:rFonts w:ascii="Arial" w:hAnsi="Arial" w:cs="Arial"/>
          <w:sz w:val="20"/>
          <w:szCs w:val="20"/>
          <w:lang/>
        </w:rPr>
      </w:pPr>
      <w:r>
        <w:rPr>
          <w:rFonts w:ascii="Arial" w:hAnsi="Arial" w:cs="Arial"/>
          <w:sz w:val="20"/>
          <w:szCs w:val="20"/>
          <w:lang/>
        </w:rPr>
        <w:t>To strengthen cold chain capability at thirty Departmental and sub departmental vaccine depots;</w:t>
      </w:r>
    </w:p>
    <w:p w:rsidR="00165178" w:rsidRDefault="00165178" w:rsidP="00165178">
      <w:pPr>
        <w:numPr>
          <w:ilvl w:val="0"/>
          <w:numId w:val="1"/>
        </w:numPr>
        <w:tabs>
          <w:tab w:val="left" w:pos="720"/>
        </w:tabs>
        <w:autoSpaceDE w:val="0"/>
        <w:autoSpaceDN w:val="0"/>
        <w:adjustRightInd w:val="0"/>
        <w:spacing w:after="0" w:line="240" w:lineRule="auto"/>
        <w:ind w:left="720" w:hanging="360"/>
        <w:rPr>
          <w:rFonts w:ascii="Arial" w:hAnsi="Arial" w:cs="Arial"/>
          <w:sz w:val="20"/>
          <w:szCs w:val="20"/>
          <w:lang/>
        </w:rPr>
      </w:pPr>
      <w:r>
        <w:rPr>
          <w:rFonts w:ascii="Arial" w:hAnsi="Arial" w:cs="Arial"/>
          <w:sz w:val="20"/>
          <w:szCs w:val="20"/>
          <w:lang/>
        </w:rPr>
        <w:t>To reorganize cold chain maintenance at the Intermediate and peripheral levels;</w:t>
      </w:r>
    </w:p>
    <w:p w:rsidR="00165178" w:rsidRDefault="00165178" w:rsidP="00165178">
      <w:pPr>
        <w:numPr>
          <w:ilvl w:val="0"/>
          <w:numId w:val="1"/>
        </w:numPr>
        <w:tabs>
          <w:tab w:val="left" w:pos="720"/>
        </w:tabs>
        <w:autoSpaceDE w:val="0"/>
        <w:autoSpaceDN w:val="0"/>
        <w:adjustRightInd w:val="0"/>
        <w:spacing w:after="0" w:line="240" w:lineRule="auto"/>
        <w:ind w:left="720" w:hanging="360"/>
        <w:rPr>
          <w:rFonts w:ascii="Arial" w:hAnsi="Arial" w:cs="Arial"/>
          <w:sz w:val="20"/>
          <w:szCs w:val="20"/>
          <w:lang/>
        </w:rPr>
      </w:pPr>
      <w:r>
        <w:rPr>
          <w:rFonts w:ascii="Arial" w:hAnsi="Arial" w:cs="Arial"/>
          <w:sz w:val="20"/>
          <w:szCs w:val="20"/>
          <w:lang/>
        </w:rPr>
        <w:t>To rehabilitate existing incinerators, and to expand network;</w:t>
      </w:r>
    </w:p>
    <w:p w:rsidR="00165178" w:rsidRDefault="00165178" w:rsidP="00165178">
      <w:pPr>
        <w:numPr>
          <w:ilvl w:val="0"/>
          <w:numId w:val="1"/>
        </w:numPr>
        <w:tabs>
          <w:tab w:val="left" w:pos="720"/>
        </w:tabs>
        <w:autoSpaceDE w:val="0"/>
        <w:autoSpaceDN w:val="0"/>
        <w:adjustRightInd w:val="0"/>
        <w:spacing w:after="0" w:line="240" w:lineRule="auto"/>
        <w:ind w:left="720" w:hanging="360"/>
        <w:rPr>
          <w:rFonts w:ascii="Arial" w:hAnsi="Arial" w:cs="Arial"/>
          <w:sz w:val="20"/>
          <w:szCs w:val="20"/>
          <w:lang/>
        </w:rPr>
      </w:pPr>
      <w:r>
        <w:rPr>
          <w:rFonts w:ascii="Arial" w:hAnsi="Arial" w:cs="Arial"/>
          <w:sz w:val="20"/>
          <w:szCs w:val="20"/>
          <w:lang/>
        </w:rPr>
        <w:t>To strengthen the capacity of cold chain technicians;</w:t>
      </w:r>
    </w:p>
    <w:p w:rsidR="00165178" w:rsidRDefault="00165178" w:rsidP="00165178">
      <w:pPr>
        <w:numPr>
          <w:ilvl w:val="0"/>
          <w:numId w:val="1"/>
        </w:numPr>
        <w:tabs>
          <w:tab w:val="left" w:pos="720"/>
        </w:tabs>
        <w:autoSpaceDE w:val="0"/>
        <w:autoSpaceDN w:val="0"/>
        <w:adjustRightInd w:val="0"/>
        <w:spacing w:after="0" w:line="240" w:lineRule="auto"/>
        <w:ind w:left="720" w:hanging="360"/>
        <w:rPr>
          <w:rFonts w:ascii="Arial" w:hAnsi="Arial" w:cs="Arial"/>
          <w:sz w:val="20"/>
          <w:szCs w:val="20"/>
          <w:lang/>
        </w:rPr>
      </w:pPr>
      <w:r>
        <w:rPr>
          <w:rFonts w:ascii="Arial" w:hAnsi="Arial" w:cs="Arial"/>
          <w:sz w:val="20"/>
          <w:szCs w:val="20"/>
          <w:lang/>
        </w:rPr>
        <w:t>To strengthen the logistics capacity.</w:t>
      </w:r>
    </w:p>
    <w:p w:rsidR="00165178" w:rsidRDefault="00165178" w:rsidP="00165178">
      <w:pPr>
        <w:autoSpaceDE w:val="0"/>
        <w:autoSpaceDN w:val="0"/>
        <w:adjustRightInd w:val="0"/>
        <w:spacing w:after="0" w:line="240" w:lineRule="auto"/>
        <w:ind w:left="720"/>
        <w:rPr>
          <w:rFonts w:ascii="Arial" w:hAnsi="Arial" w:cs="Arial"/>
          <w:lang/>
        </w:rPr>
      </w:pPr>
    </w:p>
    <w:p w:rsidR="00165178" w:rsidRDefault="00165178" w:rsidP="00165178">
      <w:pPr>
        <w:autoSpaceDE w:val="0"/>
        <w:autoSpaceDN w:val="0"/>
        <w:adjustRightInd w:val="0"/>
        <w:spacing w:after="0" w:line="240" w:lineRule="auto"/>
        <w:rPr>
          <w:rFonts w:ascii="Arial" w:hAnsi="Arial" w:cs="Arial"/>
          <w:b/>
          <w:bCs/>
          <w:sz w:val="20"/>
          <w:szCs w:val="20"/>
          <w:lang/>
        </w:rPr>
      </w:pPr>
      <w:r>
        <w:rPr>
          <w:rFonts w:ascii="Arial" w:hAnsi="Arial" w:cs="Arial"/>
          <w:b/>
          <w:bCs/>
          <w:sz w:val="20"/>
          <w:szCs w:val="20"/>
          <w:lang/>
        </w:rPr>
        <w:t xml:space="preserve">Strategies </w:t>
      </w:r>
    </w:p>
    <w:p w:rsidR="00165178" w:rsidRDefault="00165178" w:rsidP="00165178">
      <w:pPr>
        <w:autoSpaceDE w:val="0"/>
        <w:autoSpaceDN w:val="0"/>
        <w:adjustRightInd w:val="0"/>
        <w:spacing w:after="0" w:line="240" w:lineRule="auto"/>
        <w:rPr>
          <w:rFonts w:ascii="Arial" w:hAnsi="Arial" w:cs="Arial"/>
          <w:lang/>
        </w:rPr>
      </w:pPr>
    </w:p>
    <w:p w:rsidR="00165178" w:rsidRDefault="00165178" w:rsidP="00165178">
      <w:pPr>
        <w:numPr>
          <w:ilvl w:val="0"/>
          <w:numId w:val="1"/>
        </w:numPr>
        <w:tabs>
          <w:tab w:val="left" w:pos="720"/>
        </w:tabs>
        <w:autoSpaceDE w:val="0"/>
        <w:autoSpaceDN w:val="0"/>
        <w:adjustRightInd w:val="0"/>
        <w:spacing w:after="0" w:line="240" w:lineRule="auto"/>
        <w:ind w:left="720" w:hanging="360"/>
        <w:rPr>
          <w:rFonts w:ascii="Arial" w:hAnsi="Arial" w:cs="Arial"/>
          <w:sz w:val="20"/>
          <w:szCs w:val="20"/>
          <w:lang/>
        </w:rPr>
      </w:pPr>
      <w:r>
        <w:rPr>
          <w:rFonts w:ascii="Arial" w:hAnsi="Arial" w:cs="Arial"/>
          <w:sz w:val="20"/>
          <w:szCs w:val="20"/>
          <w:lang/>
        </w:rPr>
        <w:t>Upgrade the central cold store at PROMESS;</w:t>
      </w:r>
    </w:p>
    <w:p w:rsidR="00165178" w:rsidRDefault="00165178" w:rsidP="00165178">
      <w:pPr>
        <w:numPr>
          <w:ilvl w:val="0"/>
          <w:numId w:val="1"/>
        </w:numPr>
        <w:tabs>
          <w:tab w:val="left" w:pos="720"/>
        </w:tabs>
        <w:autoSpaceDE w:val="0"/>
        <w:autoSpaceDN w:val="0"/>
        <w:adjustRightInd w:val="0"/>
        <w:spacing w:after="0" w:line="240" w:lineRule="auto"/>
        <w:ind w:left="720" w:hanging="360"/>
        <w:rPr>
          <w:rFonts w:ascii="Arial" w:hAnsi="Arial" w:cs="Arial"/>
          <w:sz w:val="20"/>
          <w:szCs w:val="20"/>
          <w:lang/>
        </w:rPr>
      </w:pPr>
      <w:r>
        <w:rPr>
          <w:rFonts w:ascii="Arial" w:hAnsi="Arial" w:cs="Arial"/>
          <w:sz w:val="20"/>
          <w:szCs w:val="20"/>
          <w:lang/>
        </w:rPr>
        <w:t>Install new, large capacity electrical refrigerators at thirty intermediate vaccine depots ;</w:t>
      </w:r>
    </w:p>
    <w:p w:rsidR="00165178" w:rsidRDefault="00165178" w:rsidP="00165178">
      <w:pPr>
        <w:numPr>
          <w:ilvl w:val="0"/>
          <w:numId w:val="1"/>
        </w:numPr>
        <w:tabs>
          <w:tab w:val="left" w:pos="720"/>
        </w:tabs>
        <w:autoSpaceDE w:val="0"/>
        <w:autoSpaceDN w:val="0"/>
        <w:adjustRightInd w:val="0"/>
        <w:spacing w:after="0" w:line="240" w:lineRule="auto"/>
        <w:ind w:left="720" w:hanging="360"/>
        <w:rPr>
          <w:rFonts w:ascii="Arial" w:hAnsi="Arial" w:cs="Arial"/>
          <w:sz w:val="20"/>
          <w:szCs w:val="20"/>
          <w:lang/>
        </w:rPr>
      </w:pPr>
      <w:r>
        <w:rPr>
          <w:rFonts w:ascii="Arial" w:hAnsi="Arial" w:cs="Arial"/>
          <w:sz w:val="20"/>
          <w:szCs w:val="20"/>
          <w:lang/>
        </w:rPr>
        <w:lastRenderedPageBreak/>
        <w:t>Establish operational capability for cold chain maintenance and repair;</w:t>
      </w:r>
    </w:p>
    <w:p w:rsidR="00165178" w:rsidRDefault="00165178" w:rsidP="00165178">
      <w:pPr>
        <w:numPr>
          <w:ilvl w:val="0"/>
          <w:numId w:val="1"/>
        </w:numPr>
        <w:tabs>
          <w:tab w:val="left" w:pos="720"/>
        </w:tabs>
        <w:autoSpaceDE w:val="0"/>
        <w:autoSpaceDN w:val="0"/>
        <w:adjustRightInd w:val="0"/>
        <w:spacing w:after="0" w:line="240" w:lineRule="auto"/>
        <w:ind w:left="720" w:hanging="360"/>
        <w:rPr>
          <w:rFonts w:ascii="Arial" w:hAnsi="Arial" w:cs="Arial"/>
          <w:sz w:val="20"/>
          <w:szCs w:val="20"/>
          <w:lang/>
        </w:rPr>
      </w:pPr>
      <w:r>
        <w:rPr>
          <w:rFonts w:ascii="Arial" w:hAnsi="Arial" w:cs="Arial"/>
          <w:sz w:val="20"/>
          <w:szCs w:val="20"/>
          <w:lang/>
        </w:rPr>
        <w:t>Establish and manage a network of incinerators;</w:t>
      </w:r>
    </w:p>
    <w:p w:rsidR="00165178" w:rsidRDefault="00165178" w:rsidP="00165178">
      <w:pPr>
        <w:numPr>
          <w:ilvl w:val="0"/>
          <w:numId w:val="1"/>
        </w:numPr>
        <w:tabs>
          <w:tab w:val="left" w:pos="720"/>
        </w:tabs>
        <w:autoSpaceDE w:val="0"/>
        <w:autoSpaceDN w:val="0"/>
        <w:adjustRightInd w:val="0"/>
        <w:spacing w:after="0" w:line="240" w:lineRule="auto"/>
        <w:ind w:left="720" w:hanging="360"/>
        <w:rPr>
          <w:rFonts w:ascii="Arial" w:hAnsi="Arial" w:cs="Arial"/>
          <w:sz w:val="20"/>
          <w:szCs w:val="20"/>
          <w:lang/>
        </w:rPr>
      </w:pPr>
      <w:r>
        <w:rPr>
          <w:rFonts w:ascii="Arial" w:hAnsi="Arial" w:cs="Arial"/>
          <w:sz w:val="20"/>
          <w:szCs w:val="20"/>
          <w:lang/>
        </w:rPr>
        <w:t>Trained cold chain technicians;</w:t>
      </w:r>
    </w:p>
    <w:p w:rsidR="00165178" w:rsidRDefault="00165178" w:rsidP="00165178">
      <w:pPr>
        <w:numPr>
          <w:ilvl w:val="0"/>
          <w:numId w:val="1"/>
        </w:numPr>
        <w:tabs>
          <w:tab w:val="left" w:pos="720"/>
        </w:tabs>
        <w:autoSpaceDE w:val="0"/>
        <w:autoSpaceDN w:val="0"/>
        <w:adjustRightInd w:val="0"/>
        <w:spacing w:after="0" w:line="240" w:lineRule="auto"/>
        <w:ind w:left="720" w:hanging="360"/>
        <w:rPr>
          <w:rFonts w:ascii="Arial" w:hAnsi="Arial" w:cs="Arial"/>
          <w:sz w:val="20"/>
          <w:szCs w:val="20"/>
          <w:lang/>
        </w:rPr>
      </w:pPr>
      <w:r>
        <w:rPr>
          <w:rFonts w:ascii="Arial" w:hAnsi="Arial" w:cs="Arial"/>
          <w:sz w:val="20"/>
          <w:szCs w:val="20"/>
          <w:lang/>
        </w:rPr>
        <w:t>Purchase vehicles and motorcycles for the improvement of cold chain system.</w:t>
      </w:r>
    </w:p>
    <w:p w:rsidR="00165178" w:rsidRDefault="00165178" w:rsidP="00165178">
      <w:pPr>
        <w:autoSpaceDE w:val="0"/>
        <w:autoSpaceDN w:val="0"/>
        <w:adjustRightInd w:val="0"/>
        <w:spacing w:after="0" w:line="240" w:lineRule="auto"/>
        <w:ind w:left="720"/>
        <w:rPr>
          <w:rFonts w:ascii="Arial" w:hAnsi="Arial" w:cs="Arial"/>
          <w:lang/>
        </w:rPr>
      </w:pPr>
    </w:p>
    <w:p w:rsidR="00165178" w:rsidRDefault="00165178" w:rsidP="00165178">
      <w:pPr>
        <w:autoSpaceDE w:val="0"/>
        <w:autoSpaceDN w:val="0"/>
        <w:adjustRightInd w:val="0"/>
        <w:spacing w:after="0" w:line="240" w:lineRule="auto"/>
        <w:rPr>
          <w:rFonts w:ascii="Arial" w:hAnsi="Arial" w:cs="Arial"/>
          <w:b/>
          <w:bCs/>
          <w:sz w:val="20"/>
          <w:szCs w:val="20"/>
          <w:lang/>
        </w:rPr>
      </w:pPr>
    </w:p>
    <w:p w:rsidR="00165178" w:rsidRPr="00165178" w:rsidRDefault="00165178" w:rsidP="00165178">
      <w:pPr>
        <w:keepNext/>
        <w:tabs>
          <w:tab w:val="left" w:pos="360"/>
        </w:tabs>
        <w:autoSpaceDE w:val="0"/>
        <w:autoSpaceDN w:val="0"/>
        <w:adjustRightInd w:val="0"/>
        <w:spacing w:before="240" w:after="60" w:line="240" w:lineRule="auto"/>
        <w:ind w:left="360" w:hanging="360"/>
        <w:rPr>
          <w:rFonts w:ascii="Arial" w:hAnsi="Arial" w:cs="Arial"/>
          <w:sz w:val="32"/>
          <w:szCs w:val="32"/>
          <w:highlight w:val="cyan"/>
          <w:lang/>
        </w:rPr>
      </w:pPr>
      <w:r w:rsidRPr="00165178">
        <w:rPr>
          <w:rFonts w:ascii="Arial" w:hAnsi="Arial" w:cs="Arial"/>
          <w:sz w:val="32"/>
          <w:szCs w:val="32"/>
          <w:highlight w:val="cyan"/>
          <w:lang/>
        </w:rPr>
        <w:t>5.    Budget Projections</w:t>
      </w:r>
    </w:p>
    <w:p w:rsidR="00165178" w:rsidRDefault="00165178" w:rsidP="00165178">
      <w:pPr>
        <w:autoSpaceDE w:val="0"/>
        <w:autoSpaceDN w:val="0"/>
        <w:adjustRightInd w:val="0"/>
        <w:spacing w:after="0" w:line="240" w:lineRule="auto"/>
        <w:rPr>
          <w:rFonts w:ascii="Arial" w:hAnsi="Arial" w:cs="Arial"/>
          <w:b/>
          <w:bCs/>
          <w:sz w:val="20"/>
          <w:szCs w:val="20"/>
          <w:lang/>
        </w:rPr>
      </w:pPr>
    </w:p>
    <w:p w:rsidR="00165178" w:rsidRDefault="00165178" w:rsidP="00165178">
      <w:pPr>
        <w:autoSpaceDE w:val="0"/>
        <w:autoSpaceDN w:val="0"/>
        <w:adjustRightInd w:val="0"/>
        <w:spacing w:after="0" w:line="240" w:lineRule="auto"/>
        <w:rPr>
          <w:rFonts w:ascii="Arial" w:hAnsi="Arial" w:cs="Arial"/>
          <w:lang/>
        </w:rPr>
      </w:pPr>
      <w:r>
        <w:rPr>
          <w:rFonts w:ascii="Arial" w:hAnsi="Arial" w:cs="Arial"/>
          <w:lang/>
        </w:rPr>
        <w:t xml:space="preserve">The total investment required to strengthen Haiti’s EPI cold chain up till end 2012 is </w:t>
      </w:r>
      <w:r>
        <w:rPr>
          <w:rFonts w:ascii="Arial" w:hAnsi="Arial" w:cs="Arial"/>
          <w:b/>
          <w:bCs/>
          <w:lang/>
        </w:rPr>
        <w:t>US</w:t>
      </w:r>
      <w:r>
        <w:rPr>
          <w:rFonts w:ascii="Arial" w:hAnsi="Arial" w:cs="Arial"/>
          <w:lang/>
        </w:rPr>
        <w:t xml:space="preserve"> </w:t>
      </w:r>
      <w:r>
        <w:rPr>
          <w:rFonts w:ascii="Arial" w:hAnsi="Arial" w:cs="Arial"/>
          <w:b/>
          <w:bCs/>
          <w:lang/>
        </w:rPr>
        <w:t>$9,349,512</w:t>
      </w:r>
      <w:r>
        <w:rPr>
          <w:rFonts w:ascii="Arial" w:hAnsi="Arial" w:cs="Arial"/>
          <w:lang/>
        </w:rPr>
        <w:t xml:space="preserve">. The funded amount is US $4,201,200. Thus a funding gap of US </w:t>
      </w:r>
      <w:r>
        <w:rPr>
          <w:rFonts w:ascii="Arial" w:hAnsi="Arial" w:cs="Arial"/>
          <w:b/>
          <w:bCs/>
          <w:lang/>
        </w:rPr>
        <w:t xml:space="preserve">$5,433,912 </w:t>
      </w:r>
      <w:r>
        <w:rPr>
          <w:rFonts w:ascii="Arial" w:hAnsi="Arial" w:cs="Arial"/>
          <w:lang/>
        </w:rPr>
        <w:t>remains to be filled.</w:t>
      </w:r>
    </w:p>
    <w:p w:rsidR="00165178" w:rsidRDefault="00165178" w:rsidP="00165178">
      <w:pPr>
        <w:autoSpaceDE w:val="0"/>
        <w:autoSpaceDN w:val="0"/>
        <w:adjustRightInd w:val="0"/>
        <w:spacing w:after="0" w:line="240" w:lineRule="auto"/>
        <w:rPr>
          <w:rFonts w:ascii="Arial" w:hAnsi="Arial" w:cs="Arial"/>
          <w:lang/>
        </w:rPr>
      </w:pPr>
    </w:p>
    <w:p w:rsidR="00165178" w:rsidRDefault="00165178" w:rsidP="00165178">
      <w:pPr>
        <w:autoSpaceDE w:val="0"/>
        <w:autoSpaceDN w:val="0"/>
        <w:adjustRightInd w:val="0"/>
        <w:spacing w:after="0" w:line="240" w:lineRule="auto"/>
        <w:rPr>
          <w:rFonts w:ascii="Arial" w:hAnsi="Arial" w:cs="Arial"/>
          <w:b/>
          <w:bCs/>
          <w:lang/>
        </w:rPr>
      </w:pPr>
      <w:r>
        <w:rPr>
          <w:rFonts w:ascii="Arial" w:hAnsi="Arial" w:cs="Arial"/>
          <w:lang/>
        </w:rPr>
        <w:t xml:space="preserve">With the projection of the budget from 2013 to 2023, the total investment needed is of US $ </w:t>
      </w:r>
      <w:r>
        <w:rPr>
          <w:rFonts w:ascii="Arial" w:hAnsi="Arial" w:cs="Arial"/>
          <w:b/>
          <w:bCs/>
          <w:lang/>
        </w:rPr>
        <w:t>19,907,382</w:t>
      </w:r>
      <w:r>
        <w:rPr>
          <w:rFonts w:ascii="Arial" w:hAnsi="Arial" w:cs="Arial"/>
          <w:lang/>
        </w:rPr>
        <w:t xml:space="preserve">. No funding amount is available now. Thus the funding gap is </w:t>
      </w:r>
      <w:r>
        <w:rPr>
          <w:rFonts w:ascii="Arial" w:hAnsi="Arial" w:cs="Arial"/>
          <w:b/>
          <w:bCs/>
          <w:lang/>
        </w:rPr>
        <w:t>US $ 19,907,382.</w:t>
      </w:r>
    </w:p>
    <w:p w:rsidR="00165178" w:rsidRDefault="00165178" w:rsidP="00165178">
      <w:pPr>
        <w:autoSpaceDE w:val="0"/>
        <w:autoSpaceDN w:val="0"/>
        <w:adjustRightInd w:val="0"/>
        <w:spacing w:after="0" w:line="240" w:lineRule="auto"/>
        <w:rPr>
          <w:rFonts w:ascii="Arial" w:hAnsi="Arial" w:cs="Arial"/>
          <w:b/>
          <w:bCs/>
          <w:lang/>
        </w:rPr>
      </w:pPr>
    </w:p>
    <w:p w:rsidR="00165178" w:rsidRDefault="00165178" w:rsidP="00165178">
      <w:pPr>
        <w:autoSpaceDE w:val="0"/>
        <w:autoSpaceDN w:val="0"/>
        <w:adjustRightInd w:val="0"/>
        <w:spacing w:after="0" w:line="240" w:lineRule="auto"/>
        <w:rPr>
          <w:rFonts w:ascii="Arial" w:hAnsi="Arial" w:cs="Arial"/>
          <w:sz w:val="18"/>
          <w:szCs w:val="18"/>
          <w:lang/>
        </w:rPr>
      </w:pPr>
      <w:r>
        <w:rPr>
          <w:rFonts w:ascii="Arial" w:hAnsi="Arial" w:cs="Arial"/>
          <w:lang/>
        </w:rPr>
        <w:t xml:space="preserve">UNICEF stands ready to support the Government with procurement of critical cold chain inputs (such as incinerators; generators; solar chills; fridge tags, etc.) as well as provision of technical and financial assistance to build the capacity of the EPI Directorate and MSPP with training, support and mentoring for planning and implementation processes.  </w:t>
      </w:r>
    </w:p>
    <w:p w:rsidR="00165178" w:rsidRDefault="00165178" w:rsidP="00165178">
      <w:pPr>
        <w:autoSpaceDE w:val="0"/>
        <w:autoSpaceDN w:val="0"/>
        <w:adjustRightInd w:val="0"/>
        <w:spacing w:after="0" w:line="240" w:lineRule="auto"/>
        <w:rPr>
          <w:rFonts w:ascii="Arial" w:hAnsi="Arial" w:cs="Arial"/>
          <w:b/>
          <w:bCs/>
          <w:sz w:val="20"/>
          <w:szCs w:val="20"/>
          <w:lang/>
        </w:rPr>
      </w:pPr>
    </w:p>
    <w:p w:rsidR="00165178" w:rsidRDefault="00165178" w:rsidP="00165178">
      <w:pPr>
        <w:autoSpaceDE w:val="0"/>
        <w:autoSpaceDN w:val="0"/>
        <w:adjustRightInd w:val="0"/>
        <w:spacing w:after="0" w:line="240" w:lineRule="auto"/>
        <w:rPr>
          <w:rFonts w:ascii="Arial" w:hAnsi="Arial" w:cs="Arial"/>
          <w:b/>
          <w:bCs/>
          <w:sz w:val="20"/>
          <w:szCs w:val="20"/>
          <w:lang/>
        </w:rPr>
      </w:pPr>
    </w:p>
    <w:p w:rsidR="00165178" w:rsidRDefault="00165178" w:rsidP="00165178">
      <w:pPr>
        <w:autoSpaceDE w:val="0"/>
        <w:autoSpaceDN w:val="0"/>
        <w:adjustRightInd w:val="0"/>
        <w:spacing w:after="0" w:line="240" w:lineRule="auto"/>
        <w:rPr>
          <w:rFonts w:ascii="Arial" w:hAnsi="Arial" w:cs="Arial"/>
          <w:b/>
          <w:bCs/>
          <w:sz w:val="20"/>
          <w:szCs w:val="20"/>
          <w:lang/>
        </w:rPr>
      </w:pPr>
    </w:p>
    <w:p w:rsidR="00165178" w:rsidRDefault="00165178" w:rsidP="00165178">
      <w:pPr>
        <w:autoSpaceDE w:val="0"/>
        <w:autoSpaceDN w:val="0"/>
        <w:adjustRightInd w:val="0"/>
        <w:spacing w:after="0" w:line="240" w:lineRule="auto"/>
        <w:rPr>
          <w:rFonts w:ascii="Arial" w:hAnsi="Arial" w:cs="Arial"/>
          <w:b/>
          <w:bCs/>
          <w:sz w:val="20"/>
          <w:szCs w:val="20"/>
          <w:lang/>
        </w:rPr>
      </w:pPr>
    </w:p>
    <w:p w:rsidR="00165178" w:rsidRDefault="00165178" w:rsidP="00165178">
      <w:pPr>
        <w:autoSpaceDE w:val="0"/>
        <w:autoSpaceDN w:val="0"/>
        <w:adjustRightInd w:val="0"/>
        <w:spacing w:after="0" w:line="240" w:lineRule="auto"/>
        <w:rPr>
          <w:rFonts w:ascii="Arial" w:hAnsi="Arial" w:cs="Arial"/>
          <w:b/>
          <w:bCs/>
          <w:sz w:val="20"/>
          <w:szCs w:val="20"/>
          <w:lang/>
        </w:rPr>
      </w:pPr>
    </w:p>
    <w:p w:rsidR="00165178" w:rsidRDefault="00165178" w:rsidP="00165178">
      <w:pPr>
        <w:autoSpaceDE w:val="0"/>
        <w:autoSpaceDN w:val="0"/>
        <w:adjustRightInd w:val="0"/>
        <w:spacing w:after="0" w:line="240" w:lineRule="auto"/>
        <w:rPr>
          <w:rFonts w:ascii="Arial" w:hAnsi="Arial" w:cs="Arial"/>
          <w:b/>
          <w:bCs/>
          <w:sz w:val="20"/>
          <w:szCs w:val="20"/>
          <w:lang/>
        </w:rPr>
      </w:pPr>
    </w:p>
    <w:p w:rsidR="00165178" w:rsidRDefault="00165178" w:rsidP="00165178">
      <w:pPr>
        <w:autoSpaceDE w:val="0"/>
        <w:autoSpaceDN w:val="0"/>
        <w:adjustRightInd w:val="0"/>
        <w:spacing w:after="0" w:line="240" w:lineRule="auto"/>
        <w:rPr>
          <w:rFonts w:ascii="Arial" w:hAnsi="Arial" w:cs="Arial"/>
          <w:b/>
          <w:bCs/>
          <w:sz w:val="20"/>
          <w:szCs w:val="20"/>
          <w:lang/>
        </w:rPr>
      </w:pPr>
    </w:p>
    <w:p w:rsidR="00165178" w:rsidRDefault="00165178" w:rsidP="00165178">
      <w:pPr>
        <w:keepNext/>
        <w:tabs>
          <w:tab w:val="left" w:pos="360"/>
        </w:tabs>
        <w:autoSpaceDE w:val="0"/>
        <w:autoSpaceDN w:val="0"/>
        <w:adjustRightInd w:val="0"/>
        <w:spacing w:before="240" w:after="60" w:line="240" w:lineRule="auto"/>
        <w:ind w:left="360" w:hanging="360"/>
        <w:rPr>
          <w:rFonts w:ascii="Arial" w:hAnsi="Arial" w:cs="Arial"/>
          <w:color w:val="FFFFFF"/>
          <w:sz w:val="32"/>
          <w:szCs w:val="32"/>
          <w:highlight w:val="cyan"/>
          <w:lang/>
        </w:rPr>
      </w:pPr>
    </w:p>
    <w:p w:rsidR="00165178" w:rsidRPr="00165178" w:rsidRDefault="00165178" w:rsidP="00165178">
      <w:pPr>
        <w:keepNext/>
        <w:tabs>
          <w:tab w:val="left" w:pos="360"/>
        </w:tabs>
        <w:autoSpaceDE w:val="0"/>
        <w:autoSpaceDN w:val="0"/>
        <w:adjustRightInd w:val="0"/>
        <w:spacing w:before="240" w:after="60" w:line="240" w:lineRule="auto"/>
        <w:ind w:left="360" w:hanging="360"/>
        <w:rPr>
          <w:rFonts w:ascii="Arial" w:hAnsi="Arial" w:cs="Arial"/>
          <w:sz w:val="32"/>
          <w:szCs w:val="32"/>
          <w:highlight w:val="cyan"/>
          <w:lang/>
        </w:rPr>
      </w:pPr>
      <w:r w:rsidRPr="00165178">
        <w:rPr>
          <w:rFonts w:ascii="Arial" w:hAnsi="Arial" w:cs="Arial"/>
          <w:sz w:val="32"/>
          <w:szCs w:val="32"/>
          <w:highlight w:val="cyan"/>
          <w:lang/>
        </w:rPr>
        <w:t>6.    ANNEXES</w:t>
      </w:r>
    </w:p>
    <w:p w:rsidR="00165178" w:rsidRDefault="00165178" w:rsidP="00165178">
      <w:pPr>
        <w:numPr>
          <w:ilvl w:val="0"/>
          <w:numId w:val="1"/>
        </w:numPr>
        <w:autoSpaceDE w:val="0"/>
        <w:autoSpaceDN w:val="0"/>
        <w:adjustRightInd w:val="0"/>
        <w:ind w:left="1080" w:hanging="720"/>
        <w:rPr>
          <w:rFonts w:ascii="Arial" w:hAnsi="Arial" w:cs="Arial"/>
          <w:color w:val="009BFD"/>
          <w:lang/>
        </w:rPr>
      </w:pPr>
      <w:r>
        <w:rPr>
          <w:rFonts w:ascii="Arial" w:hAnsi="Arial" w:cs="Arial"/>
          <w:color w:val="009BFD"/>
          <w:lang/>
        </w:rPr>
        <w:t>Budget Projections:</w:t>
      </w:r>
    </w:p>
    <w:p w:rsidR="00165178" w:rsidRDefault="00165178" w:rsidP="00165178">
      <w:pPr>
        <w:numPr>
          <w:ilvl w:val="0"/>
          <w:numId w:val="1"/>
        </w:numPr>
        <w:autoSpaceDE w:val="0"/>
        <w:autoSpaceDN w:val="0"/>
        <w:adjustRightInd w:val="0"/>
        <w:spacing w:after="0" w:line="240" w:lineRule="auto"/>
        <w:ind w:left="720" w:hanging="360"/>
        <w:rPr>
          <w:rFonts w:ascii="Arial" w:hAnsi="Arial" w:cs="Arial"/>
          <w:b/>
          <w:bCs/>
          <w:sz w:val="20"/>
          <w:szCs w:val="20"/>
          <w:lang/>
        </w:rPr>
      </w:pPr>
      <w:r>
        <w:rPr>
          <w:rFonts w:ascii="Arial" w:hAnsi="Arial" w:cs="Arial"/>
          <w:b/>
          <w:bCs/>
          <w:sz w:val="20"/>
          <w:szCs w:val="20"/>
          <w:lang/>
        </w:rPr>
        <w:t xml:space="preserve">For 2011-2012 </w:t>
      </w:r>
    </w:p>
    <w:p w:rsidR="00165178" w:rsidRDefault="00165178" w:rsidP="00165178">
      <w:pPr>
        <w:autoSpaceDE w:val="0"/>
        <w:autoSpaceDN w:val="0"/>
        <w:adjustRightInd w:val="0"/>
        <w:spacing w:after="0" w:line="240" w:lineRule="auto"/>
        <w:rPr>
          <w:rFonts w:ascii="Arial" w:hAnsi="Arial" w:cs="Arial"/>
          <w:sz w:val="20"/>
          <w:szCs w:val="20"/>
          <w:lang/>
        </w:rPr>
        <w:sectPr w:rsidR="00165178" w:rsidSect="00D15D04">
          <w:pgSz w:w="12240" w:h="15840"/>
          <w:pgMar w:top="1440" w:right="1440" w:bottom="1440" w:left="1440" w:header="720" w:footer="720" w:gutter="0"/>
          <w:cols w:space="720"/>
          <w:noEndnote/>
        </w:sectPr>
      </w:pPr>
    </w:p>
    <w:p w:rsidR="00165178" w:rsidRDefault="00165178" w:rsidP="00165178">
      <w:pPr>
        <w:autoSpaceDE w:val="0"/>
        <w:autoSpaceDN w:val="0"/>
        <w:adjustRightInd w:val="0"/>
        <w:spacing w:after="0" w:line="240" w:lineRule="auto"/>
        <w:rPr>
          <w:rFonts w:ascii="Arial" w:hAnsi="Arial" w:cs="Arial"/>
          <w:sz w:val="20"/>
          <w:szCs w:val="20"/>
          <w:lang/>
        </w:rPr>
        <w:sectPr w:rsidR="00165178" w:rsidSect="00165178">
          <w:pgSz w:w="15840" w:h="12240" w:orient="landscape" w:code="1"/>
          <w:pgMar w:top="1440" w:right="1440" w:bottom="1440" w:left="1440" w:header="720" w:footer="720" w:gutter="0"/>
          <w:cols w:space="720"/>
          <w:noEndnote/>
        </w:sectPr>
      </w:pPr>
      <w:r>
        <w:rPr>
          <w:rFonts w:ascii="Calibri" w:hAnsi="Calibri" w:cs="Calibri"/>
          <w:noProof/>
        </w:rPr>
        <w:lastRenderedPageBreak/>
        <w:drawing>
          <wp:inline distT="0" distB="0" distL="0" distR="0">
            <wp:extent cx="7315200" cy="4991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7315200" cy="4991100"/>
                    </a:xfrm>
                    <a:prstGeom prst="rect">
                      <a:avLst/>
                    </a:prstGeom>
                    <a:noFill/>
                    <a:ln w="9525">
                      <a:noFill/>
                      <a:miter lim="800000"/>
                      <a:headEnd/>
                      <a:tailEnd/>
                    </a:ln>
                  </pic:spPr>
                </pic:pic>
              </a:graphicData>
            </a:graphic>
          </wp:inline>
        </w:drawing>
      </w:r>
    </w:p>
    <w:p w:rsidR="00165178" w:rsidRDefault="00165178" w:rsidP="00165178">
      <w:pPr>
        <w:autoSpaceDE w:val="0"/>
        <w:autoSpaceDN w:val="0"/>
        <w:adjustRightInd w:val="0"/>
        <w:spacing w:after="0" w:line="240" w:lineRule="auto"/>
        <w:rPr>
          <w:rFonts w:ascii="Arial" w:hAnsi="Arial" w:cs="Arial"/>
          <w:sz w:val="20"/>
          <w:szCs w:val="20"/>
          <w:lang/>
        </w:rPr>
      </w:pPr>
    </w:p>
    <w:p w:rsidR="00165178" w:rsidRDefault="00165178" w:rsidP="00165178">
      <w:pPr>
        <w:autoSpaceDE w:val="0"/>
        <w:autoSpaceDN w:val="0"/>
        <w:adjustRightInd w:val="0"/>
        <w:spacing w:after="0" w:line="240" w:lineRule="auto"/>
        <w:rPr>
          <w:rFonts w:ascii="Arial" w:hAnsi="Arial" w:cs="Arial"/>
          <w:color w:val="009BFD"/>
          <w:sz w:val="20"/>
          <w:szCs w:val="20"/>
          <w:lang/>
        </w:rPr>
      </w:pPr>
    </w:p>
    <w:p w:rsidR="00165178" w:rsidRDefault="00165178" w:rsidP="00165178">
      <w:pPr>
        <w:numPr>
          <w:ilvl w:val="0"/>
          <w:numId w:val="1"/>
        </w:numPr>
        <w:autoSpaceDE w:val="0"/>
        <w:autoSpaceDN w:val="0"/>
        <w:adjustRightInd w:val="0"/>
        <w:ind w:left="1080" w:hanging="720"/>
        <w:rPr>
          <w:rFonts w:ascii="Arial" w:hAnsi="Arial" w:cs="Arial"/>
          <w:b/>
          <w:bCs/>
          <w:color w:val="009BFD"/>
          <w:lang/>
        </w:rPr>
      </w:pPr>
      <w:r>
        <w:rPr>
          <w:rFonts w:ascii="Arial" w:hAnsi="Arial" w:cs="Arial"/>
          <w:b/>
          <w:bCs/>
          <w:color w:val="009BFD"/>
          <w:lang/>
        </w:rPr>
        <w:t>Indicative Short-Term Timeline</w:t>
      </w:r>
    </w:p>
    <w:tbl>
      <w:tblPr>
        <w:tblW w:w="0" w:type="auto"/>
        <w:jc w:val="center"/>
        <w:tblLayout w:type="fixed"/>
        <w:tblCellMar>
          <w:left w:w="70" w:type="dxa"/>
          <w:right w:w="70" w:type="dxa"/>
        </w:tblCellMar>
        <w:tblLook w:val="0000"/>
      </w:tblPr>
      <w:tblGrid>
        <w:gridCol w:w="4313"/>
        <w:gridCol w:w="337"/>
        <w:gridCol w:w="337"/>
        <w:gridCol w:w="337"/>
        <w:gridCol w:w="337"/>
        <w:gridCol w:w="338"/>
        <w:gridCol w:w="338"/>
        <w:gridCol w:w="338"/>
        <w:gridCol w:w="338"/>
        <w:gridCol w:w="338"/>
        <w:gridCol w:w="469"/>
        <w:gridCol w:w="469"/>
        <w:gridCol w:w="469"/>
        <w:gridCol w:w="338"/>
        <w:gridCol w:w="338"/>
        <w:gridCol w:w="338"/>
        <w:gridCol w:w="338"/>
        <w:gridCol w:w="338"/>
        <w:gridCol w:w="338"/>
        <w:gridCol w:w="338"/>
        <w:gridCol w:w="338"/>
        <w:gridCol w:w="338"/>
        <w:gridCol w:w="469"/>
        <w:gridCol w:w="469"/>
        <w:gridCol w:w="448"/>
      </w:tblGrid>
      <w:tr w:rsidR="00165178">
        <w:tblPrEx>
          <w:tblCellMar>
            <w:top w:w="0" w:type="dxa"/>
            <w:bottom w:w="0" w:type="dxa"/>
          </w:tblCellMar>
        </w:tblPrEx>
        <w:trPr>
          <w:trHeight w:val="395"/>
          <w:jc w:val="center"/>
        </w:trPr>
        <w:tc>
          <w:tcPr>
            <w:tcW w:w="4313" w:type="dxa"/>
            <w:vMerge w:val="restart"/>
            <w:tcBorders>
              <w:top w:val="single" w:sz="3" w:space="0" w:color="000000"/>
              <w:left w:val="single" w:sz="4" w:space="0" w:color="000000"/>
              <w:bottom w:val="single" w:sz="4" w:space="0" w:color="000000"/>
              <w:right w:val="single" w:sz="4" w:space="0" w:color="000000"/>
            </w:tcBorders>
            <w:shd w:val="clear" w:color="auto" w:fill="009BFD"/>
            <w:vAlign w:val="center"/>
          </w:tcPr>
          <w:p w:rsidR="00165178" w:rsidRDefault="00165178">
            <w:pPr>
              <w:keepNext/>
              <w:keepLines/>
              <w:suppressAutoHyphens/>
              <w:autoSpaceDE w:val="0"/>
              <w:autoSpaceDN w:val="0"/>
              <w:adjustRightInd w:val="0"/>
              <w:spacing w:before="200" w:after="0" w:line="180" w:lineRule="atLeast"/>
              <w:jc w:val="center"/>
              <w:rPr>
                <w:rFonts w:ascii="Cambria" w:hAnsi="Cambria" w:cs="Cambria"/>
                <w:b/>
                <w:bCs/>
                <w:i/>
                <w:iCs/>
                <w:color w:val="FFFFFF"/>
                <w:sz w:val="20"/>
                <w:szCs w:val="20"/>
                <w:lang/>
              </w:rPr>
            </w:pPr>
          </w:p>
          <w:p w:rsidR="00165178" w:rsidRDefault="00165178">
            <w:pPr>
              <w:autoSpaceDE w:val="0"/>
              <w:autoSpaceDN w:val="0"/>
              <w:adjustRightInd w:val="0"/>
              <w:spacing w:line="180" w:lineRule="atLeast"/>
              <w:jc w:val="center"/>
              <w:rPr>
                <w:rFonts w:ascii="Calibri" w:hAnsi="Calibri" w:cs="Calibri"/>
                <w:lang/>
              </w:rPr>
            </w:pPr>
            <w:r>
              <w:rPr>
                <w:rFonts w:ascii="Arial" w:hAnsi="Arial" w:cs="Arial"/>
                <w:b/>
                <w:bCs/>
                <w:color w:val="FFFFFF"/>
                <w:sz w:val="20"/>
                <w:szCs w:val="20"/>
                <w:lang/>
              </w:rPr>
              <w:t>Activities</w:t>
            </w:r>
          </w:p>
        </w:tc>
        <w:tc>
          <w:tcPr>
            <w:tcW w:w="4445" w:type="dxa"/>
            <w:gridSpan w:val="12"/>
            <w:tcBorders>
              <w:top w:val="single" w:sz="3" w:space="0" w:color="000000"/>
              <w:left w:val="single" w:sz="4" w:space="0" w:color="000000"/>
              <w:bottom w:val="single" w:sz="4" w:space="0" w:color="000000"/>
              <w:right w:val="single" w:sz="4" w:space="0" w:color="000000"/>
            </w:tcBorders>
            <w:shd w:val="clear" w:color="auto" w:fill="009BFD"/>
            <w:vAlign w:val="center"/>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Arial" w:hAnsi="Arial" w:cs="Arial"/>
                <w:b/>
                <w:bCs/>
                <w:color w:val="FFFFFF"/>
                <w:sz w:val="20"/>
                <w:szCs w:val="20"/>
                <w:lang/>
              </w:rPr>
              <w:t>2011</w:t>
            </w:r>
          </w:p>
        </w:tc>
        <w:tc>
          <w:tcPr>
            <w:tcW w:w="4428" w:type="dxa"/>
            <w:gridSpan w:val="12"/>
            <w:tcBorders>
              <w:top w:val="single" w:sz="3" w:space="0" w:color="000000"/>
              <w:left w:val="single" w:sz="4" w:space="0" w:color="000000"/>
              <w:bottom w:val="single" w:sz="4" w:space="0" w:color="000000"/>
              <w:right w:val="single" w:sz="4" w:space="0" w:color="000000"/>
            </w:tcBorders>
            <w:shd w:val="clear" w:color="auto" w:fill="009BFD"/>
            <w:vAlign w:val="center"/>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Arial" w:hAnsi="Arial" w:cs="Arial"/>
                <w:b/>
                <w:bCs/>
                <w:color w:val="FFFFFF"/>
                <w:sz w:val="20"/>
                <w:szCs w:val="20"/>
                <w:lang/>
              </w:rPr>
              <w:t>2012</w:t>
            </w:r>
          </w:p>
        </w:tc>
      </w:tr>
      <w:tr w:rsidR="00165178">
        <w:tblPrEx>
          <w:tblCellMar>
            <w:top w:w="0" w:type="dxa"/>
            <w:bottom w:w="0" w:type="dxa"/>
          </w:tblCellMar>
        </w:tblPrEx>
        <w:trPr>
          <w:trHeight w:val="282"/>
          <w:jc w:val="center"/>
        </w:trPr>
        <w:tc>
          <w:tcPr>
            <w:tcW w:w="4313" w:type="dxa"/>
            <w:vMerge/>
            <w:tcBorders>
              <w:top w:val="single" w:sz="4" w:space="0" w:color="000000"/>
              <w:left w:val="single" w:sz="4" w:space="0" w:color="000000"/>
              <w:bottom w:val="single" w:sz="4" w:space="0" w:color="000000"/>
              <w:right w:val="single" w:sz="4" w:space="0" w:color="000000"/>
            </w:tcBorders>
            <w:shd w:val="clear" w:color="auto" w:fill="009BFD"/>
            <w:vAlign w:val="center"/>
          </w:tcPr>
          <w:p w:rsidR="00165178" w:rsidRDefault="00165178">
            <w:pPr>
              <w:autoSpaceDE w:val="0"/>
              <w:autoSpaceDN w:val="0"/>
              <w:adjustRightInd w:val="0"/>
              <w:rPr>
                <w:rFonts w:ascii="Calibri" w:hAnsi="Calibri" w:cs="Calibri"/>
                <w:lang/>
              </w:rPr>
            </w:pPr>
          </w:p>
        </w:tc>
        <w:tc>
          <w:tcPr>
            <w:tcW w:w="337"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1</w:t>
            </w:r>
          </w:p>
        </w:tc>
        <w:tc>
          <w:tcPr>
            <w:tcW w:w="337"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2</w:t>
            </w:r>
          </w:p>
        </w:tc>
        <w:tc>
          <w:tcPr>
            <w:tcW w:w="337"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3</w:t>
            </w:r>
          </w:p>
        </w:tc>
        <w:tc>
          <w:tcPr>
            <w:tcW w:w="337"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4</w:t>
            </w:r>
          </w:p>
        </w:tc>
        <w:tc>
          <w:tcPr>
            <w:tcW w:w="33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5</w:t>
            </w:r>
          </w:p>
        </w:tc>
        <w:tc>
          <w:tcPr>
            <w:tcW w:w="33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6</w:t>
            </w:r>
          </w:p>
        </w:tc>
        <w:tc>
          <w:tcPr>
            <w:tcW w:w="33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7</w:t>
            </w:r>
          </w:p>
        </w:tc>
        <w:tc>
          <w:tcPr>
            <w:tcW w:w="33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8</w:t>
            </w:r>
          </w:p>
        </w:tc>
        <w:tc>
          <w:tcPr>
            <w:tcW w:w="33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9</w:t>
            </w:r>
          </w:p>
        </w:tc>
        <w:tc>
          <w:tcPr>
            <w:tcW w:w="469"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10</w:t>
            </w:r>
          </w:p>
        </w:tc>
        <w:tc>
          <w:tcPr>
            <w:tcW w:w="469"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11</w:t>
            </w:r>
          </w:p>
        </w:tc>
        <w:tc>
          <w:tcPr>
            <w:tcW w:w="469"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12</w:t>
            </w:r>
          </w:p>
        </w:tc>
        <w:tc>
          <w:tcPr>
            <w:tcW w:w="33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1</w:t>
            </w:r>
          </w:p>
        </w:tc>
        <w:tc>
          <w:tcPr>
            <w:tcW w:w="33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2</w:t>
            </w:r>
          </w:p>
        </w:tc>
        <w:tc>
          <w:tcPr>
            <w:tcW w:w="33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3</w:t>
            </w:r>
          </w:p>
        </w:tc>
        <w:tc>
          <w:tcPr>
            <w:tcW w:w="33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4</w:t>
            </w:r>
          </w:p>
        </w:tc>
        <w:tc>
          <w:tcPr>
            <w:tcW w:w="33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5</w:t>
            </w:r>
          </w:p>
        </w:tc>
        <w:tc>
          <w:tcPr>
            <w:tcW w:w="33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6</w:t>
            </w:r>
          </w:p>
        </w:tc>
        <w:tc>
          <w:tcPr>
            <w:tcW w:w="33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7</w:t>
            </w:r>
          </w:p>
        </w:tc>
        <w:tc>
          <w:tcPr>
            <w:tcW w:w="33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8</w:t>
            </w:r>
          </w:p>
        </w:tc>
        <w:tc>
          <w:tcPr>
            <w:tcW w:w="33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9</w:t>
            </w:r>
          </w:p>
        </w:tc>
        <w:tc>
          <w:tcPr>
            <w:tcW w:w="469"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10</w:t>
            </w:r>
          </w:p>
        </w:tc>
        <w:tc>
          <w:tcPr>
            <w:tcW w:w="469"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11</w:t>
            </w:r>
          </w:p>
        </w:tc>
        <w:tc>
          <w:tcPr>
            <w:tcW w:w="448" w:type="dxa"/>
            <w:tcBorders>
              <w:top w:val="single" w:sz="3" w:space="0" w:color="000000"/>
              <w:left w:val="single" w:sz="4" w:space="0" w:color="000000"/>
              <w:bottom w:val="single" w:sz="4" w:space="0" w:color="000000"/>
              <w:right w:val="single" w:sz="4" w:space="0" w:color="000000"/>
            </w:tcBorders>
            <w:shd w:val="clear" w:color="auto" w:fill="009BFD"/>
          </w:tcPr>
          <w:p w:rsidR="00165178" w:rsidRDefault="00165178">
            <w:pPr>
              <w:keepNext/>
              <w:keepLines/>
              <w:suppressAutoHyphens/>
              <w:autoSpaceDE w:val="0"/>
              <w:autoSpaceDN w:val="0"/>
              <w:adjustRightInd w:val="0"/>
              <w:spacing w:before="200" w:after="0" w:line="180" w:lineRule="atLeast"/>
              <w:jc w:val="center"/>
              <w:rPr>
                <w:rFonts w:ascii="Calibri" w:hAnsi="Calibri" w:cs="Calibri"/>
                <w:lang/>
              </w:rPr>
            </w:pPr>
            <w:r>
              <w:rPr>
                <w:rFonts w:ascii="Cambria" w:hAnsi="Cambria" w:cs="Cambria"/>
                <w:b/>
                <w:bCs/>
                <w:i/>
                <w:iCs/>
                <w:color w:val="FFFFFF"/>
                <w:sz w:val="20"/>
                <w:szCs w:val="20"/>
                <w:lang/>
              </w:rPr>
              <w:t>12</w:t>
            </w:r>
          </w:p>
        </w:tc>
      </w:tr>
      <w:tr w:rsidR="00165178">
        <w:tblPrEx>
          <w:tblCellMar>
            <w:top w:w="0" w:type="dxa"/>
            <w:bottom w:w="0" w:type="dxa"/>
          </w:tblCellMar>
        </w:tblPrEx>
        <w:trPr>
          <w:trHeight w:val="20"/>
          <w:jc w:val="center"/>
        </w:trPr>
        <w:tc>
          <w:tcPr>
            <w:tcW w:w="43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178" w:rsidRDefault="00165178">
            <w:pPr>
              <w:autoSpaceDE w:val="0"/>
              <w:autoSpaceDN w:val="0"/>
              <w:adjustRightInd w:val="0"/>
              <w:spacing w:after="0" w:line="180" w:lineRule="atLeast"/>
              <w:rPr>
                <w:rFonts w:ascii="Calibri" w:hAnsi="Calibri" w:cs="Calibri"/>
                <w:lang/>
              </w:rPr>
            </w:pPr>
            <w:r>
              <w:rPr>
                <w:rFonts w:ascii="Arial" w:hAnsi="Arial" w:cs="Arial"/>
                <w:sz w:val="18"/>
                <w:szCs w:val="18"/>
                <w:lang/>
              </w:rPr>
              <w:t>Cold room procurement</w:t>
            </w: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4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r>
      <w:tr w:rsidR="00165178">
        <w:tblPrEx>
          <w:tblCellMar>
            <w:top w:w="0" w:type="dxa"/>
            <w:bottom w:w="0" w:type="dxa"/>
          </w:tblCellMar>
        </w:tblPrEx>
        <w:trPr>
          <w:trHeight w:val="20"/>
          <w:jc w:val="center"/>
        </w:trPr>
        <w:tc>
          <w:tcPr>
            <w:tcW w:w="43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178" w:rsidRDefault="00165178">
            <w:pPr>
              <w:autoSpaceDE w:val="0"/>
              <w:autoSpaceDN w:val="0"/>
              <w:adjustRightInd w:val="0"/>
              <w:spacing w:after="0" w:line="180" w:lineRule="atLeast"/>
              <w:rPr>
                <w:rFonts w:ascii="Calibri" w:hAnsi="Calibri" w:cs="Calibri"/>
                <w:lang/>
              </w:rPr>
            </w:pPr>
            <w:r>
              <w:rPr>
                <w:rFonts w:ascii="Arial" w:hAnsi="Arial" w:cs="Arial"/>
                <w:sz w:val="18"/>
                <w:szCs w:val="18"/>
                <w:lang/>
              </w:rPr>
              <w:t>Cold room installation</w:t>
            </w: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4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r>
      <w:tr w:rsidR="00165178">
        <w:tblPrEx>
          <w:tblCellMar>
            <w:top w:w="0" w:type="dxa"/>
            <w:bottom w:w="0" w:type="dxa"/>
          </w:tblCellMar>
        </w:tblPrEx>
        <w:trPr>
          <w:trHeight w:val="20"/>
          <w:jc w:val="center"/>
        </w:trPr>
        <w:tc>
          <w:tcPr>
            <w:tcW w:w="43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178" w:rsidRDefault="00165178">
            <w:pPr>
              <w:autoSpaceDE w:val="0"/>
              <w:autoSpaceDN w:val="0"/>
              <w:adjustRightInd w:val="0"/>
              <w:spacing w:after="0" w:line="180" w:lineRule="atLeast"/>
              <w:rPr>
                <w:rFonts w:ascii="Calibri" w:hAnsi="Calibri" w:cs="Calibri"/>
                <w:lang/>
              </w:rPr>
            </w:pPr>
            <w:r>
              <w:rPr>
                <w:rFonts w:ascii="Arial" w:hAnsi="Arial" w:cs="Arial"/>
                <w:sz w:val="18"/>
                <w:szCs w:val="18"/>
                <w:lang/>
              </w:rPr>
              <w:t>Rehabilitate dry storage warehouse</w:t>
            </w: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4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r>
      <w:tr w:rsidR="00165178">
        <w:tblPrEx>
          <w:tblCellMar>
            <w:top w:w="0" w:type="dxa"/>
            <w:bottom w:w="0" w:type="dxa"/>
          </w:tblCellMar>
        </w:tblPrEx>
        <w:trPr>
          <w:trHeight w:val="20"/>
          <w:jc w:val="center"/>
        </w:trPr>
        <w:tc>
          <w:tcPr>
            <w:tcW w:w="43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178" w:rsidRDefault="00165178">
            <w:pPr>
              <w:autoSpaceDE w:val="0"/>
              <w:autoSpaceDN w:val="0"/>
              <w:adjustRightInd w:val="0"/>
              <w:spacing w:after="0" w:line="180" w:lineRule="atLeast"/>
              <w:rPr>
                <w:rFonts w:ascii="Calibri" w:hAnsi="Calibri" w:cs="Calibri"/>
                <w:lang/>
              </w:rPr>
            </w:pPr>
            <w:r>
              <w:rPr>
                <w:rFonts w:ascii="Arial" w:hAnsi="Arial" w:cs="Arial"/>
                <w:sz w:val="18"/>
                <w:szCs w:val="18"/>
                <w:lang/>
              </w:rPr>
              <w:t>Procurement of Cold boxes</w:t>
            </w: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4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r>
      <w:tr w:rsidR="00165178">
        <w:tblPrEx>
          <w:tblCellMar>
            <w:top w:w="0" w:type="dxa"/>
            <w:bottom w:w="0" w:type="dxa"/>
          </w:tblCellMar>
        </w:tblPrEx>
        <w:trPr>
          <w:trHeight w:val="20"/>
          <w:jc w:val="center"/>
        </w:trPr>
        <w:tc>
          <w:tcPr>
            <w:tcW w:w="43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178" w:rsidRDefault="00165178">
            <w:pPr>
              <w:autoSpaceDE w:val="0"/>
              <w:autoSpaceDN w:val="0"/>
              <w:adjustRightInd w:val="0"/>
              <w:spacing w:after="0" w:line="180" w:lineRule="atLeast"/>
              <w:rPr>
                <w:rFonts w:ascii="Calibri" w:hAnsi="Calibri" w:cs="Calibri"/>
                <w:lang/>
              </w:rPr>
            </w:pPr>
            <w:r>
              <w:rPr>
                <w:rFonts w:ascii="Arial" w:hAnsi="Arial" w:cs="Arial"/>
                <w:sz w:val="18"/>
                <w:szCs w:val="18"/>
                <w:lang/>
              </w:rPr>
              <w:t>Purchase of trucks (CCL transport)</w:t>
            </w: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4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r>
      <w:tr w:rsidR="00165178">
        <w:tblPrEx>
          <w:tblCellMar>
            <w:top w:w="0" w:type="dxa"/>
            <w:bottom w:w="0" w:type="dxa"/>
          </w:tblCellMar>
        </w:tblPrEx>
        <w:trPr>
          <w:trHeight w:val="20"/>
          <w:jc w:val="center"/>
        </w:trPr>
        <w:tc>
          <w:tcPr>
            <w:tcW w:w="43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178" w:rsidRDefault="00165178">
            <w:pPr>
              <w:autoSpaceDE w:val="0"/>
              <w:autoSpaceDN w:val="0"/>
              <w:adjustRightInd w:val="0"/>
              <w:spacing w:after="0" w:line="180" w:lineRule="atLeast"/>
              <w:rPr>
                <w:rFonts w:ascii="Calibri" w:hAnsi="Calibri" w:cs="Calibri"/>
                <w:lang/>
              </w:rPr>
            </w:pPr>
            <w:r>
              <w:rPr>
                <w:rFonts w:ascii="Arial" w:hAnsi="Arial" w:cs="Arial"/>
                <w:sz w:val="18"/>
                <w:szCs w:val="18"/>
                <w:lang/>
              </w:rPr>
              <w:t>Purchase of vehicles</w:t>
            </w: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4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r>
      <w:tr w:rsidR="00165178">
        <w:tblPrEx>
          <w:tblCellMar>
            <w:top w:w="0" w:type="dxa"/>
            <w:bottom w:w="0" w:type="dxa"/>
          </w:tblCellMar>
        </w:tblPrEx>
        <w:trPr>
          <w:trHeight w:val="20"/>
          <w:jc w:val="center"/>
        </w:trPr>
        <w:tc>
          <w:tcPr>
            <w:tcW w:w="43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178" w:rsidRDefault="00165178">
            <w:pPr>
              <w:autoSpaceDE w:val="0"/>
              <w:autoSpaceDN w:val="0"/>
              <w:adjustRightInd w:val="0"/>
              <w:spacing w:after="0" w:line="180" w:lineRule="atLeast"/>
              <w:rPr>
                <w:rFonts w:ascii="Calibri" w:hAnsi="Calibri" w:cs="Calibri"/>
                <w:lang/>
              </w:rPr>
            </w:pPr>
            <w:r>
              <w:rPr>
                <w:rFonts w:ascii="Arial" w:hAnsi="Arial" w:cs="Arial"/>
                <w:sz w:val="18"/>
                <w:szCs w:val="18"/>
                <w:lang/>
              </w:rPr>
              <w:t>Purchase of diesel generators</w:t>
            </w: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4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r>
      <w:tr w:rsidR="00165178">
        <w:tblPrEx>
          <w:tblCellMar>
            <w:top w:w="0" w:type="dxa"/>
            <w:bottom w:w="0" w:type="dxa"/>
          </w:tblCellMar>
        </w:tblPrEx>
        <w:trPr>
          <w:trHeight w:val="20"/>
          <w:jc w:val="center"/>
        </w:trPr>
        <w:tc>
          <w:tcPr>
            <w:tcW w:w="43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178" w:rsidRDefault="00165178">
            <w:pPr>
              <w:autoSpaceDE w:val="0"/>
              <w:autoSpaceDN w:val="0"/>
              <w:adjustRightInd w:val="0"/>
              <w:spacing w:after="0" w:line="180" w:lineRule="atLeast"/>
              <w:rPr>
                <w:rFonts w:ascii="Calibri" w:hAnsi="Calibri" w:cs="Calibri"/>
                <w:lang/>
              </w:rPr>
            </w:pPr>
            <w:r>
              <w:rPr>
                <w:rFonts w:ascii="Arial" w:hAnsi="Arial" w:cs="Arial"/>
                <w:sz w:val="18"/>
                <w:szCs w:val="18"/>
                <w:lang/>
              </w:rPr>
              <w:t>Procurement of solar refrigerators</w:t>
            </w: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4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r>
      <w:tr w:rsidR="00165178">
        <w:tblPrEx>
          <w:tblCellMar>
            <w:top w:w="0" w:type="dxa"/>
            <w:bottom w:w="0" w:type="dxa"/>
          </w:tblCellMar>
        </w:tblPrEx>
        <w:trPr>
          <w:trHeight w:val="20"/>
          <w:jc w:val="center"/>
        </w:trPr>
        <w:tc>
          <w:tcPr>
            <w:tcW w:w="43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178" w:rsidRDefault="00165178">
            <w:pPr>
              <w:autoSpaceDE w:val="0"/>
              <w:autoSpaceDN w:val="0"/>
              <w:adjustRightInd w:val="0"/>
              <w:spacing w:after="0" w:line="180" w:lineRule="atLeast"/>
              <w:rPr>
                <w:rFonts w:ascii="Calibri" w:hAnsi="Calibri" w:cs="Calibri"/>
                <w:lang/>
              </w:rPr>
            </w:pPr>
            <w:r>
              <w:rPr>
                <w:rFonts w:ascii="Arial" w:hAnsi="Arial" w:cs="Arial"/>
                <w:sz w:val="18"/>
                <w:szCs w:val="18"/>
                <w:lang/>
              </w:rPr>
              <w:t>Dry storage rehabilitation</w:t>
            </w: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4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r>
      <w:tr w:rsidR="00165178">
        <w:tblPrEx>
          <w:tblCellMar>
            <w:top w:w="0" w:type="dxa"/>
            <w:bottom w:w="0" w:type="dxa"/>
          </w:tblCellMar>
        </w:tblPrEx>
        <w:trPr>
          <w:trHeight w:val="20"/>
          <w:jc w:val="center"/>
        </w:trPr>
        <w:tc>
          <w:tcPr>
            <w:tcW w:w="43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178" w:rsidRDefault="00165178">
            <w:pPr>
              <w:autoSpaceDE w:val="0"/>
              <w:autoSpaceDN w:val="0"/>
              <w:adjustRightInd w:val="0"/>
              <w:spacing w:after="0" w:line="180" w:lineRule="atLeast"/>
              <w:rPr>
                <w:rFonts w:ascii="Calibri" w:hAnsi="Calibri" w:cs="Calibri"/>
                <w:lang/>
              </w:rPr>
            </w:pPr>
            <w:r>
              <w:rPr>
                <w:rFonts w:ascii="Arial" w:hAnsi="Arial" w:cs="Arial"/>
                <w:sz w:val="18"/>
                <w:szCs w:val="18"/>
                <w:lang/>
              </w:rPr>
              <w:t xml:space="preserve">Procurement of motorcycles </w:t>
            </w: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4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r>
      <w:tr w:rsidR="00165178">
        <w:tblPrEx>
          <w:tblCellMar>
            <w:top w:w="0" w:type="dxa"/>
            <w:bottom w:w="0" w:type="dxa"/>
          </w:tblCellMar>
        </w:tblPrEx>
        <w:trPr>
          <w:trHeight w:val="20"/>
          <w:jc w:val="center"/>
        </w:trPr>
        <w:tc>
          <w:tcPr>
            <w:tcW w:w="43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178" w:rsidRDefault="00165178">
            <w:pPr>
              <w:autoSpaceDE w:val="0"/>
              <w:autoSpaceDN w:val="0"/>
              <w:adjustRightInd w:val="0"/>
              <w:spacing w:after="0" w:line="180" w:lineRule="atLeast"/>
              <w:rPr>
                <w:rFonts w:ascii="Calibri" w:hAnsi="Calibri" w:cs="Calibri"/>
                <w:lang/>
              </w:rPr>
            </w:pPr>
            <w:r>
              <w:rPr>
                <w:rFonts w:ascii="Arial" w:hAnsi="Arial" w:cs="Arial"/>
                <w:sz w:val="18"/>
                <w:szCs w:val="18"/>
                <w:lang/>
              </w:rPr>
              <w:t>Procurement of incinerators</w:t>
            </w: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4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r>
      <w:tr w:rsidR="00165178">
        <w:tblPrEx>
          <w:tblCellMar>
            <w:top w:w="0" w:type="dxa"/>
            <w:bottom w:w="0" w:type="dxa"/>
          </w:tblCellMar>
        </w:tblPrEx>
        <w:trPr>
          <w:trHeight w:val="20"/>
          <w:jc w:val="center"/>
        </w:trPr>
        <w:tc>
          <w:tcPr>
            <w:tcW w:w="43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178" w:rsidRDefault="00165178">
            <w:pPr>
              <w:autoSpaceDE w:val="0"/>
              <w:autoSpaceDN w:val="0"/>
              <w:adjustRightInd w:val="0"/>
              <w:spacing w:after="0" w:line="180" w:lineRule="atLeast"/>
              <w:rPr>
                <w:rFonts w:ascii="Calibri" w:hAnsi="Calibri" w:cs="Calibri"/>
                <w:lang/>
              </w:rPr>
            </w:pPr>
            <w:r>
              <w:rPr>
                <w:rFonts w:ascii="Arial" w:hAnsi="Arial" w:cs="Arial"/>
                <w:sz w:val="18"/>
                <w:szCs w:val="18"/>
                <w:lang/>
              </w:rPr>
              <w:t>Repair of out of order incinerators</w:t>
            </w: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4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r>
      <w:tr w:rsidR="00165178">
        <w:tblPrEx>
          <w:tblCellMar>
            <w:top w:w="0" w:type="dxa"/>
            <w:bottom w:w="0" w:type="dxa"/>
          </w:tblCellMar>
        </w:tblPrEx>
        <w:trPr>
          <w:trHeight w:val="20"/>
          <w:jc w:val="center"/>
        </w:trPr>
        <w:tc>
          <w:tcPr>
            <w:tcW w:w="43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178" w:rsidRDefault="00165178">
            <w:pPr>
              <w:autoSpaceDE w:val="0"/>
              <w:autoSpaceDN w:val="0"/>
              <w:adjustRightInd w:val="0"/>
              <w:spacing w:after="0" w:line="180" w:lineRule="atLeast"/>
              <w:rPr>
                <w:rFonts w:ascii="Calibri" w:hAnsi="Calibri" w:cs="Calibri"/>
                <w:lang/>
              </w:rPr>
            </w:pPr>
            <w:r>
              <w:rPr>
                <w:rFonts w:ascii="Arial" w:hAnsi="Arial" w:cs="Arial"/>
                <w:sz w:val="18"/>
                <w:szCs w:val="18"/>
                <w:lang/>
              </w:rPr>
              <w:t>Installation of incinerators</w:t>
            </w: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4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r>
      <w:tr w:rsidR="00165178">
        <w:tblPrEx>
          <w:tblCellMar>
            <w:top w:w="0" w:type="dxa"/>
            <w:bottom w:w="0" w:type="dxa"/>
          </w:tblCellMar>
        </w:tblPrEx>
        <w:trPr>
          <w:trHeight w:val="20"/>
          <w:jc w:val="center"/>
        </w:trPr>
        <w:tc>
          <w:tcPr>
            <w:tcW w:w="43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178" w:rsidRDefault="00165178">
            <w:pPr>
              <w:autoSpaceDE w:val="0"/>
              <w:autoSpaceDN w:val="0"/>
              <w:adjustRightInd w:val="0"/>
              <w:spacing w:after="0" w:line="180" w:lineRule="atLeast"/>
              <w:rPr>
                <w:rFonts w:ascii="Calibri" w:hAnsi="Calibri" w:cs="Calibri"/>
                <w:lang/>
              </w:rPr>
            </w:pPr>
            <w:r>
              <w:rPr>
                <w:rFonts w:ascii="Arial" w:hAnsi="Arial" w:cs="Arial"/>
                <w:sz w:val="18"/>
                <w:szCs w:val="18"/>
                <w:lang/>
              </w:rPr>
              <w:t>Production of management tools</w:t>
            </w: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r>
              <w:rPr>
                <w:rFonts w:ascii="Cambria" w:hAnsi="Cambria" w:cs="Cambria"/>
                <w:i/>
                <w:iCs/>
                <w:color w:val="404040"/>
                <w:sz w:val="16"/>
                <w:szCs w:val="16"/>
                <w:lang/>
              </w:rPr>
              <w:t>X</w:t>
            </w: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33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c>
          <w:tcPr>
            <w:tcW w:w="448" w:type="dxa"/>
            <w:tcBorders>
              <w:top w:val="single" w:sz="4" w:space="0" w:color="000000"/>
              <w:left w:val="single" w:sz="4" w:space="0" w:color="000000"/>
              <w:bottom w:val="single" w:sz="4" w:space="0" w:color="000000"/>
              <w:right w:val="single" w:sz="4" w:space="0" w:color="000000"/>
            </w:tcBorders>
            <w:vAlign w:val="center"/>
          </w:tcPr>
          <w:p w:rsidR="00165178" w:rsidRDefault="00165178">
            <w:pPr>
              <w:keepNext/>
              <w:keepLines/>
              <w:suppressAutoHyphens/>
              <w:autoSpaceDE w:val="0"/>
              <w:autoSpaceDN w:val="0"/>
              <w:adjustRightInd w:val="0"/>
              <w:spacing w:before="200" w:after="0" w:line="180" w:lineRule="atLeast"/>
              <w:rPr>
                <w:rFonts w:ascii="Calibri" w:hAnsi="Calibri" w:cs="Calibri"/>
                <w:lang/>
              </w:rPr>
            </w:pPr>
          </w:p>
        </w:tc>
      </w:tr>
    </w:tbl>
    <w:p w:rsidR="00165178" w:rsidRDefault="00165178" w:rsidP="00165178">
      <w:pPr>
        <w:autoSpaceDE w:val="0"/>
        <w:autoSpaceDN w:val="0"/>
        <w:adjustRightInd w:val="0"/>
        <w:spacing w:after="0" w:line="240" w:lineRule="auto"/>
        <w:rPr>
          <w:rFonts w:ascii="Arial" w:hAnsi="Arial" w:cs="Arial"/>
          <w:lang/>
        </w:rPr>
      </w:pPr>
    </w:p>
    <w:p w:rsidR="006D0B99" w:rsidRDefault="006D0B99"/>
    <w:sectPr w:rsidR="006D0B99" w:rsidSect="00165178">
      <w:pgSz w:w="15840" w:h="12240" w:orient="landscape" w:code="1"/>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A4B65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165178"/>
    <w:rsid w:val="00165178"/>
    <w:rsid w:val="002A5F35"/>
    <w:rsid w:val="006D0B99"/>
    <w:rsid w:val="00BC7870"/>
    <w:rsid w:val="00F66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1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5099</Words>
  <Characters>29066</Characters>
  <Application>Microsoft Office Word</Application>
  <DocSecurity>0</DocSecurity>
  <Lines>242</Lines>
  <Paragraphs>68</Paragraphs>
  <ScaleCrop>false</ScaleCrop>
  <Company/>
  <LinksUpToDate>false</LinksUpToDate>
  <CharactersWithSpaces>34097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Andre</dc:creator>
  <cp:lastModifiedBy>Dr Andre</cp:lastModifiedBy>
  <cp:revision>1</cp:revision>
  <dcterms:created xsi:type="dcterms:W3CDTF">2012-02-08T17:38:00Z</dcterms:created>
  <dcterms:modified xsi:type="dcterms:W3CDTF">2012-02-08T17:43:00Z</dcterms:modified>
</cp:coreProperties>
</file>