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6F" w:rsidRDefault="00DB6C6F" w:rsidP="00DB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D3187" w:rsidRPr="00DB6C6F" w:rsidRDefault="008D3187" w:rsidP="00DB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DB6C6F">
        <w:rPr>
          <w:b/>
          <w:sz w:val="36"/>
          <w:szCs w:val="36"/>
        </w:rPr>
        <w:t>ELEMENTS DE REPONSE</w:t>
      </w:r>
    </w:p>
    <w:p w:rsidR="00DB6C6F" w:rsidRDefault="00DB6C6F" w:rsidP="00DB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D3187" w:rsidRDefault="00ED065B" w:rsidP="00064228">
      <w:pPr>
        <w:jc w:val="both"/>
      </w:pPr>
      <w:r>
        <w:t>Tous nos remerciements pour l’analyse de la requête  et l’accord donné au Burkina Faso pour l’introduction des nouveaux vaccins (</w:t>
      </w:r>
      <w:r w:rsidR="004E4332">
        <w:t xml:space="preserve">PCV 13 et Vaccin anti </w:t>
      </w:r>
      <w:proofErr w:type="spellStart"/>
      <w:r w:rsidR="004E4332">
        <w:t>rotavirus</w:t>
      </w:r>
      <w:proofErr w:type="spellEnd"/>
      <w:r w:rsidR="00813181">
        <w:t xml:space="preserve">) sous condition des clarifications </w:t>
      </w:r>
      <w:r w:rsidR="004E4332">
        <w:t>à</w:t>
      </w:r>
      <w:r>
        <w:t xml:space="preserve"> apporter pour </w:t>
      </w:r>
      <w:r w:rsidR="004E4332">
        <w:t>l’accord final. Les éléments de réponse</w:t>
      </w:r>
      <w:r w:rsidR="00D5106C">
        <w:t xml:space="preserve"> suivants</w:t>
      </w:r>
      <w:r w:rsidR="004E4332">
        <w:t xml:space="preserve"> permettront de clarifier les recommandations du comité d’examen</w:t>
      </w:r>
      <w:r w:rsidR="00D5106C">
        <w:t xml:space="preserve"> indépendant.</w:t>
      </w:r>
    </w:p>
    <w:p w:rsidR="00645040" w:rsidRPr="000C22B6" w:rsidRDefault="000C22B6" w:rsidP="000C22B6">
      <w:pPr>
        <w:pStyle w:val="Paragraphedeliste"/>
        <w:numPr>
          <w:ilvl w:val="0"/>
          <w:numId w:val="6"/>
        </w:numPr>
        <w:rPr>
          <w:b/>
        </w:rPr>
      </w:pPr>
      <w:r w:rsidRPr="000C22B6">
        <w:rPr>
          <w:b/>
        </w:rPr>
        <w:t>PAR RAPPORT AU PPAC</w:t>
      </w:r>
    </w:p>
    <w:p w:rsidR="00645040" w:rsidRPr="000C22B6" w:rsidRDefault="00795454" w:rsidP="00795454">
      <w:pPr>
        <w:rPr>
          <w:b/>
          <w:i/>
          <w:u w:val="single"/>
        </w:rPr>
      </w:pPr>
      <w:r w:rsidRPr="000C22B6">
        <w:rPr>
          <w:b/>
          <w:i/>
          <w:u w:val="single"/>
        </w:rPr>
        <w:t>Point</w:t>
      </w:r>
      <w:r w:rsidR="002A5D23" w:rsidRPr="000C22B6">
        <w:rPr>
          <w:b/>
          <w:i/>
          <w:u w:val="single"/>
        </w:rPr>
        <w:t>s</w:t>
      </w:r>
      <w:r w:rsidRPr="000C22B6">
        <w:rPr>
          <w:b/>
          <w:i/>
          <w:u w:val="single"/>
        </w:rPr>
        <w:t xml:space="preserve"> faibles et point forts</w:t>
      </w:r>
    </w:p>
    <w:p w:rsidR="00BB2F67" w:rsidRDefault="008F227E" w:rsidP="008F227E">
      <w:pPr>
        <w:pStyle w:val="Paragraphedeliste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ANALYSE FINANCIERE</w:t>
      </w:r>
    </w:p>
    <w:p w:rsidR="008F227E" w:rsidRDefault="008F227E" w:rsidP="008F227E">
      <w:pPr>
        <w:pStyle w:val="Paragraphedeliste"/>
        <w:numPr>
          <w:ilvl w:val="0"/>
          <w:numId w:val="5"/>
        </w:numPr>
        <w:rPr>
          <w:b/>
        </w:rPr>
      </w:pPr>
      <w:r w:rsidRPr="008F227E">
        <w:rPr>
          <w:b/>
        </w:rPr>
        <w:t>RECACULE DU BUDGET ET LA REPARTITION DES FONDS GAVI POUR L’INTRODUCTION</w:t>
      </w:r>
    </w:p>
    <w:p w:rsidR="00DB7D3A" w:rsidRPr="00DB7D3A" w:rsidRDefault="00DB7D3A" w:rsidP="00DB7D3A">
      <w:pPr>
        <w:rPr>
          <w:b/>
          <w:u w:val="single"/>
        </w:rPr>
      </w:pPr>
      <w:r w:rsidRPr="00DB7D3A">
        <w:rPr>
          <w:b/>
          <w:u w:val="single"/>
        </w:rPr>
        <w:t xml:space="preserve">BUDGET D’INTRODUCTION DU VACCIN CONTRE LE </w:t>
      </w:r>
      <w:r>
        <w:rPr>
          <w:b/>
          <w:u w:val="single"/>
        </w:rPr>
        <w:t>PNEUMOCCOQUE</w:t>
      </w:r>
    </w:p>
    <w:tbl>
      <w:tblPr>
        <w:tblW w:w="961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1260"/>
        <w:gridCol w:w="977"/>
      </w:tblGrid>
      <w:tr w:rsidR="00B36E39" w:rsidRPr="00654B25" w:rsidTr="00B36E39">
        <w:trPr>
          <w:trHeight w:val="335"/>
          <w:tblHeader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Activité</w:t>
            </w:r>
          </w:p>
        </w:tc>
        <w:tc>
          <w:tcPr>
            <w:tcW w:w="42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Chronogramme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Coût</w:t>
            </w:r>
          </w:p>
        </w:tc>
      </w:tr>
      <w:tr w:rsidR="00B36E39" w:rsidRPr="00654B25" w:rsidTr="00B36E39">
        <w:trPr>
          <w:trHeight w:val="319"/>
          <w:tblHeader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2015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Coût pneumo</w:t>
            </w:r>
          </w:p>
        </w:tc>
      </w:tr>
      <w:tr w:rsidR="00B36E39" w:rsidRPr="00654B25" w:rsidTr="00B36E39">
        <w:trPr>
          <w:trHeight w:val="255"/>
          <w:tblHeader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CFA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$</w:t>
            </w:r>
          </w:p>
        </w:tc>
      </w:tr>
      <w:tr w:rsidR="00B36E39" w:rsidRPr="00654B25" w:rsidTr="00B36E39">
        <w:trPr>
          <w:trHeight w:val="2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Formation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52 435 782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104 872</w:t>
            </w:r>
          </w:p>
        </w:tc>
      </w:tr>
      <w:tr w:rsidR="00B36E39" w:rsidRPr="00654B25" w:rsidTr="0055109E">
        <w:trPr>
          <w:trHeight w:val="494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Organiser des formations en cascades 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52 435 782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104 872</w:t>
            </w:r>
          </w:p>
        </w:tc>
      </w:tr>
      <w:tr w:rsidR="00B36E39" w:rsidRPr="00654B25" w:rsidTr="0055109E">
        <w:trPr>
          <w:trHeight w:val="78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Mobilisation sociale, éducation,</w:t>
            </w:r>
            <w:r w:rsidR="008D66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formation et communication, et plaidoyer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23 156 438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46 313</w:t>
            </w:r>
          </w:p>
        </w:tc>
      </w:tr>
      <w:tr w:rsidR="00B36E39" w:rsidRPr="00654B25" w:rsidTr="00B36E39">
        <w:trPr>
          <w:trHeight w:val="4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Organiser une cérémonie de lancement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5 000 000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10 000</w:t>
            </w:r>
          </w:p>
        </w:tc>
      </w:tr>
      <w:tr w:rsidR="00B36E39" w:rsidRPr="00654B25" w:rsidTr="00B36E39">
        <w:trPr>
          <w:trHeight w:val="96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Organiser une rencontre d’information des autorités administratives et politique (gouverneurs, autres) et partenaires sur l’introduction du vaccin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2 861 438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5 723</w:t>
            </w:r>
          </w:p>
        </w:tc>
      </w:tr>
      <w:tr w:rsidR="00B36E39" w:rsidRPr="00654B25" w:rsidTr="00B36E39">
        <w:trPr>
          <w:trHeight w:val="4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Organiser un point de presse sur l’introduction du vaccin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425 000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850</w:t>
            </w:r>
          </w:p>
        </w:tc>
      </w:tr>
      <w:tr w:rsidR="00B36E39" w:rsidRPr="00654B25" w:rsidTr="00B36E39">
        <w:trPr>
          <w:trHeight w:val="3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Produire des spots radio et télé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2 840 000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5 680</w:t>
            </w:r>
          </w:p>
        </w:tc>
      </w:tr>
      <w:tr w:rsidR="00B36E39" w:rsidRPr="00654B25" w:rsidTr="00B36E39">
        <w:trPr>
          <w:trHeight w:val="4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Diffuser le spot à la télé et à la radio nationale et locale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10 430 000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20 860</w:t>
            </w:r>
          </w:p>
        </w:tc>
      </w:tr>
      <w:tr w:rsidR="00B36E39" w:rsidRPr="00654B25" w:rsidTr="0055109E">
        <w:trPr>
          <w:trHeight w:val="49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Confectionner des affiches sur le calendrier vaccinal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1 600 000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3 200</w:t>
            </w:r>
          </w:p>
        </w:tc>
      </w:tr>
      <w:tr w:rsidR="00B36E39" w:rsidRPr="00654B25" w:rsidTr="0055109E">
        <w:trPr>
          <w:trHeight w:val="2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Véhicule et transport 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215 436 954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430 874</w:t>
            </w:r>
          </w:p>
        </w:tc>
      </w:tr>
      <w:tr w:rsidR="00B36E39" w:rsidRPr="00654B25" w:rsidTr="00B36E39">
        <w:trPr>
          <w:trHeight w:val="4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Acquérir  74 motocyclette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s </w:t>
            </w: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(Responsable PEV)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147 000 000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294 000</w:t>
            </w:r>
          </w:p>
        </w:tc>
      </w:tr>
      <w:tr w:rsidR="00B36E39" w:rsidRPr="00654B25" w:rsidTr="00B36E39">
        <w:trPr>
          <w:trHeight w:val="4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Acquérir des véhicules de supervision (3 Au niveau central)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60 000 000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120 000</w:t>
            </w:r>
          </w:p>
        </w:tc>
      </w:tr>
      <w:tr w:rsidR="00B36E39" w:rsidRPr="00654B25" w:rsidTr="0055109E">
        <w:trPr>
          <w:trHeight w:val="5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Approvisionner les DRS, les districts et les CSPS en vaccin et consommables. 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8 436 954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16 874</w:t>
            </w:r>
          </w:p>
        </w:tc>
      </w:tr>
      <w:tr w:rsidR="00B36E39" w:rsidRPr="00654B25" w:rsidTr="0055109E">
        <w:trPr>
          <w:trHeight w:val="52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>Équipement et entretien de la</w:t>
            </w:r>
            <w:r w:rsidR="00FE11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chaîne du froid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217 036 200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434 072</w:t>
            </w:r>
          </w:p>
        </w:tc>
      </w:tr>
      <w:tr w:rsidR="00B36E39" w:rsidRPr="00654B25" w:rsidTr="00B36E39">
        <w:trPr>
          <w:trHeight w:val="2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Acquérir des réfrigérateurs à vaccins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21 450 000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42 900</w:t>
            </w:r>
          </w:p>
        </w:tc>
      </w:tr>
      <w:tr w:rsidR="00B36E39" w:rsidRPr="00654B25" w:rsidTr="00B36E39">
        <w:trPr>
          <w:trHeight w:val="2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Acquérir des glacières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184 986 200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369 972</w:t>
            </w:r>
          </w:p>
        </w:tc>
      </w:tr>
      <w:tr w:rsidR="00B36E39" w:rsidRPr="00654B25" w:rsidTr="00B36E39">
        <w:trPr>
          <w:trHeight w:val="4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Remettre en état de fonctionnement les deux chambres froides en panne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5 600 000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11 200</w:t>
            </w:r>
          </w:p>
        </w:tc>
      </w:tr>
      <w:tr w:rsidR="00B36E39" w:rsidRPr="00654B25" w:rsidTr="0055109E">
        <w:trPr>
          <w:trHeight w:val="49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Remettre en état de fonctionnement les deux pick-up frigorifiques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5 000 000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10 000</w:t>
            </w:r>
          </w:p>
        </w:tc>
      </w:tr>
      <w:tr w:rsidR="00B36E39" w:rsidRPr="00654B25" w:rsidTr="0055109E">
        <w:trPr>
          <w:trHeight w:val="52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Acquisition des vaccins et consommables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1 732 338 414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3 464 677</w:t>
            </w:r>
          </w:p>
        </w:tc>
      </w:tr>
      <w:tr w:rsidR="00B36E39" w:rsidRPr="00654B25" w:rsidTr="00B36E39">
        <w:trPr>
          <w:trHeight w:val="3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Acquérir les vaccins 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1 703 698 569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3 407 397</w:t>
            </w:r>
          </w:p>
        </w:tc>
      </w:tr>
      <w:tr w:rsidR="00B36E39" w:rsidRPr="00654B25" w:rsidTr="0055109E">
        <w:trPr>
          <w:trHeight w:val="3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Acquérir les consommables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28 639 845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57 280</w:t>
            </w:r>
          </w:p>
        </w:tc>
      </w:tr>
      <w:tr w:rsidR="00B36E39" w:rsidRPr="00654B25" w:rsidTr="0055109E">
        <w:trPr>
          <w:trHeight w:val="2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Gestion des déchets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15 276 922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30 554</w:t>
            </w:r>
          </w:p>
        </w:tc>
      </w:tr>
      <w:tr w:rsidR="00B36E39" w:rsidRPr="00654B25" w:rsidTr="00B36E39">
        <w:trPr>
          <w:trHeight w:val="479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Former un opérateur d’incinération par district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B36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5 276 922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10 554</w:t>
            </w:r>
          </w:p>
        </w:tc>
      </w:tr>
      <w:tr w:rsidR="00B36E39" w:rsidRPr="00654B25" w:rsidTr="0055109E">
        <w:trPr>
          <w:trHeight w:val="3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Réhabiliter les incinérateurs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10 000 000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20 000</w:t>
            </w:r>
          </w:p>
        </w:tc>
      </w:tr>
      <w:tr w:rsidR="00B36E39" w:rsidRPr="00654B25" w:rsidTr="0055109E">
        <w:trPr>
          <w:trHeight w:val="27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Surveillance et suivi 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65 297 909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130 596</w:t>
            </w:r>
          </w:p>
        </w:tc>
      </w:tr>
      <w:tr w:rsidR="00B36E39" w:rsidRPr="00654B25" w:rsidTr="00B36E39">
        <w:trPr>
          <w:trHeight w:val="3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Investiguer les cas de MAPI graves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1 000 000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2 000</w:t>
            </w:r>
          </w:p>
        </w:tc>
      </w:tr>
      <w:tr w:rsidR="00B36E39" w:rsidRPr="00654B25" w:rsidTr="00B36E39">
        <w:trPr>
          <w:trHeight w:val="718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Organiser des rencontres semestrielles sur la surveillance du pneumocoque et </w:t>
            </w:r>
            <w:proofErr w:type="spellStart"/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rotavirus</w:t>
            </w:r>
            <w:proofErr w:type="spellEnd"/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10 297 909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20 596</w:t>
            </w:r>
          </w:p>
        </w:tc>
      </w:tr>
      <w:tr w:rsidR="00B36E39" w:rsidRPr="00654B25" w:rsidTr="0055109E">
        <w:trPr>
          <w:trHeight w:val="49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Faire une évaluation de l’impact de l’introduction du vaccin.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54 000 000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108 000</w:t>
            </w:r>
          </w:p>
        </w:tc>
      </w:tr>
      <w:tr w:rsidR="00B36E39" w:rsidRPr="00654B25" w:rsidTr="0055109E">
        <w:trPr>
          <w:trHeight w:val="271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Gestion du programme 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12 441 135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24 882</w:t>
            </w:r>
          </w:p>
        </w:tc>
      </w:tr>
      <w:tr w:rsidR="00B36E39" w:rsidRPr="00654B25" w:rsidTr="00B36E39">
        <w:trPr>
          <w:trHeight w:val="4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Evaluer la mise en œuvre du plan un an après l’introduction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PM</w:t>
            </w:r>
          </w:p>
        </w:tc>
      </w:tr>
      <w:tr w:rsidR="00B36E39" w:rsidRPr="00654B25" w:rsidTr="00B36E39">
        <w:trPr>
          <w:trHeight w:val="4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Tenir des rencontres de coordination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E51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E51BF2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  <w:r w:rsidR="00B36E39"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E51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E51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840</w:t>
            </w:r>
          </w:p>
        </w:tc>
      </w:tr>
      <w:tr w:rsidR="00B36E39" w:rsidRPr="00654B25" w:rsidTr="00E51BF2">
        <w:trPr>
          <w:trHeight w:val="3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Tenir des rencontres de plaidoyer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39" w:rsidRPr="00654B25" w:rsidRDefault="00E51BF2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E51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700</w:t>
            </w:r>
          </w:p>
        </w:tc>
      </w:tr>
      <w:tr w:rsidR="00B36E39" w:rsidRPr="00654B25" w:rsidTr="00B36E39">
        <w:trPr>
          <w:trHeight w:val="71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Réaliser des supervisions formatives semestriellement à tous les niveaux.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E51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E51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E51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E51BF2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  <w:r w:rsidR="00B36E39"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E51BF2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  <w:r w:rsidR="00B36E39"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7 695 483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15 391</w:t>
            </w:r>
          </w:p>
        </w:tc>
      </w:tr>
      <w:tr w:rsidR="00B36E39" w:rsidRPr="00654B25" w:rsidTr="00FA6B17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Organiser un atelier de révision des supports 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E51BF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3 675 652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39" w:rsidRPr="00654B25" w:rsidRDefault="00B36E39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7 351</w:t>
            </w:r>
          </w:p>
        </w:tc>
      </w:tr>
      <w:tr w:rsidR="00FA6B17" w:rsidRPr="00654B25" w:rsidTr="0055109E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Diffuser les supports dans toutes les formations sanitaires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300 000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600</w:t>
            </w:r>
          </w:p>
        </w:tc>
      </w:tr>
      <w:tr w:rsidR="00FA6B17" w:rsidRPr="00654B25" w:rsidTr="0055109E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17" w:rsidRPr="00654B25" w:rsidRDefault="00450CEF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2 333 419 753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17" w:rsidRPr="00654B25" w:rsidRDefault="00FA6B17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4 666 840</w:t>
            </w:r>
          </w:p>
        </w:tc>
      </w:tr>
    </w:tbl>
    <w:p w:rsidR="00654B25" w:rsidRDefault="00654B25" w:rsidP="00654B25">
      <w:pPr>
        <w:rPr>
          <w:b/>
        </w:rPr>
      </w:pPr>
    </w:p>
    <w:p w:rsidR="00654B25" w:rsidRDefault="00654B25" w:rsidP="00654B25">
      <w:pPr>
        <w:rPr>
          <w:b/>
        </w:rPr>
      </w:pPr>
    </w:p>
    <w:p w:rsidR="007B0446" w:rsidRDefault="007B0446" w:rsidP="00654B25">
      <w:pPr>
        <w:rPr>
          <w:b/>
        </w:rPr>
      </w:pPr>
    </w:p>
    <w:p w:rsidR="005B21CA" w:rsidRDefault="005B21CA" w:rsidP="00654B25">
      <w:pPr>
        <w:rPr>
          <w:b/>
        </w:rPr>
      </w:pPr>
    </w:p>
    <w:p w:rsidR="005B21CA" w:rsidRDefault="005B21CA" w:rsidP="00654B25">
      <w:pPr>
        <w:rPr>
          <w:b/>
        </w:rPr>
      </w:pPr>
    </w:p>
    <w:p w:rsidR="007B0446" w:rsidRPr="00654B25" w:rsidRDefault="007B0446" w:rsidP="00654B25">
      <w:pPr>
        <w:rPr>
          <w:b/>
        </w:rPr>
      </w:pPr>
    </w:p>
    <w:p w:rsidR="00BB2F67" w:rsidRDefault="00BB2F67" w:rsidP="00BB2F67">
      <w:pPr>
        <w:jc w:val="center"/>
        <w:rPr>
          <w:b/>
          <w:u w:val="single"/>
        </w:rPr>
      </w:pPr>
      <w:r w:rsidRPr="00BB2F67">
        <w:rPr>
          <w:b/>
          <w:u w:val="single"/>
        </w:rPr>
        <w:lastRenderedPageBreak/>
        <w:t>REPARTITION DES FONDS GAVI POUR L'INTRODUCTION DU PCV 13</w:t>
      </w:r>
    </w:p>
    <w:tbl>
      <w:tblPr>
        <w:tblW w:w="997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543"/>
        <w:gridCol w:w="1179"/>
        <w:gridCol w:w="1376"/>
        <w:gridCol w:w="1034"/>
        <w:gridCol w:w="1398"/>
        <w:gridCol w:w="1209"/>
      </w:tblGrid>
      <w:tr w:rsidR="00BB2F67" w:rsidRPr="00BB2F67" w:rsidTr="0055109E">
        <w:trPr>
          <w:trHeight w:val="1367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Catégorie de coût Besoins totaux pour l'introduction du nouveau vaccin</w:t>
            </w:r>
          </w:p>
        </w:tc>
        <w:tc>
          <w:tcPr>
            <w:tcW w:w="27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Besoins totaux pour l'introduction du</w:t>
            </w: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br/>
              <w:t>nouveau vaccin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Financé avec l'allocation d'introduction de GAVI en $US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ECART</w:t>
            </w:r>
          </w:p>
        </w:tc>
      </w:tr>
      <w:tr w:rsidR="00BB2F67" w:rsidRPr="00BB2F67" w:rsidTr="0055109E">
        <w:trPr>
          <w:trHeight w:val="653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CFA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$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CFA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$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CFA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$</w:t>
            </w:r>
          </w:p>
        </w:tc>
      </w:tr>
      <w:tr w:rsidR="00BB2F67" w:rsidRPr="00BB2F67" w:rsidTr="0055109E">
        <w:trPr>
          <w:trHeight w:val="456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Formation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52 435 782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104 872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52 435 782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104 872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BB2F67" w:rsidRPr="00BB2F67" w:rsidTr="0055109E">
        <w:trPr>
          <w:trHeight w:val="1077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Mobilisation sociale, éducation, formation et communication, et plaidoyer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23 156 438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46 313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23 156 438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46 313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BB2F67" w:rsidRPr="00BB2F67" w:rsidTr="0055109E">
        <w:trPr>
          <w:trHeight w:val="516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Véhicule et transport 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215 436 954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430 874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8 436 954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16 874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207 000 000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414 000</w:t>
            </w:r>
          </w:p>
        </w:tc>
      </w:tr>
      <w:tr w:rsidR="00BB2F67" w:rsidRPr="00BB2F67" w:rsidTr="0055109E">
        <w:trPr>
          <w:trHeight w:val="7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Équipement et entretien de la</w:t>
            </w:r>
            <w:r w:rsidR="008D66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chaîne du froid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217 036 200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434 072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206 436 200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412 872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10 600 000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21 200</w:t>
            </w:r>
          </w:p>
        </w:tc>
      </w:tr>
      <w:tr w:rsidR="00BB2F67" w:rsidRPr="00BB2F67" w:rsidTr="0055109E">
        <w:trPr>
          <w:trHeight w:val="516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Gestion des déchets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15 276 922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30 554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15 276 922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30 554</w:t>
            </w:r>
          </w:p>
        </w:tc>
      </w:tr>
      <w:tr w:rsidR="00BB2F67" w:rsidRPr="00BB2F67" w:rsidTr="0055109E">
        <w:trPr>
          <w:trHeight w:val="516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Surveillance et suivi 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65 297 909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130 596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E21B35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65 297 909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130 596</w:t>
            </w:r>
          </w:p>
        </w:tc>
      </w:tr>
      <w:tr w:rsidR="00BB2F67" w:rsidRPr="00BB2F67" w:rsidTr="0055109E">
        <w:trPr>
          <w:trHeight w:val="623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Gestion du programme 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12 441 135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24 882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2 585 626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5 171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9 855 509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19 711</w:t>
            </w:r>
          </w:p>
        </w:tc>
      </w:tr>
      <w:tr w:rsidR="00BB2F67" w:rsidRPr="00BB2F67" w:rsidTr="0055109E">
        <w:trPr>
          <w:trHeight w:val="468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601 081 339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1 202 163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293 051 000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586 102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308 030 340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616 061</w:t>
            </w:r>
          </w:p>
        </w:tc>
      </w:tr>
    </w:tbl>
    <w:p w:rsidR="00E51BF2" w:rsidRPr="00DC1157" w:rsidRDefault="00E51BF2" w:rsidP="00795454">
      <w:pPr>
        <w:rPr>
          <w:b/>
          <w:sz w:val="2"/>
          <w:u w:val="single"/>
        </w:rPr>
      </w:pPr>
    </w:p>
    <w:p w:rsidR="00DB7D3A" w:rsidRDefault="00DB7D3A" w:rsidP="00DF5328">
      <w:pPr>
        <w:jc w:val="center"/>
        <w:rPr>
          <w:b/>
          <w:u w:val="single"/>
        </w:rPr>
      </w:pPr>
      <w:r>
        <w:rPr>
          <w:b/>
          <w:u w:val="single"/>
        </w:rPr>
        <w:t>BUDGET D’INTRODUCTION DU VACCIN CONTRE LE ROTAVIRUS</w:t>
      </w:r>
    </w:p>
    <w:tbl>
      <w:tblPr>
        <w:tblW w:w="93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377"/>
        <w:gridCol w:w="378"/>
        <w:gridCol w:w="378"/>
        <w:gridCol w:w="380"/>
        <w:gridCol w:w="378"/>
        <w:gridCol w:w="378"/>
        <w:gridCol w:w="378"/>
        <w:gridCol w:w="380"/>
        <w:gridCol w:w="378"/>
        <w:gridCol w:w="378"/>
        <w:gridCol w:w="378"/>
        <w:gridCol w:w="384"/>
        <w:gridCol w:w="1253"/>
        <w:gridCol w:w="1118"/>
      </w:tblGrid>
      <w:tr w:rsidR="00DF5328" w:rsidRPr="00654B25" w:rsidTr="00DF5328">
        <w:trPr>
          <w:trHeight w:val="323"/>
          <w:tblHeader/>
        </w:trPr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Activité</w:t>
            </w:r>
          </w:p>
        </w:tc>
        <w:tc>
          <w:tcPr>
            <w:tcW w:w="454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Chronogramme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Coût rota</w:t>
            </w:r>
          </w:p>
        </w:tc>
      </w:tr>
      <w:tr w:rsidR="00DF5328" w:rsidRPr="00654B25" w:rsidTr="00DF5328">
        <w:trPr>
          <w:trHeight w:val="307"/>
          <w:tblHeader/>
        </w:trPr>
        <w:tc>
          <w:tcPr>
            <w:tcW w:w="2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2015</w:t>
            </w: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DF5328" w:rsidRPr="00654B25" w:rsidTr="00DC1157">
        <w:trPr>
          <w:trHeight w:val="231"/>
          <w:tblHeader/>
        </w:trPr>
        <w:tc>
          <w:tcPr>
            <w:tcW w:w="2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CFA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$</w:t>
            </w:r>
          </w:p>
        </w:tc>
      </w:tr>
      <w:tr w:rsidR="00DF5328" w:rsidRPr="00654B25" w:rsidTr="00DC1157">
        <w:trPr>
          <w:trHeight w:val="492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Formation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52 435 782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104 872</w:t>
            </w:r>
          </w:p>
        </w:tc>
      </w:tr>
      <w:tr w:rsidR="00DF5328" w:rsidRPr="00654B25" w:rsidTr="00DC1157">
        <w:trPr>
          <w:trHeight w:val="697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Organiser des formations en cascades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52 435 782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104 872</w:t>
            </w:r>
          </w:p>
        </w:tc>
      </w:tr>
      <w:tr w:rsidR="00DF5328" w:rsidRPr="00654B25" w:rsidTr="00DC1157">
        <w:trPr>
          <w:trHeight w:val="851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Mobilisation sociale, éducation,</w:t>
            </w:r>
            <w:r w:rsidR="008D66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formation et communication, et plaidoyer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23 156 438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46 313</w:t>
            </w:r>
          </w:p>
        </w:tc>
      </w:tr>
      <w:tr w:rsidR="00DF5328" w:rsidRPr="00654B25" w:rsidTr="00DC1157">
        <w:trPr>
          <w:trHeight w:val="697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Organiser une cérémonie de lancement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5 000 000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10 000</w:t>
            </w:r>
          </w:p>
        </w:tc>
      </w:tr>
      <w:tr w:rsidR="00DF5328" w:rsidRPr="00654B25" w:rsidTr="00DC1157">
        <w:trPr>
          <w:trHeight w:val="1190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Organiser une rencontre d’information des autorités administratives et politique (gouverneurs, autres) et partenaires sur l’introduction du vaccin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2 861 438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5 723</w:t>
            </w:r>
          </w:p>
        </w:tc>
      </w:tr>
      <w:tr w:rsidR="00DF5328" w:rsidRPr="00654B25" w:rsidTr="00DC1157">
        <w:trPr>
          <w:trHeight w:val="711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Organiser un point de presse sur l’introduction du vaccin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425 000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850</w:t>
            </w:r>
          </w:p>
        </w:tc>
      </w:tr>
      <w:tr w:rsidR="00DF5328" w:rsidRPr="00654B25" w:rsidTr="00DC1157">
        <w:trPr>
          <w:trHeight w:val="408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lastRenderedPageBreak/>
              <w:t>Produire des spots radio et télé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2 840 000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5 680</w:t>
            </w:r>
          </w:p>
        </w:tc>
      </w:tr>
      <w:tr w:rsidR="00DF5328" w:rsidRPr="00654B25" w:rsidTr="00DC1157">
        <w:trPr>
          <w:trHeight w:val="558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Diffuser le spot à la télé et à la radio nationale et locale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10 430 000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20 860</w:t>
            </w:r>
          </w:p>
        </w:tc>
      </w:tr>
      <w:tr w:rsidR="00DF5328" w:rsidRPr="00654B25" w:rsidTr="00DC1157">
        <w:trPr>
          <w:trHeight w:val="482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Confectionner des affiches sur le calendrier vaccinal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1 600 000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3 200</w:t>
            </w:r>
          </w:p>
        </w:tc>
      </w:tr>
      <w:tr w:rsidR="00DF5328" w:rsidRPr="00654B25" w:rsidTr="00DC1157">
        <w:trPr>
          <w:trHeight w:val="476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Véhicule et transport 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8 436 954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16 874</w:t>
            </w:r>
          </w:p>
        </w:tc>
      </w:tr>
      <w:tr w:rsidR="00DF5328" w:rsidRPr="00654B25" w:rsidTr="00DC1157">
        <w:trPr>
          <w:trHeight w:val="662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Approvisionner les DRS, les districts et les CSPS en vaccin et consommables.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15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8 436 954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16 874</w:t>
            </w:r>
          </w:p>
        </w:tc>
      </w:tr>
      <w:tr w:rsidR="00DF5328" w:rsidRPr="00654B25" w:rsidTr="00DC1157">
        <w:trPr>
          <w:trHeight w:val="517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Équipement et entretien de la chaîne du froid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273 000 000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546 000</w:t>
            </w:r>
          </w:p>
        </w:tc>
      </w:tr>
      <w:tr w:rsidR="00DF5328" w:rsidRPr="00654B25" w:rsidTr="00DC1157">
        <w:trPr>
          <w:trHeight w:val="557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Acquérir des réfrigérateurs à vaccins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143 000 000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286 000</w:t>
            </w:r>
          </w:p>
        </w:tc>
      </w:tr>
      <w:tr w:rsidR="00DF5328" w:rsidRPr="00654B25" w:rsidTr="00DC1157">
        <w:trPr>
          <w:trHeight w:val="510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Acquérir des chambres froides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130 000 000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260 000</w:t>
            </w:r>
          </w:p>
        </w:tc>
      </w:tr>
      <w:tr w:rsidR="00DF5328" w:rsidRPr="00654B25" w:rsidTr="00DC1157">
        <w:trPr>
          <w:trHeight w:val="617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Acquisition des vaccins et consommable</w:t>
            </w:r>
            <w:r w:rsidR="00154293"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42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15429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5 465 687 961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154293" w:rsidRDefault="00DF5328" w:rsidP="00654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15429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10 931 376</w:t>
            </w:r>
          </w:p>
        </w:tc>
      </w:tr>
      <w:tr w:rsidR="00DF5328" w:rsidRPr="00654B25" w:rsidTr="00DC1157">
        <w:trPr>
          <w:trHeight w:val="462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Acquérir les vaccins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5 465 687 961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10 931 376</w:t>
            </w:r>
          </w:p>
        </w:tc>
      </w:tr>
      <w:tr w:rsidR="00DF5328" w:rsidRPr="00654B25" w:rsidTr="00DC1157">
        <w:trPr>
          <w:trHeight w:val="492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Surveillance et suivi 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65 297 909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7B0446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B04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130 596</w:t>
            </w:r>
          </w:p>
        </w:tc>
      </w:tr>
      <w:tr w:rsidR="00154293" w:rsidRPr="00654B25" w:rsidTr="00DC1157">
        <w:trPr>
          <w:trHeight w:val="499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93" w:rsidRPr="00654B25" w:rsidRDefault="00154293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Investiguer les cas de MAPI graves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93" w:rsidRPr="00654B25" w:rsidRDefault="00154293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93" w:rsidRPr="00654B25" w:rsidRDefault="00154293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93" w:rsidRPr="00654B25" w:rsidRDefault="00154293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93" w:rsidRPr="00654B25" w:rsidRDefault="00154293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93" w:rsidRPr="00654B25" w:rsidRDefault="00154293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93" w:rsidRPr="00654B25" w:rsidRDefault="00154293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D0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93" w:rsidRPr="00654B25" w:rsidRDefault="00154293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D0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93" w:rsidRPr="00654B25" w:rsidRDefault="00154293" w:rsidP="00DC1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D0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DC1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93" w:rsidRPr="00654B25" w:rsidRDefault="00154293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D0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93" w:rsidRPr="00654B25" w:rsidRDefault="00154293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D0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93" w:rsidRPr="00654B25" w:rsidRDefault="00154293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D0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x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293" w:rsidRPr="00654B25" w:rsidRDefault="00154293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D0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93" w:rsidRPr="00654B25" w:rsidRDefault="00154293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1 000 000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293" w:rsidRPr="00654B25" w:rsidRDefault="00154293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2 000</w:t>
            </w:r>
          </w:p>
        </w:tc>
      </w:tr>
      <w:tr w:rsidR="00DF5328" w:rsidRPr="00654B25" w:rsidTr="00DC1157">
        <w:trPr>
          <w:trHeight w:val="569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Organiser des rencontres semestrielles sur la surveillance du pneumocoque et </w:t>
            </w:r>
            <w:proofErr w:type="spellStart"/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rotavirus</w:t>
            </w:r>
            <w:proofErr w:type="spell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DC1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DC1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10 297 909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20 596</w:t>
            </w:r>
          </w:p>
        </w:tc>
      </w:tr>
      <w:tr w:rsidR="00DF5328" w:rsidRPr="00654B25" w:rsidTr="00DC1157">
        <w:trPr>
          <w:trHeight w:val="557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Faire une évaluation de l’impact de l’introduction du vaccin.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15429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54 000 000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108 000</w:t>
            </w:r>
          </w:p>
        </w:tc>
      </w:tr>
      <w:tr w:rsidR="00DF5328" w:rsidRPr="00654B25" w:rsidTr="00DC1157">
        <w:trPr>
          <w:trHeight w:val="492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Gestion du programme 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8 465 483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54B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16 931</w:t>
            </w:r>
          </w:p>
        </w:tc>
      </w:tr>
      <w:tr w:rsidR="00DF5328" w:rsidRPr="00654B25" w:rsidTr="00DC1157">
        <w:trPr>
          <w:trHeight w:val="548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Evaluer la mise en œuvre du plan un an après l’introduction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FF2A8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PM</w:t>
            </w:r>
          </w:p>
        </w:tc>
      </w:tr>
      <w:tr w:rsidR="00DF5328" w:rsidRPr="00654B25" w:rsidTr="00DC1157">
        <w:trPr>
          <w:trHeight w:val="555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Tenir des rencontres de coordination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FF2A8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FF2A8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FF2A8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FF2A8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840</w:t>
            </w:r>
          </w:p>
        </w:tc>
      </w:tr>
      <w:tr w:rsidR="00DF5328" w:rsidRPr="00654B25" w:rsidTr="00DC1157">
        <w:trPr>
          <w:trHeight w:val="481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Tenir des rencontres de plaidoyer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FF2A8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FF2A8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350 000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700</w:t>
            </w:r>
          </w:p>
        </w:tc>
      </w:tr>
      <w:tr w:rsidR="00DF5328" w:rsidRPr="00654B25" w:rsidTr="00DC1157">
        <w:trPr>
          <w:trHeight w:val="623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Réaliser des supervisions formatives semestriellement à tous les niveaux.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FF2A8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F65E50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FF2A8A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  <w:r w:rsidR="00DF5328"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FF2A8A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  <w:r w:rsidR="00DF5328"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7 695 483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328" w:rsidRPr="00654B25" w:rsidRDefault="00DF5328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654B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15 391</w:t>
            </w:r>
          </w:p>
        </w:tc>
      </w:tr>
      <w:tr w:rsidR="002A3894" w:rsidRPr="00107C76" w:rsidTr="00DC1157">
        <w:trPr>
          <w:trHeight w:val="623"/>
        </w:trPr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94" w:rsidRPr="00107C76" w:rsidRDefault="002A3894" w:rsidP="00654B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107C7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894" w:rsidRPr="00107C76" w:rsidRDefault="002A3894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94" w:rsidRPr="00107C76" w:rsidRDefault="002A3894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107C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5 896 480 526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94" w:rsidRPr="00107C76" w:rsidRDefault="002A3894" w:rsidP="00654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107C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11 792 961</w:t>
            </w:r>
          </w:p>
        </w:tc>
      </w:tr>
    </w:tbl>
    <w:p w:rsidR="00BB2F67" w:rsidRDefault="00BB2F67" w:rsidP="00795454">
      <w:pPr>
        <w:rPr>
          <w:b/>
          <w:u w:val="single"/>
        </w:rPr>
      </w:pPr>
    </w:p>
    <w:p w:rsidR="00BF61FF" w:rsidRDefault="00BF61FF" w:rsidP="00795454">
      <w:pPr>
        <w:rPr>
          <w:b/>
          <w:u w:val="single"/>
        </w:rPr>
      </w:pPr>
    </w:p>
    <w:p w:rsidR="00BF61FF" w:rsidRDefault="00BF61FF" w:rsidP="00795454">
      <w:pPr>
        <w:rPr>
          <w:b/>
          <w:u w:val="single"/>
        </w:rPr>
      </w:pPr>
    </w:p>
    <w:p w:rsidR="00BF61FF" w:rsidRDefault="00BF61FF" w:rsidP="00795454">
      <w:pPr>
        <w:rPr>
          <w:b/>
          <w:u w:val="single"/>
        </w:rPr>
      </w:pPr>
    </w:p>
    <w:p w:rsidR="00BB2F67" w:rsidRDefault="00BB2F67" w:rsidP="00BB2F67">
      <w:pPr>
        <w:jc w:val="center"/>
        <w:rPr>
          <w:b/>
          <w:u w:val="single"/>
        </w:rPr>
      </w:pPr>
      <w:r w:rsidRPr="00BB2F67">
        <w:rPr>
          <w:b/>
          <w:u w:val="single"/>
        </w:rPr>
        <w:lastRenderedPageBreak/>
        <w:t>REPARTITION DES FONDS GA</w:t>
      </w:r>
      <w:r>
        <w:rPr>
          <w:b/>
          <w:u w:val="single"/>
        </w:rPr>
        <w:t>VI POUR L'INTRODUCTION DU VACCIN CONTRE LE ROTAVIRUS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134"/>
        <w:gridCol w:w="1417"/>
        <w:gridCol w:w="1134"/>
        <w:gridCol w:w="1418"/>
        <w:gridCol w:w="992"/>
      </w:tblGrid>
      <w:tr w:rsidR="00BB2F67" w:rsidRPr="00BB2F67" w:rsidTr="0055109E">
        <w:trPr>
          <w:trHeight w:val="951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Catégorie de coût Besoins totaux pour l'introduction du nouveau vaccin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Besoins totaux pour l'introduction du</w:t>
            </w: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br/>
              <w:t>nouveau vaccin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Financé avec l'allocation d'introduction de GAVI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ECART</w:t>
            </w:r>
          </w:p>
        </w:tc>
      </w:tr>
      <w:tr w:rsidR="00BB2F67" w:rsidRPr="00BB2F67" w:rsidTr="0055109E">
        <w:trPr>
          <w:trHeight w:val="35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$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$</w:t>
            </w:r>
          </w:p>
        </w:tc>
      </w:tr>
      <w:tr w:rsidR="00BB2F67" w:rsidRPr="00BB2F67" w:rsidTr="0055109E">
        <w:trPr>
          <w:trHeight w:val="33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Formation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52 435 782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104 872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52 435 782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104 872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BB2F67" w:rsidRPr="00BB2F67" w:rsidTr="0055109E">
        <w:trPr>
          <w:trHeight w:val="114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Mobilisation sociale, éducation, formation et communication, et plaidoyer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23 156 438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46 313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23 156 438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46 313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BB2F67" w:rsidRPr="00BB2F67" w:rsidTr="0055109E">
        <w:trPr>
          <w:trHeight w:val="5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Véhicule et transport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8 436 954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16 874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8 436 954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16 874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BB2F67" w:rsidRPr="00BB2F67" w:rsidTr="0055109E">
        <w:trPr>
          <w:trHeight w:val="80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Équipement et entretien de la</w:t>
            </w:r>
            <w:r w:rsidR="00D25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chaîne du froid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273 000 000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546 000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219 281 327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438 563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53 718 673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107 437</w:t>
            </w:r>
          </w:p>
        </w:tc>
      </w:tr>
      <w:tr w:rsidR="00BB2F67" w:rsidRPr="00BB2F67" w:rsidTr="0055109E">
        <w:trPr>
          <w:trHeight w:val="54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Surveillance et suivi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65 297 909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130 596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E21B3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65 297 909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130 596</w:t>
            </w:r>
          </w:p>
        </w:tc>
      </w:tr>
      <w:tr w:rsidR="00BB2F67" w:rsidRPr="00BB2F67" w:rsidTr="0055109E">
        <w:trPr>
          <w:trHeight w:val="542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Gestion du programme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8 465 483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16 931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E21B3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BB2F6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8 465 483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color w:val="000000"/>
                <w:lang w:eastAsia="fr-FR"/>
              </w:rPr>
              <w:t>16 931</w:t>
            </w:r>
          </w:p>
        </w:tc>
      </w:tr>
      <w:tr w:rsidR="00BB2F67" w:rsidRPr="00BB2F67" w:rsidTr="0055109E">
        <w:trPr>
          <w:trHeight w:val="39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430 792 566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861 585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303 310 501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606 621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127 482 065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F67" w:rsidRPr="00BB2F67" w:rsidRDefault="00BB2F67" w:rsidP="00BB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2F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254 964</w:t>
            </w:r>
          </w:p>
        </w:tc>
      </w:tr>
    </w:tbl>
    <w:p w:rsidR="008F227E" w:rsidRDefault="008F227E" w:rsidP="008F227E">
      <w:pPr>
        <w:spacing w:after="0"/>
      </w:pPr>
    </w:p>
    <w:p w:rsidR="00BB2F67" w:rsidRDefault="00BB2F67" w:rsidP="00B663F2">
      <w:pPr>
        <w:spacing w:after="0"/>
        <w:rPr>
          <w:sz w:val="24"/>
          <w:szCs w:val="24"/>
        </w:rPr>
      </w:pPr>
      <w:r w:rsidRPr="00B663F2">
        <w:rPr>
          <w:sz w:val="24"/>
          <w:szCs w:val="24"/>
        </w:rPr>
        <w:t>L’Ecart sera financé par la contribution de l’Etat et des partenaires techniques et financiers locaux</w:t>
      </w:r>
      <w:r w:rsidR="008F227E" w:rsidRPr="00B663F2">
        <w:rPr>
          <w:sz w:val="24"/>
          <w:szCs w:val="24"/>
        </w:rPr>
        <w:t>.</w:t>
      </w:r>
    </w:p>
    <w:p w:rsidR="002147DD" w:rsidRPr="00B663F2" w:rsidRDefault="002147DD" w:rsidP="00B663F2">
      <w:pPr>
        <w:spacing w:after="0"/>
        <w:rPr>
          <w:sz w:val="24"/>
          <w:szCs w:val="24"/>
        </w:rPr>
      </w:pPr>
    </w:p>
    <w:p w:rsidR="00D2532C" w:rsidRDefault="008F227E" w:rsidP="00B663F2">
      <w:pPr>
        <w:spacing w:after="0"/>
        <w:jc w:val="both"/>
        <w:rPr>
          <w:sz w:val="24"/>
          <w:szCs w:val="24"/>
        </w:rPr>
      </w:pPr>
      <w:r w:rsidRPr="00B663F2">
        <w:rPr>
          <w:sz w:val="24"/>
          <w:szCs w:val="24"/>
        </w:rPr>
        <w:t>Concernant les divergences notées</w:t>
      </w:r>
      <w:r w:rsidR="002147DD">
        <w:rPr>
          <w:sz w:val="24"/>
          <w:szCs w:val="24"/>
        </w:rPr>
        <w:t xml:space="preserve"> dans la budgétisation du plan d’introduction des nouveaux vaccins</w:t>
      </w:r>
      <w:r w:rsidRPr="00B663F2">
        <w:rPr>
          <w:sz w:val="24"/>
          <w:szCs w:val="24"/>
        </w:rPr>
        <w:t>, il s’agit plutôt de deux activités distinctes. IL faut d’abord produire c'est-à-dire réaliser les spots télé et radio pour chaque type de vaccin à introduire et ensuite à les diffuser par le biais des télévisions et des radios.</w:t>
      </w:r>
      <w:r w:rsidR="00D2532C">
        <w:rPr>
          <w:sz w:val="24"/>
          <w:szCs w:val="24"/>
        </w:rPr>
        <w:t xml:space="preserve"> </w:t>
      </w:r>
    </w:p>
    <w:p w:rsidR="00D2532C" w:rsidRDefault="00D2532C" w:rsidP="00B663F2">
      <w:pPr>
        <w:spacing w:after="0"/>
        <w:jc w:val="both"/>
        <w:rPr>
          <w:sz w:val="24"/>
          <w:szCs w:val="24"/>
        </w:rPr>
      </w:pPr>
    </w:p>
    <w:p w:rsidR="008F227E" w:rsidRDefault="00D2532C" w:rsidP="00B663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faut noter que certaines activités sont planifiées pour être réalisées lors de l’introduction de chaque nouveau vaccin notamment les lancements, les rencontres de coordination et de plaidoyer, les acquisitions</w:t>
      </w:r>
      <w:r w:rsidR="009242A4">
        <w:rPr>
          <w:sz w:val="24"/>
          <w:szCs w:val="24"/>
        </w:rPr>
        <w:t xml:space="preserve"> de matériel chaî</w:t>
      </w:r>
      <w:r>
        <w:rPr>
          <w:sz w:val="24"/>
          <w:szCs w:val="24"/>
        </w:rPr>
        <w:t>ne de froid et les formations.</w:t>
      </w:r>
    </w:p>
    <w:p w:rsidR="002147DD" w:rsidRPr="00B663F2" w:rsidRDefault="002147DD" w:rsidP="00B663F2">
      <w:pPr>
        <w:spacing w:after="0"/>
        <w:jc w:val="both"/>
        <w:rPr>
          <w:sz w:val="24"/>
          <w:szCs w:val="24"/>
        </w:rPr>
      </w:pPr>
    </w:p>
    <w:p w:rsidR="00B663F2" w:rsidRDefault="00DB7D3A" w:rsidP="00B663F2">
      <w:pPr>
        <w:spacing w:after="0"/>
        <w:jc w:val="both"/>
        <w:rPr>
          <w:sz w:val="24"/>
          <w:szCs w:val="24"/>
        </w:rPr>
      </w:pPr>
      <w:r w:rsidRPr="00B663F2">
        <w:rPr>
          <w:sz w:val="24"/>
          <w:szCs w:val="24"/>
        </w:rPr>
        <w:t>On note également que l’insuffisance de financement de 12 ,9 millions de USD</w:t>
      </w:r>
      <w:r w:rsidR="00107C76">
        <w:rPr>
          <w:sz w:val="24"/>
          <w:szCs w:val="24"/>
        </w:rPr>
        <w:t xml:space="preserve"> du PPAC</w:t>
      </w:r>
      <w:r w:rsidRPr="00B663F2">
        <w:rPr>
          <w:sz w:val="24"/>
          <w:szCs w:val="24"/>
        </w:rPr>
        <w:t xml:space="preserve"> mentionné dans votre rapport ne concerne pas </w:t>
      </w:r>
      <w:r w:rsidR="00B663F2" w:rsidRPr="00B663F2">
        <w:rPr>
          <w:sz w:val="24"/>
          <w:szCs w:val="24"/>
        </w:rPr>
        <w:t>l</w:t>
      </w:r>
      <w:r w:rsidRPr="00B663F2">
        <w:rPr>
          <w:sz w:val="24"/>
          <w:szCs w:val="24"/>
        </w:rPr>
        <w:t>a logistique comme vous l’</w:t>
      </w:r>
      <w:r w:rsidR="00B663F2" w:rsidRPr="00B663F2">
        <w:rPr>
          <w:sz w:val="24"/>
          <w:szCs w:val="24"/>
        </w:rPr>
        <w:t>avez sou</w:t>
      </w:r>
      <w:r w:rsidRPr="00B663F2">
        <w:rPr>
          <w:sz w:val="24"/>
          <w:szCs w:val="24"/>
        </w:rPr>
        <w:t>ligné mais plutôt les activités et autres coûts récurrents (Formation à court terme, Mobilisation sociale et   IEC, Contrôle et surveillance des maladies, Gestion du programme maintenance et frais généraux). Pour la logistique, l’insuffisance représente 23%.</w:t>
      </w:r>
    </w:p>
    <w:p w:rsidR="00B663F2" w:rsidRDefault="00B663F2" w:rsidP="00B663F2">
      <w:pPr>
        <w:rPr>
          <w:sz w:val="24"/>
          <w:szCs w:val="24"/>
        </w:rPr>
      </w:pPr>
    </w:p>
    <w:p w:rsidR="00710665" w:rsidRDefault="00710665" w:rsidP="00B663F2">
      <w:pPr>
        <w:rPr>
          <w:sz w:val="24"/>
          <w:szCs w:val="24"/>
        </w:rPr>
      </w:pPr>
    </w:p>
    <w:p w:rsidR="00710665" w:rsidRDefault="00710665" w:rsidP="00B663F2">
      <w:pPr>
        <w:rPr>
          <w:sz w:val="24"/>
          <w:szCs w:val="24"/>
        </w:rPr>
      </w:pPr>
    </w:p>
    <w:p w:rsidR="00BB2F67" w:rsidRDefault="00B663F2" w:rsidP="00B663F2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B663F2">
        <w:rPr>
          <w:b/>
          <w:sz w:val="24"/>
          <w:szCs w:val="24"/>
        </w:rPr>
        <w:lastRenderedPageBreak/>
        <w:t>VOLET INVENTAIRE DES EQUIPEMENTS DE LA CHAINE DE FROID</w:t>
      </w:r>
    </w:p>
    <w:p w:rsidR="00B663F2" w:rsidRDefault="00B663F2" w:rsidP="00B663F2">
      <w:pPr>
        <w:rPr>
          <w:sz w:val="24"/>
          <w:szCs w:val="24"/>
        </w:rPr>
      </w:pPr>
      <w:r w:rsidRPr="00B663F2">
        <w:rPr>
          <w:sz w:val="24"/>
          <w:szCs w:val="24"/>
        </w:rPr>
        <w:t xml:space="preserve">Le Burkina Faso a réalisé un </w:t>
      </w:r>
      <w:r>
        <w:rPr>
          <w:sz w:val="24"/>
          <w:szCs w:val="24"/>
        </w:rPr>
        <w:t>i</w:t>
      </w:r>
      <w:r w:rsidRPr="00B663F2">
        <w:rPr>
          <w:sz w:val="24"/>
          <w:szCs w:val="24"/>
        </w:rPr>
        <w:t>nventaire des équipements</w:t>
      </w:r>
      <w:r>
        <w:rPr>
          <w:sz w:val="24"/>
          <w:szCs w:val="24"/>
        </w:rPr>
        <w:t xml:space="preserve"> CDF au cours du mois de Décembre 2012 dont le rapport est annexé.</w:t>
      </w:r>
    </w:p>
    <w:p w:rsidR="00BF61FF" w:rsidRDefault="00B663F2" w:rsidP="00B663F2">
      <w:pPr>
        <w:rPr>
          <w:sz w:val="24"/>
          <w:szCs w:val="24"/>
        </w:rPr>
      </w:pPr>
      <w:r>
        <w:rPr>
          <w:sz w:val="24"/>
          <w:szCs w:val="24"/>
        </w:rPr>
        <w:t xml:space="preserve">Pour ce qui concerne les capacités de stockage dans le cadre de l’introduction du vaccin contre le </w:t>
      </w:r>
      <w:proofErr w:type="spellStart"/>
      <w:r>
        <w:rPr>
          <w:sz w:val="24"/>
          <w:szCs w:val="24"/>
        </w:rPr>
        <w:t>rotavirus</w:t>
      </w:r>
      <w:proofErr w:type="spellEnd"/>
      <w:r>
        <w:rPr>
          <w:sz w:val="24"/>
          <w:szCs w:val="24"/>
        </w:rPr>
        <w:t>, il existe effective</w:t>
      </w:r>
      <w:r w:rsidR="00710665">
        <w:rPr>
          <w:sz w:val="24"/>
          <w:szCs w:val="24"/>
        </w:rPr>
        <w:t>ment un déficit a comblé. Toute</w:t>
      </w:r>
      <w:r>
        <w:rPr>
          <w:sz w:val="24"/>
          <w:szCs w:val="24"/>
        </w:rPr>
        <w:t>fois des acquisitions sont planifiées dans le cadre du plan d’introduction des nouveaux vacci</w:t>
      </w:r>
      <w:r w:rsidR="00D07431">
        <w:rPr>
          <w:sz w:val="24"/>
          <w:szCs w:val="24"/>
        </w:rPr>
        <w:t>n</w:t>
      </w:r>
      <w:r>
        <w:rPr>
          <w:sz w:val="24"/>
          <w:szCs w:val="24"/>
        </w:rPr>
        <w:t xml:space="preserve">s avec les fonds destinés aux activités alloué par GAVI.  </w:t>
      </w:r>
      <w:r w:rsidR="00710665">
        <w:rPr>
          <w:sz w:val="24"/>
          <w:szCs w:val="24"/>
        </w:rPr>
        <w:t>Egalement dans la requête pour le renforcement du système de santé des acquisitions sont aussi prévues pour renforcer la chaine du froid.</w:t>
      </w:r>
    </w:p>
    <w:p w:rsidR="000C22B6" w:rsidRPr="000C22B6" w:rsidRDefault="00D55761" w:rsidP="000C22B6">
      <w:pPr>
        <w:pStyle w:val="Paragraphedeliste"/>
        <w:numPr>
          <w:ilvl w:val="0"/>
          <w:numId w:val="6"/>
        </w:numPr>
        <w:rPr>
          <w:b/>
        </w:rPr>
      </w:pPr>
      <w:r>
        <w:rPr>
          <w:b/>
        </w:rPr>
        <w:t xml:space="preserve">PAR RAPPORT A LA PRISE EN CHARGE DES </w:t>
      </w:r>
      <w:r w:rsidR="000C22B6" w:rsidRPr="000C22B6">
        <w:rPr>
          <w:b/>
        </w:rPr>
        <w:t>MAPI</w:t>
      </w:r>
    </w:p>
    <w:p w:rsidR="000C22B6" w:rsidRPr="00503D9D" w:rsidRDefault="000C22B6" w:rsidP="00503D9D">
      <w:pPr>
        <w:rPr>
          <w:sz w:val="24"/>
          <w:szCs w:val="24"/>
        </w:rPr>
      </w:pPr>
      <w:r w:rsidRPr="00503D9D">
        <w:rPr>
          <w:sz w:val="24"/>
          <w:szCs w:val="24"/>
        </w:rPr>
        <w:t>Le suivi des MAPI liées au vaccin anti-</w:t>
      </w:r>
      <w:proofErr w:type="spellStart"/>
      <w:r w:rsidRPr="00503D9D">
        <w:rPr>
          <w:sz w:val="24"/>
          <w:szCs w:val="24"/>
        </w:rPr>
        <w:t>rotavirus</w:t>
      </w:r>
      <w:proofErr w:type="spellEnd"/>
      <w:r w:rsidRPr="00503D9D">
        <w:rPr>
          <w:sz w:val="24"/>
          <w:szCs w:val="24"/>
        </w:rPr>
        <w:t xml:space="preserve"> se fera au niveau d</w:t>
      </w:r>
      <w:r w:rsidR="001D7915">
        <w:rPr>
          <w:sz w:val="24"/>
          <w:szCs w:val="24"/>
        </w:rPr>
        <w:t xml:space="preserve">e la direction générale de la pharmacie, du médicament et des laboratoires. </w:t>
      </w:r>
      <w:r w:rsidRPr="00503D9D">
        <w:rPr>
          <w:sz w:val="24"/>
          <w:szCs w:val="24"/>
        </w:rPr>
        <w:t>La prise en charge des MAPI sera améliorée par :</w:t>
      </w:r>
    </w:p>
    <w:p w:rsidR="000C22B6" w:rsidRPr="00503D9D" w:rsidRDefault="000C22B6" w:rsidP="00503D9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503D9D">
        <w:rPr>
          <w:sz w:val="24"/>
          <w:szCs w:val="24"/>
        </w:rPr>
        <w:t xml:space="preserve">la formation </w:t>
      </w:r>
      <w:r w:rsidR="001D7915">
        <w:rPr>
          <w:sz w:val="24"/>
          <w:szCs w:val="24"/>
        </w:rPr>
        <w:t>sur la</w:t>
      </w:r>
      <w:r w:rsidRPr="00503D9D">
        <w:rPr>
          <w:sz w:val="24"/>
          <w:szCs w:val="24"/>
        </w:rPr>
        <w:t xml:space="preserve"> prise en charge des MAPI</w:t>
      </w:r>
    </w:p>
    <w:p w:rsidR="001D7915" w:rsidRPr="001D7915" w:rsidRDefault="000C22B6" w:rsidP="001D7915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503D9D">
        <w:rPr>
          <w:sz w:val="24"/>
          <w:szCs w:val="24"/>
        </w:rPr>
        <w:t>la supervision des acteurs de vaccinations y compris la surveillance des MAPI</w:t>
      </w:r>
      <w:bookmarkStart w:id="0" w:name="_GoBack"/>
      <w:bookmarkEnd w:id="0"/>
    </w:p>
    <w:p w:rsidR="001D7915" w:rsidRDefault="001D7915" w:rsidP="001D7915">
      <w:pPr>
        <w:rPr>
          <w:sz w:val="24"/>
          <w:szCs w:val="24"/>
        </w:rPr>
      </w:pPr>
      <w:r>
        <w:rPr>
          <w:sz w:val="24"/>
          <w:szCs w:val="24"/>
        </w:rPr>
        <w:t xml:space="preserve">En ce qui concerne la surveillance, </w:t>
      </w:r>
      <w:r w:rsidR="000C22B6" w:rsidRPr="001D7915">
        <w:rPr>
          <w:sz w:val="24"/>
          <w:szCs w:val="24"/>
        </w:rPr>
        <w:t xml:space="preserve">une cellule </w:t>
      </w:r>
      <w:r>
        <w:rPr>
          <w:sz w:val="24"/>
          <w:szCs w:val="24"/>
        </w:rPr>
        <w:t xml:space="preserve">est mise en place </w:t>
      </w:r>
      <w:r w:rsidR="000C22B6" w:rsidRPr="001D7915">
        <w:rPr>
          <w:sz w:val="24"/>
          <w:szCs w:val="24"/>
        </w:rPr>
        <w:t>au laboratoire national de santé publique</w:t>
      </w:r>
      <w:r>
        <w:rPr>
          <w:sz w:val="24"/>
          <w:szCs w:val="24"/>
        </w:rPr>
        <w:t xml:space="preserve"> en collaboration avec l’OMS.</w:t>
      </w:r>
      <w:r w:rsidR="000C22B6" w:rsidRPr="001D79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laboratoire jouera un rôle de site sentinelle. </w:t>
      </w:r>
    </w:p>
    <w:sectPr w:rsidR="001D7915" w:rsidSect="008D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69" w:rsidRDefault="00776A69" w:rsidP="00BB2F67">
      <w:pPr>
        <w:spacing w:after="0" w:line="240" w:lineRule="auto"/>
      </w:pPr>
      <w:r>
        <w:separator/>
      </w:r>
    </w:p>
  </w:endnote>
  <w:endnote w:type="continuationSeparator" w:id="0">
    <w:p w:rsidR="00776A69" w:rsidRDefault="00776A69" w:rsidP="00BB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69" w:rsidRDefault="00776A69" w:rsidP="00BB2F67">
      <w:pPr>
        <w:spacing w:after="0" w:line="240" w:lineRule="auto"/>
      </w:pPr>
      <w:r>
        <w:separator/>
      </w:r>
    </w:p>
  </w:footnote>
  <w:footnote w:type="continuationSeparator" w:id="0">
    <w:p w:rsidR="00776A69" w:rsidRDefault="00776A69" w:rsidP="00BB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B41"/>
    <w:multiLevelType w:val="hybridMultilevel"/>
    <w:tmpl w:val="31E23326"/>
    <w:lvl w:ilvl="0" w:tplc="E41831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5280B"/>
    <w:multiLevelType w:val="hybridMultilevel"/>
    <w:tmpl w:val="603E85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A79F3"/>
    <w:multiLevelType w:val="hybridMultilevel"/>
    <w:tmpl w:val="6B760F7E"/>
    <w:lvl w:ilvl="0" w:tplc="E41831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D1095"/>
    <w:multiLevelType w:val="hybridMultilevel"/>
    <w:tmpl w:val="9DFA064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D272E"/>
    <w:multiLevelType w:val="hybridMultilevel"/>
    <w:tmpl w:val="CDBEA38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227F2"/>
    <w:multiLevelType w:val="hybridMultilevel"/>
    <w:tmpl w:val="15B06AE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A34BF0"/>
    <w:multiLevelType w:val="hybridMultilevel"/>
    <w:tmpl w:val="0672A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87"/>
    <w:rsid w:val="00051035"/>
    <w:rsid w:val="000639AD"/>
    <w:rsid w:val="00064228"/>
    <w:rsid w:val="00086CB9"/>
    <w:rsid w:val="000C22B6"/>
    <w:rsid w:val="00107C76"/>
    <w:rsid w:val="00154293"/>
    <w:rsid w:val="001D7915"/>
    <w:rsid w:val="002147DD"/>
    <w:rsid w:val="00237867"/>
    <w:rsid w:val="00257B3C"/>
    <w:rsid w:val="002A3894"/>
    <w:rsid w:val="002A5D23"/>
    <w:rsid w:val="002F296D"/>
    <w:rsid w:val="00342B95"/>
    <w:rsid w:val="00450CEF"/>
    <w:rsid w:val="004940F8"/>
    <w:rsid w:val="00496C31"/>
    <w:rsid w:val="004A6F32"/>
    <w:rsid w:val="004E4332"/>
    <w:rsid w:val="00503D9D"/>
    <w:rsid w:val="0055109E"/>
    <w:rsid w:val="00596081"/>
    <w:rsid w:val="005A5A58"/>
    <w:rsid w:val="005B21CA"/>
    <w:rsid w:val="006168F1"/>
    <w:rsid w:val="00645040"/>
    <w:rsid w:val="00654B25"/>
    <w:rsid w:val="00710665"/>
    <w:rsid w:val="00776A69"/>
    <w:rsid w:val="00795454"/>
    <w:rsid w:val="007B0446"/>
    <w:rsid w:val="00813181"/>
    <w:rsid w:val="008A1B8A"/>
    <w:rsid w:val="008C1176"/>
    <w:rsid w:val="008D1057"/>
    <w:rsid w:val="008D3187"/>
    <w:rsid w:val="008D66A4"/>
    <w:rsid w:val="008F227E"/>
    <w:rsid w:val="00920123"/>
    <w:rsid w:val="009242A4"/>
    <w:rsid w:val="00995205"/>
    <w:rsid w:val="00AB5296"/>
    <w:rsid w:val="00AC65F7"/>
    <w:rsid w:val="00B31A26"/>
    <w:rsid w:val="00B322C0"/>
    <w:rsid w:val="00B36E39"/>
    <w:rsid w:val="00B663F2"/>
    <w:rsid w:val="00B81CC7"/>
    <w:rsid w:val="00B9485B"/>
    <w:rsid w:val="00BB2F67"/>
    <w:rsid w:val="00BE60A4"/>
    <w:rsid w:val="00BF61FF"/>
    <w:rsid w:val="00C06596"/>
    <w:rsid w:val="00D07431"/>
    <w:rsid w:val="00D2532C"/>
    <w:rsid w:val="00D5106C"/>
    <w:rsid w:val="00D55761"/>
    <w:rsid w:val="00DB6C6F"/>
    <w:rsid w:val="00DB7D3A"/>
    <w:rsid w:val="00DC1157"/>
    <w:rsid w:val="00DF5328"/>
    <w:rsid w:val="00E21B35"/>
    <w:rsid w:val="00E51BF2"/>
    <w:rsid w:val="00ED065B"/>
    <w:rsid w:val="00F65E50"/>
    <w:rsid w:val="00FA6B17"/>
    <w:rsid w:val="00FE1107"/>
    <w:rsid w:val="00FF2A8A"/>
    <w:rsid w:val="00FF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50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B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B2F67"/>
  </w:style>
  <w:style w:type="paragraph" w:styleId="Pieddepage">
    <w:name w:val="footer"/>
    <w:basedOn w:val="Normal"/>
    <w:link w:val="PieddepageCar"/>
    <w:uiPriority w:val="99"/>
    <w:semiHidden/>
    <w:unhideWhenUsed/>
    <w:rsid w:val="00BB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2F67"/>
  </w:style>
  <w:style w:type="character" w:styleId="Marquedecommentaire">
    <w:name w:val="annotation reference"/>
    <w:basedOn w:val="Policepardfaut"/>
    <w:uiPriority w:val="99"/>
    <w:semiHidden/>
    <w:unhideWhenUsed/>
    <w:rsid w:val="00E21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1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1B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1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1B3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50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B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B2F67"/>
  </w:style>
  <w:style w:type="paragraph" w:styleId="Pieddepage">
    <w:name w:val="footer"/>
    <w:basedOn w:val="Normal"/>
    <w:link w:val="PieddepageCar"/>
    <w:uiPriority w:val="99"/>
    <w:semiHidden/>
    <w:unhideWhenUsed/>
    <w:rsid w:val="00BB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2F67"/>
  </w:style>
  <w:style w:type="character" w:styleId="Marquedecommentaire">
    <w:name w:val="annotation reference"/>
    <w:basedOn w:val="Policepardfaut"/>
    <w:uiPriority w:val="99"/>
    <w:semiHidden/>
    <w:unhideWhenUsed/>
    <w:rsid w:val="00E21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1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1B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1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1B3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1604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2013-01-12T11:19:00Z</dcterms:created>
  <dcterms:modified xsi:type="dcterms:W3CDTF">2013-01-12T13:19:00Z</dcterms:modified>
</cp:coreProperties>
</file>