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AD" w:rsidRPr="00246E86" w:rsidRDefault="0001024D" w:rsidP="0001024D">
      <w:pPr>
        <w:jc w:val="both"/>
        <w:rPr>
          <w:rFonts w:ascii="Times New Roman" w:hAnsi="Times New Roman" w:cs="Times New Roman"/>
          <w:b/>
          <w:sz w:val="24"/>
          <w:szCs w:val="24"/>
        </w:rPr>
      </w:pPr>
      <w:r w:rsidRPr="00246E86">
        <w:rPr>
          <w:rFonts w:ascii="Times New Roman" w:hAnsi="Times New Roman" w:cs="Times New Roman"/>
          <w:b/>
          <w:sz w:val="24"/>
          <w:szCs w:val="24"/>
        </w:rPr>
        <w:t xml:space="preserve">HPV </w:t>
      </w:r>
      <w:r w:rsidR="006C1754">
        <w:rPr>
          <w:rFonts w:ascii="Times New Roman" w:hAnsi="Times New Roman" w:cs="Times New Roman"/>
          <w:b/>
          <w:sz w:val="24"/>
          <w:szCs w:val="24"/>
        </w:rPr>
        <w:t xml:space="preserve">DEMONSTRATION </w:t>
      </w:r>
      <w:r w:rsidRPr="00246E86">
        <w:rPr>
          <w:rFonts w:ascii="Times New Roman" w:hAnsi="Times New Roman" w:cs="Times New Roman"/>
          <w:b/>
          <w:sz w:val="24"/>
          <w:szCs w:val="24"/>
        </w:rPr>
        <w:t>CLARIFICATIONS</w:t>
      </w:r>
      <w:r w:rsidR="007142BC">
        <w:rPr>
          <w:rFonts w:ascii="Times New Roman" w:hAnsi="Times New Roman" w:cs="Times New Roman"/>
          <w:b/>
          <w:sz w:val="24"/>
          <w:szCs w:val="24"/>
        </w:rPr>
        <w:t xml:space="preserve"> TO IRC</w:t>
      </w:r>
    </w:p>
    <w:p w:rsidR="0001024D" w:rsidRDefault="0001024D" w:rsidP="0001024D">
      <w:pPr>
        <w:pStyle w:val="ListParagraph"/>
        <w:numPr>
          <w:ilvl w:val="0"/>
          <w:numId w:val="1"/>
        </w:numPr>
        <w:jc w:val="both"/>
        <w:rPr>
          <w:rFonts w:ascii="Times New Roman" w:hAnsi="Times New Roman" w:cs="Times New Roman"/>
          <w:sz w:val="24"/>
          <w:szCs w:val="24"/>
        </w:rPr>
      </w:pPr>
      <w:r w:rsidRPr="0001024D">
        <w:rPr>
          <w:rFonts w:ascii="Times New Roman" w:hAnsi="Times New Roman" w:cs="Times New Roman"/>
          <w:sz w:val="24"/>
          <w:szCs w:val="24"/>
        </w:rPr>
        <w:t>The country has revi</w:t>
      </w:r>
      <w:r w:rsidR="00366BB7">
        <w:rPr>
          <w:rFonts w:ascii="Times New Roman" w:hAnsi="Times New Roman" w:cs="Times New Roman"/>
          <w:sz w:val="24"/>
          <w:szCs w:val="24"/>
        </w:rPr>
        <w:t xml:space="preserve">sed the data based </w:t>
      </w:r>
      <w:r w:rsidRPr="0001024D">
        <w:rPr>
          <w:rFonts w:ascii="Times New Roman" w:hAnsi="Times New Roman" w:cs="Times New Roman"/>
          <w:sz w:val="24"/>
          <w:szCs w:val="24"/>
        </w:rPr>
        <w:t>particularly</w:t>
      </w:r>
      <w:r w:rsidR="00C1731B">
        <w:rPr>
          <w:rFonts w:ascii="Times New Roman" w:hAnsi="Times New Roman" w:cs="Times New Roman"/>
          <w:sz w:val="24"/>
          <w:szCs w:val="24"/>
        </w:rPr>
        <w:t xml:space="preserve"> on</w:t>
      </w:r>
      <w:r w:rsidRPr="0001024D">
        <w:rPr>
          <w:rFonts w:ascii="Times New Roman" w:hAnsi="Times New Roman" w:cs="Times New Roman"/>
          <w:sz w:val="24"/>
          <w:szCs w:val="24"/>
        </w:rPr>
        <w:t xml:space="preserve"> </w:t>
      </w:r>
      <w:r w:rsidR="00366BB7">
        <w:rPr>
          <w:rFonts w:ascii="Times New Roman" w:hAnsi="Times New Roman" w:cs="Times New Roman"/>
          <w:sz w:val="24"/>
          <w:szCs w:val="24"/>
        </w:rPr>
        <w:t xml:space="preserve">availability </w:t>
      </w:r>
      <w:r w:rsidRPr="0001024D">
        <w:rPr>
          <w:rFonts w:ascii="Times New Roman" w:hAnsi="Times New Roman" w:cs="Times New Roman"/>
          <w:sz w:val="24"/>
          <w:szCs w:val="24"/>
        </w:rPr>
        <w:t xml:space="preserve">of vaccines and has </w:t>
      </w:r>
      <w:r w:rsidR="001B3C88">
        <w:rPr>
          <w:rFonts w:ascii="Times New Roman" w:hAnsi="Times New Roman" w:cs="Times New Roman"/>
          <w:sz w:val="24"/>
          <w:szCs w:val="24"/>
        </w:rPr>
        <w:t>agree</w:t>
      </w:r>
      <w:r w:rsidRPr="0001024D">
        <w:rPr>
          <w:rFonts w:ascii="Times New Roman" w:hAnsi="Times New Roman" w:cs="Times New Roman"/>
          <w:sz w:val="24"/>
          <w:szCs w:val="24"/>
        </w:rPr>
        <w:t>d on doing the demonstration programme in Bo district alone.</w:t>
      </w:r>
      <w:r w:rsidR="0082799E">
        <w:rPr>
          <w:rFonts w:ascii="Times New Roman" w:hAnsi="Times New Roman" w:cs="Times New Roman"/>
          <w:sz w:val="24"/>
          <w:szCs w:val="24"/>
        </w:rPr>
        <w:t xml:space="preserve"> Based on this decision, the vaccine and other supplies requirements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3150"/>
        <w:gridCol w:w="2160"/>
      </w:tblGrid>
      <w:tr w:rsidR="0082799E" w:rsidRPr="00280201" w:rsidTr="003C77AE">
        <w:tc>
          <w:tcPr>
            <w:tcW w:w="2688" w:type="dxa"/>
            <w:shd w:val="clear" w:color="auto" w:fill="auto"/>
          </w:tcPr>
          <w:p w:rsidR="0082799E" w:rsidRPr="00280201" w:rsidRDefault="0082799E" w:rsidP="003C77AE">
            <w:pPr>
              <w:ind w:right="120"/>
              <w:jc w:val="both"/>
              <w:rPr>
                <w:rFonts w:ascii="Times New Roman" w:hAnsi="Times New Roman" w:cs="Times New Roman"/>
                <w:b/>
                <w:sz w:val="24"/>
                <w:szCs w:val="24"/>
              </w:rPr>
            </w:pPr>
            <w:r w:rsidRPr="00280201">
              <w:rPr>
                <w:rFonts w:ascii="Times New Roman" w:hAnsi="Times New Roman" w:cs="Times New Roman"/>
                <w:b/>
                <w:sz w:val="24"/>
                <w:szCs w:val="24"/>
              </w:rPr>
              <w:t>Required supply item</w:t>
            </w:r>
          </w:p>
        </w:tc>
        <w:tc>
          <w:tcPr>
            <w:tcW w:w="3150" w:type="dxa"/>
            <w:shd w:val="clear" w:color="auto" w:fill="auto"/>
          </w:tcPr>
          <w:p w:rsidR="0082799E" w:rsidRPr="00280201" w:rsidRDefault="0082799E" w:rsidP="003C77AE">
            <w:pPr>
              <w:ind w:right="120"/>
              <w:jc w:val="both"/>
              <w:rPr>
                <w:rFonts w:ascii="Times New Roman" w:hAnsi="Times New Roman" w:cs="Times New Roman"/>
                <w:sz w:val="24"/>
                <w:szCs w:val="24"/>
              </w:rPr>
            </w:pPr>
            <w:r w:rsidRPr="00280201">
              <w:rPr>
                <w:rFonts w:ascii="Times New Roman" w:hAnsi="Times New Roman" w:cs="Times New Roman"/>
                <w:sz w:val="24"/>
                <w:szCs w:val="24"/>
              </w:rPr>
              <w:t># Year 1 (2013)</w:t>
            </w:r>
          </w:p>
        </w:tc>
        <w:tc>
          <w:tcPr>
            <w:tcW w:w="2160" w:type="dxa"/>
            <w:shd w:val="clear" w:color="auto" w:fill="auto"/>
          </w:tcPr>
          <w:p w:rsidR="0082799E" w:rsidRPr="00280201" w:rsidRDefault="0082799E" w:rsidP="003C77AE">
            <w:pPr>
              <w:ind w:right="120"/>
              <w:jc w:val="both"/>
              <w:rPr>
                <w:rFonts w:ascii="Times New Roman" w:hAnsi="Times New Roman" w:cs="Times New Roman"/>
                <w:b/>
                <w:sz w:val="24"/>
                <w:szCs w:val="24"/>
              </w:rPr>
            </w:pPr>
            <w:r w:rsidRPr="00280201">
              <w:rPr>
                <w:rFonts w:ascii="Times New Roman" w:hAnsi="Times New Roman" w:cs="Times New Roman"/>
                <w:b/>
                <w:sz w:val="24"/>
                <w:szCs w:val="24"/>
              </w:rPr>
              <w:t>Year 1 (2013) cost US$</w:t>
            </w:r>
          </w:p>
        </w:tc>
      </w:tr>
      <w:tr w:rsidR="0082799E" w:rsidRPr="00280201" w:rsidTr="003C77AE">
        <w:tc>
          <w:tcPr>
            <w:tcW w:w="2688" w:type="dxa"/>
            <w:shd w:val="clear" w:color="auto" w:fill="auto"/>
          </w:tcPr>
          <w:p w:rsidR="0082799E" w:rsidRPr="00280201" w:rsidRDefault="0082799E" w:rsidP="003C77AE">
            <w:pPr>
              <w:ind w:right="120"/>
              <w:jc w:val="both"/>
              <w:rPr>
                <w:rFonts w:ascii="Times New Roman" w:hAnsi="Times New Roman" w:cs="Times New Roman"/>
                <w:sz w:val="24"/>
                <w:szCs w:val="24"/>
              </w:rPr>
            </w:pPr>
            <w:r w:rsidRPr="00280201">
              <w:rPr>
                <w:rFonts w:ascii="Times New Roman" w:hAnsi="Times New Roman" w:cs="Times New Roman"/>
                <w:sz w:val="24"/>
                <w:szCs w:val="24"/>
              </w:rPr>
              <w:t>Number of vaccine doses</w:t>
            </w:r>
          </w:p>
        </w:tc>
        <w:tc>
          <w:tcPr>
            <w:tcW w:w="3150" w:type="dxa"/>
            <w:shd w:val="clear" w:color="auto" w:fill="auto"/>
          </w:tcPr>
          <w:p w:rsidR="0082799E" w:rsidRPr="00280201" w:rsidRDefault="0082799E" w:rsidP="00A514F8">
            <w:pPr>
              <w:ind w:right="120"/>
              <w:jc w:val="both"/>
              <w:rPr>
                <w:rFonts w:ascii="Times New Roman" w:hAnsi="Times New Roman" w:cs="Times New Roman"/>
                <w:b/>
                <w:i/>
                <w:sz w:val="24"/>
                <w:szCs w:val="24"/>
              </w:rPr>
            </w:pPr>
            <w:r w:rsidRPr="00280201">
              <w:rPr>
                <w:rFonts w:ascii="Times New Roman" w:hAnsi="Times New Roman" w:cs="Times New Roman"/>
                <w:b/>
                <w:i/>
                <w:sz w:val="24"/>
                <w:szCs w:val="24"/>
              </w:rPr>
              <w:t>42,</w:t>
            </w:r>
            <w:r w:rsidR="00A514F8" w:rsidRPr="00280201">
              <w:rPr>
                <w:rFonts w:ascii="Times New Roman" w:hAnsi="Times New Roman" w:cs="Times New Roman"/>
                <w:b/>
                <w:i/>
                <w:sz w:val="24"/>
                <w:szCs w:val="24"/>
              </w:rPr>
              <w:t>969</w:t>
            </w:r>
            <w:r w:rsidR="00641A73">
              <w:rPr>
                <w:rFonts w:ascii="Times New Roman" w:hAnsi="Times New Roman" w:cs="Times New Roman"/>
                <w:b/>
                <w:i/>
                <w:sz w:val="24"/>
                <w:szCs w:val="24"/>
              </w:rPr>
              <w:t>*</w:t>
            </w:r>
          </w:p>
        </w:tc>
        <w:tc>
          <w:tcPr>
            <w:tcW w:w="2160" w:type="dxa"/>
            <w:shd w:val="clear" w:color="auto" w:fill="auto"/>
          </w:tcPr>
          <w:p w:rsidR="0082799E" w:rsidRPr="00280201" w:rsidRDefault="0082799E" w:rsidP="003C77AE">
            <w:pPr>
              <w:jc w:val="both"/>
              <w:rPr>
                <w:rFonts w:ascii="Times New Roman" w:hAnsi="Times New Roman" w:cs="Times New Roman"/>
                <w:b/>
                <w:i/>
                <w:sz w:val="24"/>
                <w:szCs w:val="24"/>
              </w:rPr>
            </w:pPr>
            <w:r w:rsidRPr="00280201">
              <w:rPr>
                <w:rFonts w:ascii="Times New Roman" w:hAnsi="Times New Roman" w:cs="Times New Roman"/>
                <w:b/>
                <w:i/>
                <w:sz w:val="24"/>
                <w:szCs w:val="24"/>
              </w:rPr>
              <w:t>214,847</w:t>
            </w:r>
          </w:p>
        </w:tc>
      </w:tr>
      <w:tr w:rsidR="0082799E" w:rsidRPr="00280201" w:rsidTr="003C77AE">
        <w:tc>
          <w:tcPr>
            <w:tcW w:w="2688" w:type="dxa"/>
            <w:shd w:val="clear" w:color="auto" w:fill="auto"/>
          </w:tcPr>
          <w:p w:rsidR="0082799E" w:rsidRPr="00280201" w:rsidRDefault="0082799E" w:rsidP="003C77AE">
            <w:pPr>
              <w:ind w:right="120"/>
              <w:jc w:val="both"/>
              <w:rPr>
                <w:rFonts w:ascii="Times New Roman" w:hAnsi="Times New Roman" w:cs="Times New Roman"/>
                <w:sz w:val="24"/>
                <w:szCs w:val="24"/>
              </w:rPr>
            </w:pPr>
            <w:r w:rsidRPr="00280201">
              <w:rPr>
                <w:rFonts w:ascii="Times New Roman" w:hAnsi="Times New Roman" w:cs="Times New Roman"/>
                <w:sz w:val="24"/>
                <w:szCs w:val="24"/>
              </w:rPr>
              <w:t>Number of AD syringes</w:t>
            </w:r>
          </w:p>
        </w:tc>
        <w:tc>
          <w:tcPr>
            <w:tcW w:w="3150" w:type="dxa"/>
            <w:shd w:val="clear" w:color="auto" w:fill="auto"/>
          </w:tcPr>
          <w:p w:rsidR="0082799E" w:rsidRPr="00280201" w:rsidRDefault="001B3C88" w:rsidP="00A514F8">
            <w:pPr>
              <w:ind w:right="120"/>
              <w:jc w:val="both"/>
              <w:rPr>
                <w:rFonts w:ascii="Times New Roman" w:hAnsi="Times New Roman" w:cs="Times New Roman"/>
                <w:b/>
                <w:i/>
                <w:sz w:val="24"/>
                <w:szCs w:val="24"/>
              </w:rPr>
            </w:pPr>
            <w:r w:rsidRPr="00280201">
              <w:rPr>
                <w:rFonts w:ascii="Times New Roman" w:hAnsi="Times New Roman" w:cs="Times New Roman"/>
                <w:b/>
                <w:i/>
                <w:sz w:val="24"/>
                <w:szCs w:val="24"/>
              </w:rPr>
              <w:t>4511</w:t>
            </w:r>
            <w:r w:rsidR="00A514F8" w:rsidRPr="00280201">
              <w:rPr>
                <w:rFonts w:ascii="Times New Roman" w:hAnsi="Times New Roman" w:cs="Times New Roman"/>
                <w:b/>
                <w:i/>
                <w:sz w:val="24"/>
                <w:szCs w:val="24"/>
              </w:rPr>
              <w:t>7</w:t>
            </w:r>
          </w:p>
        </w:tc>
        <w:tc>
          <w:tcPr>
            <w:tcW w:w="2160" w:type="dxa"/>
            <w:shd w:val="clear" w:color="auto" w:fill="auto"/>
          </w:tcPr>
          <w:p w:rsidR="0082799E" w:rsidRPr="00280201" w:rsidRDefault="0082799E" w:rsidP="003C77AE">
            <w:pPr>
              <w:jc w:val="both"/>
              <w:rPr>
                <w:rFonts w:ascii="Times New Roman" w:hAnsi="Times New Roman" w:cs="Times New Roman"/>
                <w:b/>
                <w:i/>
                <w:sz w:val="24"/>
                <w:szCs w:val="24"/>
              </w:rPr>
            </w:pPr>
          </w:p>
        </w:tc>
      </w:tr>
      <w:tr w:rsidR="0082799E" w:rsidRPr="00280201" w:rsidTr="003C77AE">
        <w:tc>
          <w:tcPr>
            <w:tcW w:w="2688" w:type="dxa"/>
            <w:shd w:val="clear" w:color="auto" w:fill="auto"/>
          </w:tcPr>
          <w:p w:rsidR="0082799E" w:rsidRPr="00280201" w:rsidRDefault="0082799E" w:rsidP="003C77AE">
            <w:pPr>
              <w:ind w:right="120"/>
              <w:jc w:val="both"/>
              <w:rPr>
                <w:rFonts w:ascii="Times New Roman" w:hAnsi="Times New Roman" w:cs="Times New Roman"/>
                <w:sz w:val="24"/>
                <w:szCs w:val="24"/>
              </w:rPr>
            </w:pPr>
            <w:r w:rsidRPr="00280201">
              <w:rPr>
                <w:rFonts w:ascii="Times New Roman" w:hAnsi="Times New Roman" w:cs="Times New Roman"/>
                <w:sz w:val="24"/>
                <w:szCs w:val="24"/>
              </w:rPr>
              <w:t>Number of safety boxes</w:t>
            </w:r>
          </w:p>
        </w:tc>
        <w:tc>
          <w:tcPr>
            <w:tcW w:w="3150" w:type="dxa"/>
            <w:shd w:val="clear" w:color="auto" w:fill="auto"/>
          </w:tcPr>
          <w:p w:rsidR="0082799E" w:rsidRPr="00280201" w:rsidRDefault="00A514F8" w:rsidP="00A514F8">
            <w:pPr>
              <w:ind w:right="120"/>
              <w:rPr>
                <w:rFonts w:ascii="Times New Roman" w:hAnsi="Times New Roman" w:cs="Times New Roman"/>
                <w:b/>
                <w:i/>
                <w:sz w:val="24"/>
                <w:szCs w:val="24"/>
              </w:rPr>
            </w:pPr>
            <w:r w:rsidRPr="00280201">
              <w:rPr>
                <w:rFonts w:ascii="Times New Roman" w:hAnsi="Times New Roman" w:cs="Times New Roman"/>
                <w:b/>
                <w:i/>
                <w:sz w:val="24"/>
                <w:szCs w:val="24"/>
              </w:rPr>
              <w:t>4</w:t>
            </w:r>
            <w:r w:rsidR="00476414" w:rsidRPr="00280201">
              <w:rPr>
                <w:rFonts w:ascii="Times New Roman" w:hAnsi="Times New Roman" w:cs="Times New Roman"/>
                <w:b/>
                <w:i/>
                <w:sz w:val="24"/>
                <w:szCs w:val="24"/>
              </w:rPr>
              <w:t>7</w:t>
            </w:r>
            <w:r w:rsidRPr="00280201">
              <w:rPr>
                <w:rFonts w:ascii="Times New Roman" w:hAnsi="Times New Roman" w:cs="Times New Roman"/>
                <w:b/>
                <w:i/>
                <w:sz w:val="24"/>
                <w:szCs w:val="24"/>
              </w:rPr>
              <w:t>4</w:t>
            </w:r>
            <w:r w:rsidR="0082799E" w:rsidRPr="00280201">
              <w:rPr>
                <w:rFonts w:ascii="Times New Roman" w:hAnsi="Times New Roman" w:cs="Times New Roman"/>
                <w:b/>
                <w:i/>
                <w:sz w:val="24"/>
                <w:szCs w:val="24"/>
              </w:rPr>
              <w:t xml:space="preserve"> </w:t>
            </w:r>
            <w:proofErr w:type="spellStart"/>
            <w:r w:rsidR="0082799E" w:rsidRPr="00280201">
              <w:rPr>
                <w:rFonts w:ascii="Times New Roman" w:hAnsi="Times New Roman" w:cs="Times New Roman"/>
                <w:b/>
                <w:i/>
                <w:sz w:val="24"/>
                <w:szCs w:val="24"/>
              </w:rPr>
              <w:t>pcs</w:t>
            </w:r>
            <w:proofErr w:type="spellEnd"/>
            <w:r w:rsidR="0082799E" w:rsidRPr="00280201">
              <w:rPr>
                <w:rFonts w:ascii="Times New Roman" w:hAnsi="Times New Roman" w:cs="Times New Roman"/>
                <w:b/>
                <w:i/>
                <w:sz w:val="24"/>
                <w:szCs w:val="24"/>
              </w:rPr>
              <w:t>. (</w:t>
            </w:r>
            <w:r w:rsidRPr="00280201">
              <w:rPr>
                <w:rFonts w:ascii="Times New Roman" w:hAnsi="Times New Roman" w:cs="Times New Roman"/>
                <w:b/>
                <w:i/>
                <w:sz w:val="24"/>
                <w:szCs w:val="24"/>
              </w:rPr>
              <w:t xml:space="preserve">20 </w:t>
            </w:r>
            <w:r w:rsidR="0082799E" w:rsidRPr="00280201">
              <w:rPr>
                <w:rFonts w:ascii="Times New Roman" w:hAnsi="Times New Roman" w:cs="Times New Roman"/>
                <w:b/>
                <w:i/>
                <w:sz w:val="24"/>
                <w:szCs w:val="24"/>
              </w:rPr>
              <w:t>cartons)</w:t>
            </w:r>
          </w:p>
        </w:tc>
        <w:tc>
          <w:tcPr>
            <w:tcW w:w="2160" w:type="dxa"/>
            <w:shd w:val="clear" w:color="auto" w:fill="auto"/>
          </w:tcPr>
          <w:p w:rsidR="0082799E" w:rsidRPr="00280201" w:rsidRDefault="0082799E" w:rsidP="003C77AE">
            <w:pPr>
              <w:jc w:val="both"/>
              <w:rPr>
                <w:rFonts w:ascii="Times New Roman" w:hAnsi="Times New Roman" w:cs="Times New Roman"/>
                <w:b/>
                <w:i/>
                <w:sz w:val="24"/>
                <w:szCs w:val="24"/>
              </w:rPr>
            </w:pPr>
          </w:p>
        </w:tc>
      </w:tr>
      <w:tr w:rsidR="0082799E" w:rsidRPr="00280201" w:rsidTr="003C77AE">
        <w:tc>
          <w:tcPr>
            <w:tcW w:w="2688" w:type="dxa"/>
            <w:shd w:val="clear" w:color="auto" w:fill="auto"/>
          </w:tcPr>
          <w:p w:rsidR="0082799E" w:rsidRPr="00280201" w:rsidRDefault="0082799E" w:rsidP="003C77AE">
            <w:pPr>
              <w:ind w:right="120"/>
              <w:jc w:val="both"/>
              <w:rPr>
                <w:rFonts w:ascii="Times New Roman" w:hAnsi="Times New Roman" w:cs="Times New Roman"/>
                <w:b/>
                <w:sz w:val="24"/>
                <w:szCs w:val="24"/>
              </w:rPr>
            </w:pPr>
            <w:r w:rsidRPr="00280201">
              <w:rPr>
                <w:rFonts w:ascii="Times New Roman" w:hAnsi="Times New Roman" w:cs="Times New Roman"/>
                <w:b/>
                <w:sz w:val="24"/>
                <w:szCs w:val="24"/>
              </w:rPr>
              <w:t>TOTAL</w:t>
            </w:r>
          </w:p>
        </w:tc>
        <w:tc>
          <w:tcPr>
            <w:tcW w:w="3150" w:type="dxa"/>
            <w:shd w:val="clear" w:color="auto" w:fill="auto"/>
          </w:tcPr>
          <w:p w:rsidR="0082799E" w:rsidRPr="00280201" w:rsidRDefault="0082799E" w:rsidP="003C77AE">
            <w:pPr>
              <w:ind w:right="120"/>
              <w:jc w:val="both"/>
              <w:rPr>
                <w:rFonts w:ascii="Times New Roman" w:hAnsi="Times New Roman" w:cs="Times New Roman"/>
                <w:b/>
                <w:sz w:val="24"/>
                <w:szCs w:val="24"/>
              </w:rPr>
            </w:pPr>
          </w:p>
        </w:tc>
        <w:tc>
          <w:tcPr>
            <w:tcW w:w="2160" w:type="dxa"/>
            <w:shd w:val="clear" w:color="auto" w:fill="auto"/>
          </w:tcPr>
          <w:p w:rsidR="0082799E" w:rsidRPr="00280201" w:rsidRDefault="0082799E" w:rsidP="003C77AE">
            <w:pPr>
              <w:jc w:val="both"/>
              <w:rPr>
                <w:rFonts w:ascii="Times New Roman" w:hAnsi="Times New Roman" w:cs="Times New Roman"/>
                <w:b/>
                <w:sz w:val="24"/>
                <w:szCs w:val="24"/>
              </w:rPr>
            </w:pPr>
          </w:p>
        </w:tc>
      </w:tr>
    </w:tbl>
    <w:p w:rsidR="0082799E" w:rsidRPr="00641A73" w:rsidRDefault="00AA3C22" w:rsidP="00AA3C22">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00641A73">
        <w:rPr>
          <w:rFonts w:ascii="Times New Roman" w:hAnsi="Times New Roman" w:cs="Times New Roman"/>
          <w:sz w:val="24"/>
          <w:szCs w:val="24"/>
        </w:rPr>
        <w:t>Vaccine dose = (target pop, X no. of contact X wastage factor) + Buffer stock.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3240"/>
        <w:gridCol w:w="2070"/>
      </w:tblGrid>
      <w:tr w:rsidR="0082799E" w:rsidRPr="00FC45AD" w:rsidTr="003C77AE">
        <w:tc>
          <w:tcPr>
            <w:tcW w:w="2688" w:type="dxa"/>
            <w:shd w:val="clear" w:color="auto" w:fill="auto"/>
          </w:tcPr>
          <w:p w:rsidR="0082799E" w:rsidRPr="002857B1" w:rsidRDefault="0082799E" w:rsidP="003C77AE">
            <w:pPr>
              <w:ind w:right="120"/>
              <w:jc w:val="both"/>
              <w:rPr>
                <w:rFonts w:ascii="Arial" w:hAnsi="Arial" w:cs="Arial"/>
                <w:b/>
                <w:sz w:val="20"/>
                <w:szCs w:val="20"/>
              </w:rPr>
            </w:pPr>
            <w:r w:rsidRPr="002857B1">
              <w:rPr>
                <w:rFonts w:ascii="Arial" w:hAnsi="Arial" w:cs="Arial"/>
                <w:b/>
                <w:sz w:val="20"/>
                <w:szCs w:val="20"/>
              </w:rPr>
              <w:t>Required supply item</w:t>
            </w:r>
          </w:p>
        </w:tc>
        <w:tc>
          <w:tcPr>
            <w:tcW w:w="3240" w:type="dxa"/>
            <w:shd w:val="clear" w:color="auto" w:fill="auto"/>
          </w:tcPr>
          <w:p w:rsidR="0082799E" w:rsidRPr="002857B1" w:rsidRDefault="0082799E" w:rsidP="003C77AE">
            <w:pPr>
              <w:ind w:right="120"/>
              <w:jc w:val="both"/>
              <w:rPr>
                <w:rFonts w:ascii="Arial" w:hAnsi="Arial" w:cs="Arial"/>
                <w:sz w:val="20"/>
                <w:szCs w:val="20"/>
              </w:rPr>
            </w:pPr>
            <w:r w:rsidRPr="002857B1">
              <w:rPr>
                <w:rFonts w:ascii="Arial" w:hAnsi="Arial" w:cs="Arial"/>
                <w:sz w:val="20"/>
                <w:szCs w:val="20"/>
              </w:rPr>
              <w:t>#</w:t>
            </w:r>
            <w:r>
              <w:rPr>
                <w:rFonts w:ascii="Arial" w:hAnsi="Arial" w:cs="Arial"/>
                <w:sz w:val="20"/>
                <w:szCs w:val="20"/>
              </w:rPr>
              <w:t xml:space="preserve"> Year 2 (2014)</w:t>
            </w:r>
          </w:p>
        </w:tc>
        <w:tc>
          <w:tcPr>
            <w:tcW w:w="2070" w:type="dxa"/>
            <w:shd w:val="clear" w:color="auto" w:fill="auto"/>
          </w:tcPr>
          <w:p w:rsidR="0082799E" w:rsidRPr="002857B1" w:rsidRDefault="0082799E" w:rsidP="003C77AE">
            <w:pPr>
              <w:ind w:right="120"/>
              <w:jc w:val="both"/>
              <w:rPr>
                <w:rFonts w:ascii="Arial" w:hAnsi="Arial" w:cs="Arial"/>
                <w:b/>
                <w:sz w:val="20"/>
                <w:szCs w:val="20"/>
              </w:rPr>
            </w:pPr>
            <w:r w:rsidRPr="002857B1">
              <w:rPr>
                <w:rFonts w:ascii="Arial" w:hAnsi="Arial" w:cs="Arial"/>
                <w:b/>
                <w:sz w:val="20"/>
                <w:szCs w:val="20"/>
              </w:rPr>
              <w:t>Y</w:t>
            </w:r>
            <w:r>
              <w:rPr>
                <w:rFonts w:ascii="Arial" w:hAnsi="Arial" w:cs="Arial"/>
                <w:b/>
                <w:sz w:val="20"/>
                <w:szCs w:val="20"/>
              </w:rPr>
              <w:t>ear 2 (2014) cost US$</w:t>
            </w:r>
          </w:p>
        </w:tc>
      </w:tr>
      <w:tr w:rsidR="0082799E" w:rsidTr="003C77AE">
        <w:tc>
          <w:tcPr>
            <w:tcW w:w="2688" w:type="dxa"/>
            <w:shd w:val="clear" w:color="auto" w:fill="auto"/>
          </w:tcPr>
          <w:p w:rsidR="0082799E" w:rsidRPr="002857B1" w:rsidRDefault="0082799E" w:rsidP="003C77AE">
            <w:pPr>
              <w:ind w:right="120"/>
              <w:jc w:val="both"/>
              <w:rPr>
                <w:rFonts w:ascii="Arial" w:hAnsi="Arial" w:cs="Arial"/>
                <w:sz w:val="20"/>
                <w:szCs w:val="20"/>
              </w:rPr>
            </w:pPr>
            <w:r w:rsidRPr="002857B1">
              <w:rPr>
                <w:rFonts w:ascii="Arial" w:hAnsi="Arial" w:cs="Arial"/>
                <w:sz w:val="20"/>
                <w:szCs w:val="20"/>
              </w:rPr>
              <w:t>Number of vaccine doses</w:t>
            </w:r>
          </w:p>
        </w:tc>
        <w:tc>
          <w:tcPr>
            <w:tcW w:w="3240" w:type="dxa"/>
            <w:shd w:val="clear" w:color="auto" w:fill="auto"/>
          </w:tcPr>
          <w:p w:rsidR="0082799E" w:rsidRPr="009F1372" w:rsidRDefault="00A514F8" w:rsidP="003C77AE">
            <w:pPr>
              <w:ind w:right="120"/>
              <w:jc w:val="both"/>
              <w:rPr>
                <w:rFonts w:ascii="Arial" w:hAnsi="Arial" w:cs="Arial"/>
                <w:b/>
                <w:i/>
                <w:sz w:val="20"/>
                <w:szCs w:val="20"/>
              </w:rPr>
            </w:pPr>
            <w:r>
              <w:rPr>
                <w:rFonts w:ascii="Arial" w:hAnsi="Arial" w:cs="Arial"/>
                <w:b/>
                <w:i/>
                <w:sz w:val="20"/>
                <w:szCs w:val="20"/>
              </w:rPr>
              <w:t>44000</w:t>
            </w:r>
          </w:p>
        </w:tc>
        <w:tc>
          <w:tcPr>
            <w:tcW w:w="2070" w:type="dxa"/>
            <w:shd w:val="clear" w:color="auto" w:fill="auto"/>
          </w:tcPr>
          <w:p w:rsidR="0082799E" w:rsidRPr="009F1372" w:rsidRDefault="00DB02BB" w:rsidP="003C77AE">
            <w:pPr>
              <w:jc w:val="both"/>
              <w:rPr>
                <w:rFonts w:ascii="Arial" w:hAnsi="Arial" w:cs="Arial"/>
                <w:b/>
                <w:i/>
                <w:sz w:val="20"/>
                <w:szCs w:val="20"/>
              </w:rPr>
            </w:pPr>
            <w:r>
              <w:rPr>
                <w:rFonts w:ascii="Arial" w:hAnsi="Arial" w:cs="Arial"/>
                <w:b/>
                <w:i/>
                <w:sz w:val="20"/>
                <w:szCs w:val="20"/>
              </w:rPr>
              <w:t>220000</w:t>
            </w:r>
          </w:p>
        </w:tc>
      </w:tr>
      <w:tr w:rsidR="0082799E" w:rsidTr="003C77AE">
        <w:tc>
          <w:tcPr>
            <w:tcW w:w="2688" w:type="dxa"/>
            <w:shd w:val="clear" w:color="auto" w:fill="auto"/>
          </w:tcPr>
          <w:p w:rsidR="0082799E" w:rsidRPr="002857B1" w:rsidRDefault="0082799E" w:rsidP="003C77AE">
            <w:pPr>
              <w:ind w:right="120"/>
              <w:jc w:val="both"/>
              <w:rPr>
                <w:rFonts w:ascii="Arial" w:hAnsi="Arial" w:cs="Arial"/>
                <w:sz w:val="20"/>
                <w:szCs w:val="20"/>
              </w:rPr>
            </w:pPr>
            <w:r w:rsidRPr="002857B1">
              <w:rPr>
                <w:rFonts w:ascii="Arial" w:hAnsi="Arial" w:cs="Arial"/>
                <w:sz w:val="20"/>
                <w:szCs w:val="20"/>
              </w:rPr>
              <w:t>Number of AD syringes</w:t>
            </w:r>
          </w:p>
        </w:tc>
        <w:tc>
          <w:tcPr>
            <w:tcW w:w="3240" w:type="dxa"/>
            <w:shd w:val="clear" w:color="auto" w:fill="auto"/>
          </w:tcPr>
          <w:p w:rsidR="0082799E" w:rsidRPr="009F1372" w:rsidRDefault="00A514F8" w:rsidP="003C77AE">
            <w:pPr>
              <w:ind w:right="120"/>
              <w:jc w:val="both"/>
              <w:rPr>
                <w:rFonts w:ascii="Arial" w:hAnsi="Arial" w:cs="Arial"/>
                <w:b/>
                <w:i/>
                <w:sz w:val="20"/>
                <w:szCs w:val="20"/>
              </w:rPr>
            </w:pPr>
            <w:r>
              <w:rPr>
                <w:rFonts w:ascii="Arial" w:hAnsi="Arial" w:cs="Arial"/>
                <w:b/>
                <w:i/>
                <w:sz w:val="20"/>
                <w:szCs w:val="20"/>
              </w:rPr>
              <w:t>48840</w:t>
            </w:r>
          </w:p>
        </w:tc>
        <w:tc>
          <w:tcPr>
            <w:tcW w:w="2070" w:type="dxa"/>
            <w:shd w:val="clear" w:color="auto" w:fill="auto"/>
          </w:tcPr>
          <w:p w:rsidR="0082799E" w:rsidRPr="009F1372" w:rsidRDefault="0082799E" w:rsidP="003C77AE">
            <w:pPr>
              <w:jc w:val="both"/>
              <w:rPr>
                <w:rFonts w:ascii="Arial" w:hAnsi="Arial" w:cs="Arial"/>
                <w:b/>
                <w:i/>
                <w:sz w:val="20"/>
                <w:szCs w:val="20"/>
              </w:rPr>
            </w:pPr>
          </w:p>
        </w:tc>
      </w:tr>
      <w:tr w:rsidR="00476414" w:rsidTr="003C77AE">
        <w:tc>
          <w:tcPr>
            <w:tcW w:w="2688" w:type="dxa"/>
            <w:shd w:val="clear" w:color="auto" w:fill="auto"/>
          </w:tcPr>
          <w:p w:rsidR="00476414" w:rsidRPr="002857B1" w:rsidRDefault="00476414" w:rsidP="003C77AE">
            <w:pPr>
              <w:ind w:right="120"/>
              <w:jc w:val="both"/>
              <w:rPr>
                <w:rFonts w:ascii="Arial" w:hAnsi="Arial" w:cs="Arial"/>
                <w:sz w:val="20"/>
                <w:szCs w:val="20"/>
              </w:rPr>
            </w:pPr>
            <w:r w:rsidRPr="002857B1">
              <w:rPr>
                <w:rFonts w:ascii="Arial" w:hAnsi="Arial" w:cs="Arial"/>
                <w:sz w:val="20"/>
                <w:szCs w:val="20"/>
              </w:rPr>
              <w:t>Number of safety boxes</w:t>
            </w:r>
          </w:p>
        </w:tc>
        <w:tc>
          <w:tcPr>
            <w:tcW w:w="3240" w:type="dxa"/>
            <w:shd w:val="clear" w:color="auto" w:fill="auto"/>
          </w:tcPr>
          <w:p w:rsidR="00476414" w:rsidRPr="009F1372" w:rsidRDefault="00A514F8" w:rsidP="00A514F8">
            <w:pPr>
              <w:ind w:right="120"/>
              <w:jc w:val="both"/>
              <w:rPr>
                <w:rFonts w:ascii="Arial" w:hAnsi="Arial" w:cs="Arial"/>
                <w:b/>
                <w:i/>
                <w:sz w:val="20"/>
                <w:szCs w:val="20"/>
              </w:rPr>
            </w:pPr>
            <w:r>
              <w:rPr>
                <w:rFonts w:ascii="Arial" w:hAnsi="Arial" w:cs="Arial"/>
                <w:b/>
                <w:i/>
                <w:sz w:val="20"/>
                <w:szCs w:val="20"/>
              </w:rPr>
              <w:t xml:space="preserve">513 </w:t>
            </w:r>
            <w:proofErr w:type="spellStart"/>
            <w:r w:rsidR="00476414">
              <w:rPr>
                <w:rFonts w:ascii="Arial" w:hAnsi="Arial" w:cs="Arial"/>
                <w:b/>
                <w:i/>
                <w:sz w:val="20"/>
                <w:szCs w:val="20"/>
              </w:rPr>
              <w:t>pcs</w:t>
            </w:r>
            <w:proofErr w:type="spellEnd"/>
            <w:r w:rsidR="00476414">
              <w:rPr>
                <w:rFonts w:ascii="Arial" w:hAnsi="Arial" w:cs="Arial"/>
                <w:b/>
                <w:i/>
                <w:sz w:val="20"/>
                <w:szCs w:val="20"/>
              </w:rPr>
              <w:t>. (</w:t>
            </w:r>
            <w:r>
              <w:rPr>
                <w:rFonts w:ascii="Arial" w:hAnsi="Arial" w:cs="Arial"/>
                <w:b/>
                <w:i/>
                <w:sz w:val="20"/>
                <w:szCs w:val="20"/>
              </w:rPr>
              <w:t xml:space="preserve">21 </w:t>
            </w:r>
            <w:r w:rsidR="00476414">
              <w:rPr>
                <w:rFonts w:ascii="Arial" w:hAnsi="Arial" w:cs="Arial"/>
                <w:b/>
                <w:i/>
                <w:sz w:val="20"/>
                <w:szCs w:val="20"/>
              </w:rPr>
              <w:t>cartons)</w:t>
            </w:r>
          </w:p>
        </w:tc>
        <w:tc>
          <w:tcPr>
            <w:tcW w:w="2070" w:type="dxa"/>
            <w:shd w:val="clear" w:color="auto" w:fill="auto"/>
          </w:tcPr>
          <w:p w:rsidR="00476414" w:rsidRPr="009F1372" w:rsidRDefault="00476414" w:rsidP="003C77AE">
            <w:pPr>
              <w:jc w:val="both"/>
              <w:rPr>
                <w:rFonts w:ascii="Arial" w:hAnsi="Arial" w:cs="Arial"/>
                <w:b/>
                <w:i/>
                <w:sz w:val="20"/>
                <w:szCs w:val="20"/>
              </w:rPr>
            </w:pPr>
          </w:p>
        </w:tc>
      </w:tr>
      <w:tr w:rsidR="00476414" w:rsidRPr="005F335D" w:rsidTr="003C77AE">
        <w:tc>
          <w:tcPr>
            <w:tcW w:w="2688" w:type="dxa"/>
            <w:shd w:val="clear" w:color="auto" w:fill="auto"/>
          </w:tcPr>
          <w:p w:rsidR="00476414" w:rsidRPr="002857B1" w:rsidRDefault="00476414" w:rsidP="003C77AE">
            <w:pPr>
              <w:ind w:right="120"/>
              <w:jc w:val="both"/>
              <w:rPr>
                <w:rFonts w:ascii="Arial" w:hAnsi="Arial" w:cs="Arial"/>
                <w:b/>
                <w:sz w:val="20"/>
                <w:szCs w:val="20"/>
              </w:rPr>
            </w:pPr>
            <w:r w:rsidRPr="002857B1">
              <w:rPr>
                <w:rFonts w:ascii="Arial" w:hAnsi="Arial" w:cs="Arial"/>
                <w:b/>
                <w:sz w:val="20"/>
                <w:szCs w:val="20"/>
              </w:rPr>
              <w:t>TOTAL</w:t>
            </w:r>
          </w:p>
        </w:tc>
        <w:tc>
          <w:tcPr>
            <w:tcW w:w="3240" w:type="dxa"/>
            <w:shd w:val="clear" w:color="auto" w:fill="auto"/>
          </w:tcPr>
          <w:p w:rsidR="00476414" w:rsidRPr="009F1372" w:rsidRDefault="00476414" w:rsidP="003C77AE">
            <w:pPr>
              <w:ind w:right="120"/>
              <w:jc w:val="both"/>
              <w:rPr>
                <w:rFonts w:ascii="Arial" w:hAnsi="Arial" w:cs="Arial"/>
                <w:b/>
                <w:i/>
                <w:sz w:val="20"/>
                <w:szCs w:val="20"/>
              </w:rPr>
            </w:pPr>
          </w:p>
        </w:tc>
        <w:tc>
          <w:tcPr>
            <w:tcW w:w="2070" w:type="dxa"/>
            <w:shd w:val="clear" w:color="auto" w:fill="auto"/>
          </w:tcPr>
          <w:p w:rsidR="00476414" w:rsidRPr="009F1372" w:rsidRDefault="00476414" w:rsidP="003C77AE">
            <w:pPr>
              <w:jc w:val="both"/>
              <w:rPr>
                <w:rFonts w:ascii="Arial" w:hAnsi="Arial" w:cs="Arial"/>
                <w:b/>
                <w:i/>
                <w:sz w:val="20"/>
                <w:szCs w:val="20"/>
              </w:rPr>
            </w:pPr>
          </w:p>
        </w:tc>
      </w:tr>
    </w:tbl>
    <w:p w:rsidR="0082799E" w:rsidRPr="0082799E" w:rsidRDefault="0082799E" w:rsidP="0082799E">
      <w:pPr>
        <w:jc w:val="both"/>
        <w:rPr>
          <w:rFonts w:ascii="Times New Roman" w:hAnsi="Times New Roman" w:cs="Times New Roman"/>
          <w:sz w:val="24"/>
          <w:szCs w:val="24"/>
        </w:rPr>
      </w:pPr>
    </w:p>
    <w:p w:rsidR="004A7668" w:rsidRDefault="004A7668" w:rsidP="00CD151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The policy of the Government of Sierra Leone is that all vaccines approved by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and procured through UNICEF are automatically registered by the National Regulatory Authority which is the Sierra Leone pharmaceutical Board. </w:t>
      </w:r>
    </w:p>
    <w:p w:rsidR="009C5AE3" w:rsidRPr="004A7668" w:rsidRDefault="0065403A" w:rsidP="004A7668">
      <w:pPr>
        <w:ind w:left="360"/>
        <w:jc w:val="both"/>
        <w:rPr>
          <w:rFonts w:ascii="Times New Roman" w:hAnsi="Times New Roman" w:cs="Times New Roman"/>
          <w:sz w:val="24"/>
          <w:szCs w:val="24"/>
        </w:rPr>
      </w:pPr>
      <w:r w:rsidRPr="004A7668">
        <w:rPr>
          <w:rFonts w:ascii="Times New Roman" w:hAnsi="Times New Roman" w:cs="Times New Roman"/>
          <w:sz w:val="24"/>
          <w:szCs w:val="24"/>
        </w:rPr>
        <w:t xml:space="preserve">The government through the Ministry of Finance and Economic development will provide the necessary duty waver on the importation of pharmaceutical items </w:t>
      </w:r>
      <w:r w:rsidR="00EC3759" w:rsidRPr="004A7668">
        <w:rPr>
          <w:rFonts w:ascii="Times New Roman" w:hAnsi="Times New Roman" w:cs="Times New Roman"/>
          <w:sz w:val="24"/>
          <w:szCs w:val="24"/>
        </w:rPr>
        <w:t>meant</w:t>
      </w:r>
      <w:r w:rsidRPr="004A7668">
        <w:rPr>
          <w:rFonts w:ascii="Times New Roman" w:hAnsi="Times New Roman" w:cs="Times New Roman"/>
          <w:sz w:val="24"/>
          <w:szCs w:val="24"/>
        </w:rPr>
        <w:t xml:space="preserve"> for the </w:t>
      </w:r>
      <w:r w:rsidR="003052E3" w:rsidRPr="004A7668">
        <w:rPr>
          <w:rFonts w:ascii="Times New Roman" w:hAnsi="Times New Roman" w:cs="Times New Roman"/>
          <w:sz w:val="24"/>
          <w:szCs w:val="24"/>
        </w:rPr>
        <w:t>government</w:t>
      </w:r>
      <w:r w:rsidRPr="004A7668">
        <w:rPr>
          <w:rFonts w:ascii="Times New Roman" w:hAnsi="Times New Roman" w:cs="Times New Roman"/>
          <w:sz w:val="24"/>
          <w:szCs w:val="24"/>
        </w:rPr>
        <w:t xml:space="preserve">. These wavers will be issued on the presentation of the airway bill or bill of lading to confirm that the goods are on their way to the country. The ministry assures </w:t>
      </w:r>
      <w:r w:rsidR="003052E3" w:rsidRPr="004A7668">
        <w:rPr>
          <w:rFonts w:ascii="Times New Roman" w:hAnsi="Times New Roman" w:cs="Times New Roman"/>
          <w:sz w:val="24"/>
          <w:szCs w:val="24"/>
        </w:rPr>
        <w:t>government</w:t>
      </w:r>
      <w:r w:rsidRPr="004A7668">
        <w:rPr>
          <w:rFonts w:ascii="Times New Roman" w:hAnsi="Times New Roman" w:cs="Times New Roman"/>
          <w:sz w:val="24"/>
          <w:szCs w:val="24"/>
        </w:rPr>
        <w:t xml:space="preserve"> commitment in the provision of waivers on HPV vaccines and any other supplies for the demonstration programme. The ministry of Health and Sanitation is responsible for the request of waivers to the ministry of Finance and Economic Development by law for all health products for government.</w:t>
      </w:r>
    </w:p>
    <w:p w:rsidR="00904AA2" w:rsidRDefault="0078258F">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All vaccine procured through UNICEF for immunization services in Sierra Leone are always provided with a waiver for clear</w:t>
      </w:r>
      <w:r w:rsidR="00CD151A">
        <w:rPr>
          <w:rFonts w:ascii="Times New Roman" w:hAnsi="Times New Roman" w:cs="Times New Roman"/>
          <w:sz w:val="24"/>
          <w:szCs w:val="24"/>
        </w:rPr>
        <w:t>a</w:t>
      </w:r>
      <w:r>
        <w:rPr>
          <w:rFonts w:ascii="Times New Roman" w:hAnsi="Times New Roman" w:cs="Times New Roman"/>
          <w:sz w:val="24"/>
          <w:szCs w:val="24"/>
        </w:rPr>
        <w:t>nce at custom. The HPV vaccine will also be provided with a waiver for clearance.</w:t>
      </w:r>
    </w:p>
    <w:p w:rsidR="004A7668" w:rsidRDefault="004A7668">
      <w:pPr>
        <w:pStyle w:val="ListParagraph"/>
        <w:jc w:val="both"/>
        <w:rPr>
          <w:rFonts w:ascii="Times New Roman" w:hAnsi="Times New Roman" w:cs="Times New Roman"/>
          <w:sz w:val="24"/>
          <w:szCs w:val="24"/>
        </w:rPr>
      </w:pPr>
    </w:p>
    <w:p w:rsidR="004A7668" w:rsidRDefault="004A7668">
      <w:pPr>
        <w:pStyle w:val="ListParagraph"/>
        <w:jc w:val="both"/>
        <w:rPr>
          <w:rFonts w:ascii="Times New Roman" w:hAnsi="Times New Roman" w:cs="Times New Roman"/>
          <w:sz w:val="24"/>
          <w:szCs w:val="24"/>
        </w:rPr>
      </w:pPr>
    </w:p>
    <w:p w:rsidR="0078258F" w:rsidRDefault="0078258F" w:rsidP="000102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tra</w:t>
      </w:r>
      <w:r w:rsidR="00DB02BB">
        <w:rPr>
          <w:rFonts w:ascii="Times New Roman" w:hAnsi="Times New Roman" w:cs="Times New Roman"/>
          <w:sz w:val="24"/>
          <w:szCs w:val="24"/>
        </w:rPr>
        <w:t>i</w:t>
      </w:r>
      <w:r>
        <w:rPr>
          <w:rFonts w:ascii="Times New Roman" w:hAnsi="Times New Roman" w:cs="Times New Roman"/>
          <w:sz w:val="24"/>
          <w:szCs w:val="24"/>
        </w:rPr>
        <w:t>ning for health workers and teachers will be as follows:</w:t>
      </w:r>
    </w:p>
    <w:tbl>
      <w:tblPr>
        <w:tblStyle w:val="TableGrid"/>
        <w:tblW w:w="9288" w:type="dxa"/>
        <w:tblInd w:w="720" w:type="dxa"/>
        <w:tblLook w:val="04A0"/>
      </w:tblPr>
      <w:tblGrid>
        <w:gridCol w:w="570"/>
        <w:gridCol w:w="4218"/>
        <w:gridCol w:w="1890"/>
        <w:gridCol w:w="2610"/>
      </w:tblGrid>
      <w:tr w:rsidR="00860004" w:rsidTr="004B5BC4">
        <w:tc>
          <w:tcPr>
            <w:tcW w:w="570" w:type="dxa"/>
          </w:tcPr>
          <w:p w:rsidR="0010579C" w:rsidRPr="00AA3C22" w:rsidRDefault="00860004" w:rsidP="0010579C">
            <w:pPr>
              <w:pStyle w:val="ListParagraph"/>
              <w:ind w:left="0"/>
              <w:jc w:val="both"/>
              <w:rPr>
                <w:rFonts w:ascii="Times New Roman" w:hAnsi="Times New Roman" w:cs="Times New Roman"/>
                <w:b/>
                <w:sz w:val="24"/>
                <w:szCs w:val="24"/>
              </w:rPr>
            </w:pPr>
            <w:r w:rsidRPr="00AA3C22">
              <w:rPr>
                <w:rFonts w:ascii="Times New Roman" w:hAnsi="Times New Roman" w:cs="Times New Roman"/>
                <w:b/>
                <w:sz w:val="24"/>
                <w:szCs w:val="24"/>
              </w:rPr>
              <w:t xml:space="preserve">No. </w:t>
            </w:r>
          </w:p>
        </w:tc>
        <w:tc>
          <w:tcPr>
            <w:tcW w:w="4218" w:type="dxa"/>
          </w:tcPr>
          <w:p w:rsidR="0010579C" w:rsidRPr="00AA3C22" w:rsidRDefault="00860004" w:rsidP="0010579C">
            <w:pPr>
              <w:pStyle w:val="ListParagraph"/>
              <w:ind w:left="0"/>
              <w:jc w:val="both"/>
              <w:rPr>
                <w:rFonts w:ascii="Times New Roman" w:hAnsi="Times New Roman" w:cs="Times New Roman"/>
                <w:b/>
                <w:sz w:val="24"/>
                <w:szCs w:val="24"/>
              </w:rPr>
            </w:pPr>
            <w:r w:rsidRPr="00AA3C22">
              <w:rPr>
                <w:rFonts w:ascii="Times New Roman" w:hAnsi="Times New Roman" w:cs="Times New Roman"/>
                <w:b/>
                <w:sz w:val="24"/>
                <w:szCs w:val="24"/>
              </w:rPr>
              <w:t>Activities</w:t>
            </w:r>
          </w:p>
        </w:tc>
        <w:tc>
          <w:tcPr>
            <w:tcW w:w="1890" w:type="dxa"/>
          </w:tcPr>
          <w:p w:rsidR="0010579C" w:rsidRPr="00AA3C22" w:rsidRDefault="00860004" w:rsidP="0010579C">
            <w:pPr>
              <w:pStyle w:val="ListParagraph"/>
              <w:ind w:left="0"/>
              <w:jc w:val="both"/>
              <w:rPr>
                <w:rFonts w:ascii="Times New Roman" w:hAnsi="Times New Roman" w:cs="Times New Roman"/>
                <w:b/>
                <w:sz w:val="24"/>
                <w:szCs w:val="24"/>
              </w:rPr>
            </w:pPr>
            <w:r w:rsidRPr="00AA3C22">
              <w:rPr>
                <w:rFonts w:ascii="Times New Roman" w:hAnsi="Times New Roman" w:cs="Times New Roman"/>
                <w:b/>
                <w:sz w:val="24"/>
                <w:szCs w:val="24"/>
              </w:rPr>
              <w:t>Level of implementation</w:t>
            </w:r>
          </w:p>
        </w:tc>
        <w:tc>
          <w:tcPr>
            <w:tcW w:w="2610" w:type="dxa"/>
          </w:tcPr>
          <w:p w:rsidR="0010579C" w:rsidRPr="00AA3C22" w:rsidRDefault="00860004" w:rsidP="0010579C">
            <w:pPr>
              <w:pStyle w:val="ListParagraph"/>
              <w:ind w:left="0"/>
              <w:jc w:val="both"/>
              <w:rPr>
                <w:rFonts w:ascii="Times New Roman" w:hAnsi="Times New Roman" w:cs="Times New Roman"/>
                <w:b/>
                <w:sz w:val="24"/>
                <w:szCs w:val="24"/>
              </w:rPr>
            </w:pPr>
            <w:r w:rsidRPr="00AA3C22">
              <w:rPr>
                <w:rFonts w:ascii="Times New Roman" w:hAnsi="Times New Roman" w:cs="Times New Roman"/>
                <w:b/>
                <w:sz w:val="24"/>
                <w:szCs w:val="24"/>
              </w:rPr>
              <w:t>Responsible person</w:t>
            </w:r>
            <w:r w:rsidR="00E2343E">
              <w:rPr>
                <w:rFonts w:ascii="Times New Roman" w:hAnsi="Times New Roman" w:cs="Times New Roman"/>
                <w:b/>
                <w:sz w:val="24"/>
                <w:szCs w:val="24"/>
              </w:rPr>
              <w:t>s</w:t>
            </w:r>
          </w:p>
        </w:tc>
      </w:tr>
      <w:tr w:rsidR="00860004" w:rsidTr="004B5BC4">
        <w:tc>
          <w:tcPr>
            <w:tcW w:w="570" w:type="dxa"/>
          </w:tcPr>
          <w:p w:rsidR="0010579C" w:rsidRDefault="00860004"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4218" w:type="dxa"/>
          </w:tcPr>
          <w:p w:rsidR="00860004" w:rsidRDefault="00860004" w:rsidP="004B5BC4">
            <w:pPr>
              <w:pStyle w:val="ListParagraph"/>
              <w:ind w:left="150"/>
              <w:jc w:val="both"/>
              <w:rPr>
                <w:rFonts w:ascii="Times New Roman" w:hAnsi="Times New Roman" w:cs="Times New Roman"/>
                <w:sz w:val="24"/>
                <w:szCs w:val="24"/>
              </w:rPr>
            </w:pPr>
            <w:r>
              <w:rPr>
                <w:rFonts w:ascii="Times New Roman" w:hAnsi="Times New Roman" w:cs="Times New Roman"/>
                <w:sz w:val="24"/>
                <w:szCs w:val="24"/>
              </w:rPr>
              <w:t xml:space="preserve">Develop training manuals for the conduct of </w:t>
            </w:r>
            <w:r w:rsidR="00EC3759">
              <w:rPr>
                <w:rFonts w:ascii="Times New Roman" w:hAnsi="Times New Roman" w:cs="Times New Roman"/>
                <w:sz w:val="24"/>
                <w:szCs w:val="24"/>
              </w:rPr>
              <w:t>T</w:t>
            </w:r>
            <w:r>
              <w:rPr>
                <w:rFonts w:ascii="Times New Roman" w:hAnsi="Times New Roman" w:cs="Times New Roman"/>
                <w:sz w:val="24"/>
                <w:szCs w:val="24"/>
              </w:rPr>
              <w:t xml:space="preserve">raining of </w:t>
            </w:r>
            <w:r w:rsidR="00EC3759">
              <w:rPr>
                <w:rFonts w:ascii="Times New Roman" w:hAnsi="Times New Roman" w:cs="Times New Roman"/>
                <w:sz w:val="24"/>
                <w:szCs w:val="24"/>
              </w:rPr>
              <w:t>T</w:t>
            </w:r>
            <w:r>
              <w:rPr>
                <w:rFonts w:ascii="Times New Roman" w:hAnsi="Times New Roman" w:cs="Times New Roman"/>
                <w:sz w:val="24"/>
                <w:szCs w:val="24"/>
              </w:rPr>
              <w:t>rainers</w:t>
            </w:r>
            <w:r w:rsidR="00EC3759">
              <w:rPr>
                <w:rFonts w:ascii="Times New Roman" w:hAnsi="Times New Roman" w:cs="Times New Roman"/>
                <w:sz w:val="24"/>
                <w:szCs w:val="24"/>
              </w:rPr>
              <w:t xml:space="preserve"> (</w:t>
            </w:r>
            <w:proofErr w:type="spellStart"/>
            <w:r w:rsidR="00EC3759">
              <w:rPr>
                <w:rFonts w:ascii="Times New Roman" w:hAnsi="Times New Roman" w:cs="Times New Roman"/>
                <w:sz w:val="24"/>
                <w:szCs w:val="24"/>
              </w:rPr>
              <w:t>ToT</w:t>
            </w:r>
            <w:proofErr w:type="spellEnd"/>
            <w:r w:rsidR="00EC3759">
              <w:rPr>
                <w:rFonts w:ascii="Times New Roman" w:hAnsi="Times New Roman" w:cs="Times New Roman"/>
                <w:sz w:val="24"/>
                <w:szCs w:val="24"/>
              </w:rPr>
              <w:t>)</w:t>
            </w:r>
            <w:r>
              <w:rPr>
                <w:rFonts w:ascii="Times New Roman" w:hAnsi="Times New Roman" w:cs="Times New Roman"/>
                <w:sz w:val="24"/>
                <w:szCs w:val="24"/>
              </w:rPr>
              <w:t xml:space="preserve"> and cascade trainings </w:t>
            </w:r>
          </w:p>
          <w:p w:rsidR="0010579C" w:rsidRDefault="0010579C" w:rsidP="0010579C">
            <w:pPr>
              <w:pStyle w:val="ListParagraph"/>
              <w:ind w:left="0"/>
              <w:jc w:val="both"/>
              <w:rPr>
                <w:rFonts w:ascii="Times New Roman" w:hAnsi="Times New Roman" w:cs="Times New Roman"/>
                <w:sz w:val="24"/>
                <w:szCs w:val="24"/>
              </w:rPr>
            </w:pPr>
          </w:p>
        </w:tc>
        <w:tc>
          <w:tcPr>
            <w:tcW w:w="1890" w:type="dxa"/>
          </w:tcPr>
          <w:p w:rsidR="0010579C" w:rsidRDefault="004B5BC4"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National</w:t>
            </w:r>
          </w:p>
        </w:tc>
        <w:tc>
          <w:tcPr>
            <w:tcW w:w="2610" w:type="dxa"/>
          </w:tcPr>
          <w:p w:rsidR="0010579C" w:rsidRDefault="004B5BC4"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National Immunization Programme (NIP)</w:t>
            </w:r>
          </w:p>
        </w:tc>
      </w:tr>
      <w:tr w:rsidR="00860004" w:rsidTr="004B5BC4">
        <w:tc>
          <w:tcPr>
            <w:tcW w:w="570" w:type="dxa"/>
          </w:tcPr>
          <w:p w:rsidR="0010579C" w:rsidRDefault="00860004"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4218" w:type="dxa"/>
          </w:tcPr>
          <w:p w:rsidR="0010579C"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Identify</w:t>
            </w:r>
            <w:r w:rsidR="0053039A">
              <w:rPr>
                <w:rFonts w:ascii="Times New Roman" w:hAnsi="Times New Roman" w:cs="Times New Roman"/>
                <w:sz w:val="24"/>
                <w:szCs w:val="24"/>
              </w:rPr>
              <w:t xml:space="preserve"> MOHS participants for Training of Trainers (</w:t>
            </w:r>
            <w:proofErr w:type="spellStart"/>
            <w:r w:rsidR="0053039A">
              <w:rPr>
                <w:rFonts w:ascii="Times New Roman" w:hAnsi="Times New Roman" w:cs="Times New Roman"/>
                <w:sz w:val="24"/>
                <w:szCs w:val="24"/>
              </w:rPr>
              <w:t>ToT</w:t>
            </w:r>
            <w:proofErr w:type="spellEnd"/>
            <w:r w:rsidR="0053039A">
              <w:rPr>
                <w:rFonts w:ascii="Times New Roman" w:hAnsi="Times New Roman" w:cs="Times New Roman"/>
                <w:sz w:val="24"/>
                <w:szCs w:val="24"/>
              </w:rPr>
              <w:t>)</w:t>
            </w:r>
          </w:p>
        </w:tc>
        <w:tc>
          <w:tcPr>
            <w:tcW w:w="1890" w:type="dxa"/>
          </w:tcPr>
          <w:p w:rsidR="0010579C" w:rsidRDefault="0053039A"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National</w:t>
            </w:r>
            <w:r w:rsidR="00B75163">
              <w:rPr>
                <w:rFonts w:ascii="Times New Roman" w:hAnsi="Times New Roman" w:cs="Times New Roman"/>
                <w:sz w:val="24"/>
                <w:szCs w:val="24"/>
              </w:rPr>
              <w:t xml:space="preserve"> and district</w:t>
            </w:r>
          </w:p>
        </w:tc>
        <w:tc>
          <w:tcPr>
            <w:tcW w:w="2610" w:type="dxa"/>
          </w:tcPr>
          <w:p w:rsidR="0010579C" w:rsidRDefault="0053039A"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and DHMT</w:t>
            </w:r>
          </w:p>
        </w:tc>
      </w:tr>
      <w:tr w:rsidR="00B75163" w:rsidTr="004B5BC4">
        <w:tc>
          <w:tcPr>
            <w:tcW w:w="570" w:type="dxa"/>
          </w:tcPr>
          <w:p w:rsidR="00B75163"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4218" w:type="dxa"/>
          </w:tcPr>
          <w:p w:rsidR="00B75163" w:rsidRDefault="00B75163" w:rsidP="00B7516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Conduct </w:t>
            </w:r>
            <w:proofErr w:type="spellStart"/>
            <w:r>
              <w:rPr>
                <w:rFonts w:ascii="Times New Roman" w:hAnsi="Times New Roman" w:cs="Times New Roman"/>
                <w:sz w:val="24"/>
                <w:szCs w:val="24"/>
              </w:rPr>
              <w:t>ToT</w:t>
            </w:r>
            <w:proofErr w:type="spellEnd"/>
            <w:r>
              <w:rPr>
                <w:rFonts w:ascii="Times New Roman" w:hAnsi="Times New Roman" w:cs="Times New Roman"/>
                <w:sz w:val="24"/>
                <w:szCs w:val="24"/>
              </w:rPr>
              <w:t xml:space="preserve"> for MOH</w:t>
            </w:r>
            <w:r w:rsidR="00E2343E">
              <w:rPr>
                <w:rFonts w:ascii="Times New Roman" w:hAnsi="Times New Roman" w:cs="Times New Roman"/>
                <w:sz w:val="24"/>
                <w:szCs w:val="24"/>
              </w:rPr>
              <w:t>S</w:t>
            </w:r>
            <w:r>
              <w:rPr>
                <w:rFonts w:ascii="Times New Roman" w:hAnsi="Times New Roman" w:cs="Times New Roman"/>
                <w:sz w:val="24"/>
                <w:szCs w:val="24"/>
              </w:rPr>
              <w:t xml:space="preserve"> staff</w:t>
            </w:r>
          </w:p>
        </w:tc>
        <w:tc>
          <w:tcPr>
            <w:tcW w:w="1890" w:type="dxa"/>
          </w:tcPr>
          <w:p w:rsidR="00B75163"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District</w:t>
            </w:r>
          </w:p>
        </w:tc>
        <w:tc>
          <w:tcPr>
            <w:tcW w:w="2610" w:type="dxa"/>
          </w:tcPr>
          <w:p w:rsidR="00B75163"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and DHMT</w:t>
            </w:r>
          </w:p>
        </w:tc>
      </w:tr>
      <w:tr w:rsidR="00B75163" w:rsidTr="004B5BC4">
        <w:tc>
          <w:tcPr>
            <w:tcW w:w="570" w:type="dxa"/>
          </w:tcPr>
          <w:p w:rsidR="00B75163"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218" w:type="dxa"/>
          </w:tcPr>
          <w:p w:rsidR="00B75163"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Identify Ministry of Education Science and Technology (MEST) participants for Training of Trainers (</w:t>
            </w:r>
            <w:proofErr w:type="spellStart"/>
            <w:r>
              <w:rPr>
                <w:rFonts w:ascii="Times New Roman" w:hAnsi="Times New Roman" w:cs="Times New Roman"/>
                <w:sz w:val="24"/>
                <w:szCs w:val="24"/>
              </w:rPr>
              <w:t>ToT</w:t>
            </w:r>
            <w:proofErr w:type="spellEnd"/>
            <w:r>
              <w:rPr>
                <w:rFonts w:ascii="Times New Roman" w:hAnsi="Times New Roman" w:cs="Times New Roman"/>
                <w:sz w:val="24"/>
                <w:szCs w:val="24"/>
              </w:rPr>
              <w:t>)</w:t>
            </w:r>
          </w:p>
        </w:tc>
        <w:tc>
          <w:tcPr>
            <w:tcW w:w="1890" w:type="dxa"/>
          </w:tcPr>
          <w:p w:rsidR="00B75163" w:rsidRDefault="00B75163"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National</w:t>
            </w:r>
            <w:r w:rsidR="0007323D">
              <w:rPr>
                <w:rFonts w:ascii="Times New Roman" w:hAnsi="Times New Roman" w:cs="Times New Roman"/>
                <w:sz w:val="24"/>
                <w:szCs w:val="24"/>
              </w:rPr>
              <w:t xml:space="preserve"> and district</w:t>
            </w:r>
          </w:p>
        </w:tc>
        <w:tc>
          <w:tcPr>
            <w:tcW w:w="2610" w:type="dxa"/>
          </w:tcPr>
          <w:p w:rsidR="00B75163"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and MEST</w:t>
            </w:r>
          </w:p>
        </w:tc>
      </w:tr>
      <w:tr w:rsidR="0007323D" w:rsidTr="004B5BC4">
        <w:tc>
          <w:tcPr>
            <w:tcW w:w="570" w:type="dxa"/>
          </w:tcPr>
          <w:p w:rsidR="0007323D"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218" w:type="dxa"/>
          </w:tcPr>
          <w:p w:rsidR="0007323D"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Conduct </w:t>
            </w:r>
            <w:proofErr w:type="spellStart"/>
            <w:r>
              <w:rPr>
                <w:rFonts w:ascii="Times New Roman" w:hAnsi="Times New Roman" w:cs="Times New Roman"/>
                <w:sz w:val="24"/>
                <w:szCs w:val="24"/>
              </w:rPr>
              <w:t>ToT</w:t>
            </w:r>
            <w:proofErr w:type="spellEnd"/>
            <w:r>
              <w:rPr>
                <w:rFonts w:ascii="Times New Roman" w:hAnsi="Times New Roman" w:cs="Times New Roman"/>
                <w:sz w:val="24"/>
                <w:szCs w:val="24"/>
              </w:rPr>
              <w:t xml:space="preserve"> for MEST staff</w:t>
            </w:r>
          </w:p>
        </w:tc>
        <w:tc>
          <w:tcPr>
            <w:tcW w:w="1890" w:type="dxa"/>
          </w:tcPr>
          <w:p w:rsidR="0007323D"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National and district</w:t>
            </w:r>
          </w:p>
        </w:tc>
        <w:tc>
          <w:tcPr>
            <w:tcW w:w="2610" w:type="dxa"/>
          </w:tcPr>
          <w:p w:rsidR="0007323D"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and MEST</w:t>
            </w:r>
          </w:p>
        </w:tc>
      </w:tr>
      <w:tr w:rsidR="0007323D" w:rsidTr="004B5BC4">
        <w:tc>
          <w:tcPr>
            <w:tcW w:w="570" w:type="dxa"/>
          </w:tcPr>
          <w:p w:rsidR="0007323D"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4218" w:type="dxa"/>
          </w:tcPr>
          <w:p w:rsidR="0007323D"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Identify MOH</w:t>
            </w:r>
            <w:r w:rsidR="00E2343E">
              <w:rPr>
                <w:rFonts w:ascii="Times New Roman" w:hAnsi="Times New Roman" w:cs="Times New Roman"/>
                <w:sz w:val="24"/>
                <w:szCs w:val="24"/>
              </w:rPr>
              <w:t>S</w:t>
            </w:r>
            <w:r>
              <w:rPr>
                <w:rFonts w:ascii="Times New Roman" w:hAnsi="Times New Roman" w:cs="Times New Roman"/>
                <w:sz w:val="24"/>
                <w:szCs w:val="24"/>
              </w:rPr>
              <w:t xml:space="preserve"> staff at community level for cascade training</w:t>
            </w:r>
          </w:p>
        </w:tc>
        <w:tc>
          <w:tcPr>
            <w:tcW w:w="1890" w:type="dxa"/>
          </w:tcPr>
          <w:p w:rsidR="0007323D"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District</w:t>
            </w:r>
          </w:p>
        </w:tc>
        <w:tc>
          <w:tcPr>
            <w:tcW w:w="2610" w:type="dxa"/>
          </w:tcPr>
          <w:p w:rsidR="0007323D"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DHMT</w:t>
            </w:r>
          </w:p>
        </w:tc>
      </w:tr>
      <w:tr w:rsidR="0007323D" w:rsidTr="004B5BC4">
        <w:tc>
          <w:tcPr>
            <w:tcW w:w="570" w:type="dxa"/>
          </w:tcPr>
          <w:p w:rsidR="0007323D" w:rsidRDefault="0007323D"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4218" w:type="dxa"/>
          </w:tcPr>
          <w:p w:rsidR="0007323D"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Conduct cascade training </w:t>
            </w:r>
            <w:r w:rsidR="00E2343E">
              <w:rPr>
                <w:rFonts w:ascii="Times New Roman" w:hAnsi="Times New Roman" w:cs="Times New Roman"/>
                <w:sz w:val="24"/>
                <w:szCs w:val="24"/>
              </w:rPr>
              <w:t>for</w:t>
            </w:r>
            <w:r>
              <w:rPr>
                <w:rFonts w:ascii="Times New Roman" w:hAnsi="Times New Roman" w:cs="Times New Roman"/>
                <w:sz w:val="24"/>
                <w:szCs w:val="24"/>
              </w:rPr>
              <w:t xml:space="preserve"> health facility staff</w:t>
            </w:r>
          </w:p>
        </w:tc>
        <w:tc>
          <w:tcPr>
            <w:tcW w:w="1890" w:type="dxa"/>
          </w:tcPr>
          <w:p w:rsidR="0007323D"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District</w:t>
            </w:r>
          </w:p>
        </w:tc>
        <w:tc>
          <w:tcPr>
            <w:tcW w:w="2610" w:type="dxa"/>
          </w:tcPr>
          <w:p w:rsidR="0007323D"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and DHMT</w:t>
            </w:r>
          </w:p>
        </w:tc>
      </w:tr>
      <w:tr w:rsidR="0098399E" w:rsidTr="004B5BC4">
        <w:tc>
          <w:tcPr>
            <w:tcW w:w="57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4218"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Identify MEST staff at community level for cascade training</w:t>
            </w:r>
          </w:p>
        </w:tc>
        <w:tc>
          <w:tcPr>
            <w:tcW w:w="189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District</w:t>
            </w:r>
          </w:p>
        </w:tc>
        <w:tc>
          <w:tcPr>
            <w:tcW w:w="261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MEST</w:t>
            </w:r>
          </w:p>
        </w:tc>
      </w:tr>
      <w:tr w:rsidR="0098399E" w:rsidTr="004B5BC4">
        <w:tc>
          <w:tcPr>
            <w:tcW w:w="57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4218"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Conduct cascade training </w:t>
            </w:r>
            <w:r w:rsidR="00E2343E">
              <w:rPr>
                <w:rFonts w:ascii="Times New Roman" w:hAnsi="Times New Roman" w:cs="Times New Roman"/>
                <w:sz w:val="24"/>
                <w:szCs w:val="24"/>
              </w:rPr>
              <w:t>for</w:t>
            </w:r>
            <w:r>
              <w:rPr>
                <w:rFonts w:ascii="Times New Roman" w:hAnsi="Times New Roman" w:cs="Times New Roman"/>
                <w:sz w:val="24"/>
                <w:szCs w:val="24"/>
              </w:rPr>
              <w:t xml:space="preserve"> health facility staff</w:t>
            </w:r>
          </w:p>
        </w:tc>
        <w:tc>
          <w:tcPr>
            <w:tcW w:w="189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District</w:t>
            </w:r>
          </w:p>
        </w:tc>
        <w:tc>
          <w:tcPr>
            <w:tcW w:w="261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and DHMT</w:t>
            </w:r>
          </w:p>
        </w:tc>
      </w:tr>
      <w:tr w:rsidR="0098399E" w:rsidTr="004B5BC4">
        <w:tc>
          <w:tcPr>
            <w:tcW w:w="570" w:type="dxa"/>
          </w:tcPr>
          <w:p w:rsidR="0098399E" w:rsidRDefault="0098399E"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11</w:t>
            </w:r>
          </w:p>
        </w:tc>
        <w:tc>
          <w:tcPr>
            <w:tcW w:w="4218" w:type="dxa"/>
          </w:tcPr>
          <w:p w:rsidR="0098399E" w:rsidRDefault="005D65F2"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Monitoring and supervision of cascade trainings</w:t>
            </w:r>
          </w:p>
        </w:tc>
        <w:tc>
          <w:tcPr>
            <w:tcW w:w="1890" w:type="dxa"/>
          </w:tcPr>
          <w:p w:rsidR="0098399E" w:rsidRDefault="005D65F2"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District </w:t>
            </w:r>
          </w:p>
        </w:tc>
        <w:tc>
          <w:tcPr>
            <w:tcW w:w="2610" w:type="dxa"/>
          </w:tcPr>
          <w:p w:rsidR="0098399E" w:rsidRDefault="005D65F2" w:rsidP="00105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NIP, DHMT, and MEST</w:t>
            </w:r>
          </w:p>
        </w:tc>
      </w:tr>
    </w:tbl>
    <w:p w:rsidR="0065737E" w:rsidRPr="00454792" w:rsidRDefault="0065737E" w:rsidP="006173EA">
      <w:pPr>
        <w:pStyle w:val="ListParagraph"/>
        <w:numPr>
          <w:ilvl w:val="0"/>
          <w:numId w:val="5"/>
        </w:numPr>
        <w:jc w:val="both"/>
        <w:rPr>
          <w:rFonts w:ascii="Times New Roman" w:hAnsi="Times New Roman" w:cs="Times New Roman"/>
          <w:sz w:val="24"/>
          <w:szCs w:val="24"/>
        </w:rPr>
      </w:pPr>
      <w:r w:rsidRPr="00454792">
        <w:rPr>
          <w:rFonts w:ascii="Times New Roman" w:hAnsi="Times New Roman" w:cs="Times New Roman"/>
          <w:sz w:val="24"/>
          <w:szCs w:val="24"/>
        </w:rPr>
        <w:t xml:space="preserve">The training content </w:t>
      </w:r>
      <w:r w:rsidR="00DB02BB" w:rsidRPr="00454792">
        <w:rPr>
          <w:rFonts w:ascii="Times New Roman" w:hAnsi="Times New Roman" w:cs="Times New Roman"/>
          <w:sz w:val="24"/>
          <w:szCs w:val="24"/>
        </w:rPr>
        <w:t xml:space="preserve">for health </w:t>
      </w:r>
      <w:r w:rsidR="00D77E28" w:rsidRPr="00454792">
        <w:rPr>
          <w:rFonts w:ascii="Times New Roman" w:hAnsi="Times New Roman" w:cs="Times New Roman"/>
          <w:sz w:val="24"/>
          <w:szCs w:val="24"/>
        </w:rPr>
        <w:t xml:space="preserve">workers </w:t>
      </w:r>
      <w:r w:rsidRPr="00454792">
        <w:rPr>
          <w:rFonts w:ascii="Times New Roman" w:hAnsi="Times New Roman" w:cs="Times New Roman"/>
          <w:sz w:val="24"/>
          <w:szCs w:val="24"/>
        </w:rPr>
        <w:t>will cover epidemiology, the vaccine, cold</w:t>
      </w:r>
      <w:r w:rsidR="003052E3" w:rsidRPr="00454792">
        <w:rPr>
          <w:rFonts w:ascii="Times New Roman" w:hAnsi="Times New Roman" w:cs="Times New Roman"/>
          <w:sz w:val="24"/>
          <w:szCs w:val="24"/>
        </w:rPr>
        <w:t xml:space="preserve"> </w:t>
      </w:r>
      <w:r w:rsidRPr="00454792">
        <w:rPr>
          <w:rFonts w:ascii="Times New Roman" w:hAnsi="Times New Roman" w:cs="Times New Roman"/>
          <w:sz w:val="24"/>
          <w:szCs w:val="24"/>
        </w:rPr>
        <w:t>chain management, vaccine administration, social mobilization AEFI</w:t>
      </w:r>
      <w:r w:rsidR="003B629A">
        <w:rPr>
          <w:rFonts w:ascii="Times New Roman" w:hAnsi="Times New Roman" w:cs="Times New Roman"/>
          <w:sz w:val="24"/>
          <w:szCs w:val="24"/>
        </w:rPr>
        <w:t>, vaccination schedule and other details.</w:t>
      </w:r>
    </w:p>
    <w:p w:rsidR="006173EA" w:rsidRPr="00454792" w:rsidRDefault="006173EA" w:rsidP="006173EA">
      <w:pPr>
        <w:pStyle w:val="ListParagraph"/>
        <w:numPr>
          <w:ilvl w:val="0"/>
          <w:numId w:val="5"/>
        </w:numPr>
        <w:jc w:val="both"/>
        <w:rPr>
          <w:rFonts w:ascii="Times New Roman" w:hAnsi="Times New Roman" w:cs="Times New Roman"/>
          <w:sz w:val="24"/>
          <w:szCs w:val="24"/>
        </w:rPr>
      </w:pPr>
      <w:r w:rsidRPr="00454792">
        <w:rPr>
          <w:rFonts w:ascii="Times New Roman" w:hAnsi="Times New Roman" w:cs="Times New Roman"/>
          <w:sz w:val="24"/>
          <w:szCs w:val="24"/>
        </w:rPr>
        <w:t xml:space="preserve">The content of training for the teachers will include </w:t>
      </w:r>
      <w:r w:rsidR="003B629A">
        <w:rPr>
          <w:rFonts w:ascii="Times New Roman" w:hAnsi="Times New Roman" w:cs="Times New Roman"/>
          <w:sz w:val="24"/>
          <w:szCs w:val="24"/>
        </w:rPr>
        <w:t xml:space="preserve">the vaccine and its benefits, vaccination schedule and details, the need for inter-sectoral collaboration and community participation, </w:t>
      </w:r>
      <w:r w:rsidRPr="00454792">
        <w:rPr>
          <w:rFonts w:ascii="Times New Roman" w:hAnsi="Times New Roman" w:cs="Times New Roman"/>
          <w:sz w:val="24"/>
          <w:szCs w:val="24"/>
        </w:rPr>
        <w:t>advocacy</w:t>
      </w:r>
      <w:r w:rsidR="00EC3759">
        <w:rPr>
          <w:rFonts w:ascii="Times New Roman" w:hAnsi="Times New Roman" w:cs="Times New Roman"/>
          <w:sz w:val="24"/>
          <w:szCs w:val="24"/>
        </w:rPr>
        <w:t xml:space="preserve"> </w:t>
      </w:r>
      <w:r w:rsidRPr="00454792">
        <w:rPr>
          <w:rFonts w:ascii="Times New Roman" w:hAnsi="Times New Roman" w:cs="Times New Roman"/>
          <w:sz w:val="24"/>
          <w:szCs w:val="24"/>
        </w:rPr>
        <w:t>and social mobilization</w:t>
      </w:r>
    </w:p>
    <w:p w:rsidR="007C11A6" w:rsidRDefault="007C11A6" w:rsidP="007C11A6">
      <w:pPr>
        <w:pStyle w:val="ListParagraph"/>
        <w:jc w:val="both"/>
        <w:rPr>
          <w:rFonts w:ascii="Times New Roman" w:hAnsi="Times New Roman" w:cs="Times New Roman"/>
          <w:sz w:val="24"/>
          <w:szCs w:val="24"/>
        </w:rPr>
      </w:pPr>
    </w:p>
    <w:p w:rsidR="0065737E" w:rsidRDefault="0065737E" w:rsidP="0065737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Adverse Events Following Immunization (AEFI) monitoring and reporting </w:t>
      </w:r>
      <w:proofErr w:type="gramStart"/>
      <w:r w:rsidR="00BE000E">
        <w:rPr>
          <w:rFonts w:ascii="Times New Roman" w:hAnsi="Times New Roman" w:cs="Times New Roman"/>
          <w:sz w:val="24"/>
          <w:szCs w:val="24"/>
        </w:rPr>
        <w:t>is</w:t>
      </w:r>
      <w:r w:rsidR="006B3233">
        <w:rPr>
          <w:rFonts w:ascii="Times New Roman" w:hAnsi="Times New Roman" w:cs="Times New Roman"/>
          <w:sz w:val="24"/>
          <w:szCs w:val="24"/>
        </w:rPr>
        <w:t xml:space="preserve"> </w:t>
      </w:r>
      <w:r>
        <w:rPr>
          <w:rFonts w:ascii="Times New Roman" w:hAnsi="Times New Roman" w:cs="Times New Roman"/>
          <w:sz w:val="24"/>
          <w:szCs w:val="24"/>
        </w:rPr>
        <w:t xml:space="preserve"> part</w:t>
      </w:r>
      <w:proofErr w:type="gramEnd"/>
      <w:r>
        <w:rPr>
          <w:rFonts w:ascii="Times New Roman" w:hAnsi="Times New Roman" w:cs="Times New Roman"/>
          <w:sz w:val="24"/>
          <w:szCs w:val="24"/>
        </w:rPr>
        <w:t xml:space="preserve"> of the </w:t>
      </w:r>
      <w:r w:rsidR="000A598A">
        <w:rPr>
          <w:rFonts w:ascii="Times New Roman" w:hAnsi="Times New Roman" w:cs="Times New Roman"/>
          <w:sz w:val="24"/>
          <w:szCs w:val="24"/>
        </w:rPr>
        <w:t>routine immunization services in</w:t>
      </w:r>
      <w:r w:rsidR="006B3233">
        <w:rPr>
          <w:rFonts w:ascii="Times New Roman" w:hAnsi="Times New Roman" w:cs="Times New Roman"/>
          <w:sz w:val="24"/>
          <w:szCs w:val="24"/>
        </w:rPr>
        <w:t xml:space="preserve"> line with WHO guidelines in</w:t>
      </w:r>
      <w:r w:rsidR="000A598A">
        <w:rPr>
          <w:rFonts w:ascii="Times New Roman" w:hAnsi="Times New Roman" w:cs="Times New Roman"/>
          <w:sz w:val="24"/>
          <w:szCs w:val="24"/>
        </w:rPr>
        <w:t xml:space="preserve"> Sierra Leone. There are </w:t>
      </w:r>
      <w:proofErr w:type="gramStart"/>
      <w:r w:rsidR="000A598A">
        <w:rPr>
          <w:rFonts w:ascii="Times New Roman" w:hAnsi="Times New Roman" w:cs="Times New Roman"/>
          <w:sz w:val="24"/>
          <w:szCs w:val="24"/>
        </w:rPr>
        <w:t>structure</w:t>
      </w:r>
      <w:r w:rsidR="00BE000E">
        <w:rPr>
          <w:rFonts w:ascii="Times New Roman" w:hAnsi="Times New Roman" w:cs="Times New Roman"/>
          <w:sz w:val="24"/>
          <w:szCs w:val="24"/>
        </w:rPr>
        <w:t>s</w:t>
      </w:r>
      <w:r w:rsidR="006B3233">
        <w:rPr>
          <w:rFonts w:ascii="Times New Roman" w:hAnsi="Times New Roman" w:cs="Times New Roman"/>
          <w:sz w:val="24"/>
          <w:szCs w:val="24"/>
        </w:rPr>
        <w:t xml:space="preserve"> </w:t>
      </w:r>
      <w:r w:rsidR="000A598A">
        <w:rPr>
          <w:rFonts w:ascii="Times New Roman" w:hAnsi="Times New Roman" w:cs="Times New Roman"/>
          <w:sz w:val="24"/>
          <w:szCs w:val="24"/>
        </w:rPr>
        <w:t xml:space="preserve"> in</w:t>
      </w:r>
      <w:proofErr w:type="gramEnd"/>
      <w:r w:rsidR="000A598A">
        <w:rPr>
          <w:rFonts w:ascii="Times New Roman" w:hAnsi="Times New Roman" w:cs="Times New Roman"/>
          <w:sz w:val="24"/>
          <w:szCs w:val="24"/>
        </w:rPr>
        <w:t xml:space="preserve"> place for the monitoring and reporting </w:t>
      </w:r>
      <w:r w:rsidR="00BE000E">
        <w:rPr>
          <w:rFonts w:ascii="Times New Roman" w:hAnsi="Times New Roman" w:cs="Times New Roman"/>
          <w:sz w:val="24"/>
          <w:szCs w:val="24"/>
        </w:rPr>
        <w:t xml:space="preserve">of </w:t>
      </w:r>
      <w:r w:rsidR="000A598A">
        <w:rPr>
          <w:rFonts w:ascii="Times New Roman" w:hAnsi="Times New Roman" w:cs="Times New Roman"/>
          <w:sz w:val="24"/>
          <w:szCs w:val="24"/>
        </w:rPr>
        <w:t>any case of AEFI either from routine or supplemental immunization services.</w:t>
      </w:r>
      <w:r w:rsidR="003D2696">
        <w:rPr>
          <w:rFonts w:ascii="Times New Roman" w:hAnsi="Times New Roman" w:cs="Times New Roman"/>
          <w:sz w:val="24"/>
          <w:szCs w:val="24"/>
        </w:rPr>
        <w:t xml:space="preserve"> However, AEFI monitoring and reporting needs strengthening through training of</w:t>
      </w:r>
      <w:r w:rsidR="00BE000E">
        <w:rPr>
          <w:rFonts w:ascii="Times New Roman" w:hAnsi="Times New Roman" w:cs="Times New Roman"/>
          <w:sz w:val="24"/>
          <w:szCs w:val="24"/>
        </w:rPr>
        <w:t xml:space="preserve"> health work</w:t>
      </w:r>
      <w:r w:rsidR="003D2696">
        <w:rPr>
          <w:rFonts w:ascii="Times New Roman" w:hAnsi="Times New Roman" w:cs="Times New Roman"/>
          <w:sz w:val="24"/>
          <w:szCs w:val="24"/>
        </w:rPr>
        <w:t xml:space="preserve">ers at all levels. </w:t>
      </w:r>
      <w:r w:rsidR="00BE000E">
        <w:rPr>
          <w:rFonts w:ascii="Times New Roman" w:hAnsi="Times New Roman" w:cs="Times New Roman"/>
          <w:sz w:val="24"/>
          <w:szCs w:val="24"/>
        </w:rPr>
        <w:t xml:space="preserve"> </w:t>
      </w:r>
      <w:r w:rsidR="00245A1E">
        <w:rPr>
          <w:rFonts w:ascii="Times New Roman" w:hAnsi="Times New Roman" w:cs="Times New Roman"/>
          <w:sz w:val="24"/>
          <w:szCs w:val="24"/>
        </w:rPr>
        <w:t>The exi</w:t>
      </w:r>
      <w:r w:rsidR="000A598A">
        <w:rPr>
          <w:rFonts w:ascii="Times New Roman" w:hAnsi="Times New Roman" w:cs="Times New Roman"/>
          <w:sz w:val="24"/>
          <w:szCs w:val="24"/>
        </w:rPr>
        <w:t xml:space="preserve">sting AEFI </w:t>
      </w:r>
      <w:r w:rsidR="006B3233">
        <w:rPr>
          <w:rFonts w:ascii="Times New Roman" w:hAnsi="Times New Roman" w:cs="Times New Roman"/>
          <w:sz w:val="24"/>
          <w:szCs w:val="24"/>
        </w:rPr>
        <w:lastRenderedPageBreak/>
        <w:t xml:space="preserve">forms and </w:t>
      </w:r>
      <w:r w:rsidR="000A598A">
        <w:rPr>
          <w:rFonts w:ascii="Times New Roman" w:hAnsi="Times New Roman" w:cs="Times New Roman"/>
          <w:sz w:val="24"/>
          <w:szCs w:val="24"/>
        </w:rPr>
        <w:t xml:space="preserve">structures will be </w:t>
      </w:r>
      <w:r w:rsidR="006B3233">
        <w:rPr>
          <w:rFonts w:ascii="Times New Roman" w:hAnsi="Times New Roman" w:cs="Times New Roman"/>
          <w:sz w:val="24"/>
          <w:szCs w:val="24"/>
        </w:rPr>
        <w:t xml:space="preserve">adapted and </w:t>
      </w:r>
      <w:r w:rsidR="000A598A">
        <w:rPr>
          <w:rFonts w:ascii="Times New Roman" w:hAnsi="Times New Roman" w:cs="Times New Roman"/>
          <w:sz w:val="24"/>
          <w:szCs w:val="24"/>
        </w:rPr>
        <w:t>used for reporting and investigation of AEFIs attributable to HPV administration.</w:t>
      </w:r>
    </w:p>
    <w:p w:rsidR="000A598A" w:rsidRDefault="000A598A" w:rsidP="000A598A">
      <w:pPr>
        <w:pStyle w:val="ListParagraph"/>
        <w:jc w:val="both"/>
        <w:rPr>
          <w:rFonts w:ascii="Times New Roman" w:hAnsi="Times New Roman" w:cs="Times New Roman"/>
          <w:sz w:val="24"/>
          <w:szCs w:val="24"/>
        </w:rPr>
      </w:pPr>
    </w:p>
    <w:p w:rsidR="006A7F6A" w:rsidRDefault="00B61EC0" w:rsidP="000A598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Health Education unit in the Ministry of Health and Sanitation </w:t>
      </w:r>
      <w:r w:rsidR="000543AA">
        <w:rPr>
          <w:rFonts w:ascii="Times New Roman" w:hAnsi="Times New Roman" w:cs="Times New Roman"/>
          <w:sz w:val="24"/>
          <w:szCs w:val="24"/>
        </w:rPr>
        <w:t xml:space="preserve">will implement </w:t>
      </w:r>
      <w:proofErr w:type="gramStart"/>
      <w:r>
        <w:rPr>
          <w:rFonts w:ascii="Times New Roman" w:hAnsi="Times New Roman" w:cs="Times New Roman"/>
          <w:sz w:val="24"/>
          <w:szCs w:val="24"/>
        </w:rPr>
        <w:t>strategies  to</w:t>
      </w:r>
      <w:proofErr w:type="gramEnd"/>
      <w:r>
        <w:rPr>
          <w:rFonts w:ascii="Times New Roman" w:hAnsi="Times New Roman" w:cs="Times New Roman"/>
          <w:sz w:val="24"/>
          <w:szCs w:val="24"/>
        </w:rPr>
        <w:t xml:space="preserve"> combat all cases of </w:t>
      </w:r>
      <w:proofErr w:type="spellStart"/>
      <w:r w:rsidR="006B3233">
        <w:rPr>
          <w:rFonts w:ascii="Times New Roman" w:hAnsi="Times New Roman" w:cs="Times New Roman"/>
          <w:sz w:val="24"/>
          <w:szCs w:val="24"/>
        </w:rPr>
        <w:t>rumours</w:t>
      </w:r>
      <w:proofErr w:type="spellEnd"/>
      <w:r w:rsidR="006B3233">
        <w:rPr>
          <w:rFonts w:ascii="Times New Roman" w:hAnsi="Times New Roman" w:cs="Times New Roman"/>
          <w:sz w:val="24"/>
          <w:szCs w:val="24"/>
        </w:rPr>
        <w:t xml:space="preserve"> and refusal</w:t>
      </w:r>
      <w:r w:rsidR="006A7F6A">
        <w:rPr>
          <w:rFonts w:ascii="Times New Roman" w:hAnsi="Times New Roman" w:cs="Times New Roman"/>
          <w:sz w:val="24"/>
          <w:szCs w:val="24"/>
        </w:rPr>
        <w:t>s such as:</w:t>
      </w:r>
    </w:p>
    <w:p w:rsidR="006A7F6A" w:rsidRDefault="006A7F6A" w:rsidP="006A7F6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Meeting with relevant stakeholders (teachers, religious groups, parents, community leaders, youth groups, schools clubs etc) to address any negative </w:t>
      </w:r>
      <w:proofErr w:type="spellStart"/>
      <w:r>
        <w:rPr>
          <w:rFonts w:ascii="Times New Roman" w:hAnsi="Times New Roman" w:cs="Times New Roman"/>
          <w:sz w:val="24"/>
          <w:szCs w:val="24"/>
        </w:rPr>
        <w:t>rumours</w:t>
      </w:r>
      <w:proofErr w:type="spellEnd"/>
      <w:r>
        <w:rPr>
          <w:rFonts w:ascii="Times New Roman" w:hAnsi="Times New Roman" w:cs="Times New Roman"/>
          <w:sz w:val="24"/>
          <w:szCs w:val="24"/>
        </w:rPr>
        <w:t xml:space="preserve"> </w:t>
      </w:r>
    </w:p>
    <w:p w:rsidR="006A7F6A" w:rsidRDefault="006A7F6A" w:rsidP="006A7F6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Stakeholders at community level will form part of the committees setup for the demonstration exercise</w:t>
      </w:r>
    </w:p>
    <w:p w:rsidR="006A7F6A" w:rsidRDefault="006A7F6A" w:rsidP="006A7F6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IPC and BCC strategies</w:t>
      </w:r>
    </w:p>
    <w:p w:rsidR="006A7F6A" w:rsidRPr="006A7F6A" w:rsidRDefault="006A7F6A" w:rsidP="006A7F6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Use of folk media, drama and other available community structures</w:t>
      </w:r>
      <w:r w:rsidR="000543AA">
        <w:rPr>
          <w:rFonts w:ascii="Times New Roman" w:hAnsi="Times New Roman" w:cs="Times New Roman"/>
          <w:sz w:val="24"/>
          <w:szCs w:val="24"/>
        </w:rPr>
        <w:t xml:space="preserve"> to inform about the HPV demonstration.</w:t>
      </w:r>
    </w:p>
    <w:p w:rsidR="007C11A6" w:rsidRDefault="007C11A6" w:rsidP="000A598A">
      <w:pPr>
        <w:pStyle w:val="ListParagraph"/>
        <w:jc w:val="both"/>
        <w:rPr>
          <w:rFonts w:ascii="Times New Roman" w:hAnsi="Times New Roman" w:cs="Times New Roman"/>
          <w:sz w:val="24"/>
          <w:szCs w:val="24"/>
        </w:rPr>
      </w:pPr>
    </w:p>
    <w:p w:rsidR="007C11A6" w:rsidRDefault="007C11A6" w:rsidP="000A598A">
      <w:pPr>
        <w:pStyle w:val="ListParagraph"/>
        <w:jc w:val="both"/>
        <w:rPr>
          <w:rFonts w:ascii="Times New Roman" w:hAnsi="Times New Roman" w:cs="Times New Roman"/>
          <w:sz w:val="24"/>
          <w:szCs w:val="24"/>
        </w:rPr>
      </w:pPr>
    </w:p>
    <w:p w:rsidR="00D8441D" w:rsidRDefault="00D8441D" w:rsidP="00D844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country has adjusted the budget to address the issue of community sensitization taken into consideration the use of the existing community </w:t>
      </w:r>
      <w:r w:rsidR="008979A0">
        <w:rPr>
          <w:rFonts w:ascii="Times New Roman" w:hAnsi="Times New Roman" w:cs="Times New Roman"/>
          <w:sz w:val="24"/>
          <w:szCs w:val="24"/>
        </w:rPr>
        <w:t>s</w:t>
      </w:r>
      <w:r w:rsidR="00213853">
        <w:rPr>
          <w:rFonts w:ascii="Times New Roman" w:hAnsi="Times New Roman" w:cs="Times New Roman"/>
          <w:sz w:val="24"/>
          <w:szCs w:val="24"/>
        </w:rPr>
        <w:t>e</w:t>
      </w:r>
      <w:r w:rsidR="008979A0">
        <w:rPr>
          <w:rFonts w:ascii="Times New Roman" w:hAnsi="Times New Roman" w:cs="Times New Roman"/>
          <w:sz w:val="24"/>
          <w:szCs w:val="24"/>
        </w:rPr>
        <w:t>n</w:t>
      </w:r>
      <w:r w:rsidR="00213853">
        <w:rPr>
          <w:rFonts w:ascii="Times New Roman" w:hAnsi="Times New Roman" w:cs="Times New Roman"/>
          <w:sz w:val="24"/>
          <w:szCs w:val="24"/>
        </w:rPr>
        <w:t>s</w:t>
      </w:r>
      <w:r w:rsidR="008979A0">
        <w:rPr>
          <w:rFonts w:ascii="Times New Roman" w:hAnsi="Times New Roman" w:cs="Times New Roman"/>
          <w:sz w:val="24"/>
          <w:szCs w:val="24"/>
        </w:rPr>
        <w:t>itization</w:t>
      </w:r>
      <w:r>
        <w:rPr>
          <w:rFonts w:ascii="Times New Roman" w:hAnsi="Times New Roman" w:cs="Times New Roman"/>
          <w:sz w:val="24"/>
          <w:szCs w:val="24"/>
        </w:rPr>
        <w:t xml:space="preserve"> structures at all levels. The adjusted </w:t>
      </w:r>
      <w:r w:rsidR="008979A0">
        <w:rPr>
          <w:rFonts w:ascii="Times New Roman" w:hAnsi="Times New Roman" w:cs="Times New Roman"/>
          <w:sz w:val="24"/>
          <w:szCs w:val="24"/>
        </w:rPr>
        <w:t>budget</w:t>
      </w:r>
      <w:r>
        <w:rPr>
          <w:rFonts w:ascii="Times New Roman" w:hAnsi="Times New Roman" w:cs="Times New Roman"/>
          <w:sz w:val="24"/>
          <w:szCs w:val="24"/>
        </w:rPr>
        <w:t xml:space="preserve"> is as follows:</w:t>
      </w:r>
    </w:p>
    <w:tbl>
      <w:tblPr>
        <w:tblW w:w="1021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2250"/>
        <w:gridCol w:w="1710"/>
        <w:gridCol w:w="1844"/>
      </w:tblGrid>
      <w:tr w:rsidR="008E309F" w:rsidRPr="00835639" w:rsidTr="00835639">
        <w:tc>
          <w:tcPr>
            <w:tcW w:w="4410" w:type="dxa"/>
            <w:vMerge w:val="restart"/>
            <w:shd w:val="clear" w:color="auto" w:fill="auto"/>
            <w:vAlign w:val="center"/>
          </w:tcPr>
          <w:p w:rsidR="008E309F" w:rsidRPr="00835639" w:rsidRDefault="008E309F" w:rsidP="006B403D">
            <w:pPr>
              <w:ind w:right="120"/>
              <w:rPr>
                <w:rFonts w:ascii="Times New Roman" w:hAnsi="Times New Roman" w:cs="Times New Roman"/>
                <w:b/>
                <w:sz w:val="24"/>
                <w:szCs w:val="24"/>
              </w:rPr>
            </w:pPr>
            <w:r w:rsidRPr="00835639">
              <w:rPr>
                <w:rFonts w:ascii="Times New Roman" w:hAnsi="Times New Roman" w:cs="Times New Roman"/>
                <w:b/>
                <w:sz w:val="24"/>
                <w:szCs w:val="24"/>
              </w:rPr>
              <w:t>Cost category</w:t>
            </w:r>
          </w:p>
        </w:tc>
        <w:tc>
          <w:tcPr>
            <w:tcW w:w="2250" w:type="dxa"/>
            <w:vMerge w:val="restart"/>
            <w:shd w:val="clear" w:color="auto" w:fill="auto"/>
            <w:vAlign w:val="center"/>
          </w:tcPr>
          <w:p w:rsidR="008E309F" w:rsidRPr="00835639" w:rsidRDefault="008E309F" w:rsidP="006B403D">
            <w:pPr>
              <w:ind w:right="120"/>
              <w:rPr>
                <w:rFonts w:ascii="Times New Roman" w:hAnsi="Times New Roman" w:cs="Times New Roman"/>
                <w:b/>
                <w:sz w:val="24"/>
                <w:szCs w:val="24"/>
              </w:rPr>
            </w:pPr>
            <w:r w:rsidRPr="00835639">
              <w:rPr>
                <w:rFonts w:ascii="Times New Roman" w:hAnsi="Times New Roman" w:cs="Times New Roman"/>
                <w:b/>
                <w:sz w:val="24"/>
                <w:szCs w:val="24"/>
              </w:rPr>
              <w:t>Funding source</w:t>
            </w:r>
          </w:p>
        </w:tc>
        <w:tc>
          <w:tcPr>
            <w:tcW w:w="3554" w:type="dxa"/>
            <w:gridSpan w:val="2"/>
            <w:tcBorders>
              <w:bottom w:val="nil"/>
            </w:tcBorders>
            <w:shd w:val="clear" w:color="auto" w:fill="auto"/>
          </w:tcPr>
          <w:p w:rsidR="008E309F" w:rsidRPr="00835639" w:rsidRDefault="008E309F" w:rsidP="006B403D">
            <w:pPr>
              <w:ind w:right="120"/>
              <w:jc w:val="center"/>
              <w:rPr>
                <w:rFonts w:ascii="Times New Roman" w:hAnsi="Times New Roman" w:cs="Times New Roman"/>
                <w:b/>
                <w:sz w:val="24"/>
                <w:szCs w:val="24"/>
              </w:rPr>
            </w:pPr>
            <w:r w:rsidRPr="00835639">
              <w:rPr>
                <w:rFonts w:ascii="Times New Roman" w:hAnsi="Times New Roman" w:cs="Times New Roman"/>
                <w:b/>
                <w:sz w:val="24"/>
                <w:szCs w:val="24"/>
              </w:rPr>
              <w:t>Estimated costs per annum in US$</w:t>
            </w:r>
          </w:p>
        </w:tc>
      </w:tr>
      <w:tr w:rsidR="008E309F" w:rsidRPr="00835639" w:rsidTr="00835639">
        <w:tc>
          <w:tcPr>
            <w:tcW w:w="4410" w:type="dxa"/>
            <w:vMerge/>
            <w:shd w:val="clear" w:color="auto" w:fill="auto"/>
          </w:tcPr>
          <w:p w:rsidR="008E309F" w:rsidRPr="00835639" w:rsidRDefault="008E309F" w:rsidP="006B403D">
            <w:pPr>
              <w:ind w:right="120"/>
              <w:jc w:val="both"/>
              <w:rPr>
                <w:rFonts w:ascii="Times New Roman" w:hAnsi="Times New Roman" w:cs="Times New Roman"/>
                <w:sz w:val="24"/>
                <w:szCs w:val="24"/>
              </w:rPr>
            </w:pPr>
          </w:p>
        </w:tc>
        <w:tc>
          <w:tcPr>
            <w:tcW w:w="2250" w:type="dxa"/>
            <w:vMerge/>
            <w:shd w:val="clear" w:color="auto" w:fill="auto"/>
          </w:tcPr>
          <w:p w:rsidR="008E309F" w:rsidRPr="00835639" w:rsidRDefault="008E309F" w:rsidP="006B403D">
            <w:pPr>
              <w:ind w:right="120"/>
              <w:jc w:val="both"/>
              <w:rPr>
                <w:rFonts w:ascii="Times New Roman" w:hAnsi="Times New Roman" w:cs="Times New Roman"/>
                <w:sz w:val="24"/>
                <w:szCs w:val="24"/>
              </w:rPr>
            </w:pPr>
          </w:p>
        </w:tc>
        <w:tc>
          <w:tcPr>
            <w:tcW w:w="1710" w:type="dxa"/>
            <w:tcBorders>
              <w:top w:val="nil"/>
            </w:tcBorders>
            <w:shd w:val="clear" w:color="auto" w:fill="auto"/>
          </w:tcPr>
          <w:p w:rsidR="008E309F" w:rsidRPr="00835639" w:rsidRDefault="008E309F" w:rsidP="006B403D">
            <w:pPr>
              <w:ind w:right="120"/>
              <w:jc w:val="center"/>
              <w:rPr>
                <w:rFonts w:ascii="Times New Roman" w:hAnsi="Times New Roman" w:cs="Times New Roman"/>
                <w:b/>
                <w:sz w:val="24"/>
                <w:szCs w:val="24"/>
              </w:rPr>
            </w:pPr>
            <w:r w:rsidRPr="00835639">
              <w:rPr>
                <w:rFonts w:ascii="Times New Roman" w:hAnsi="Times New Roman" w:cs="Times New Roman"/>
                <w:b/>
                <w:sz w:val="24"/>
                <w:szCs w:val="24"/>
              </w:rPr>
              <w:t>Year 1</w:t>
            </w:r>
          </w:p>
        </w:tc>
        <w:tc>
          <w:tcPr>
            <w:tcW w:w="1844" w:type="dxa"/>
            <w:tcBorders>
              <w:top w:val="nil"/>
            </w:tcBorders>
            <w:shd w:val="clear" w:color="auto" w:fill="auto"/>
          </w:tcPr>
          <w:p w:rsidR="008E309F" w:rsidRPr="00835639" w:rsidRDefault="008E309F" w:rsidP="006B403D">
            <w:pPr>
              <w:ind w:right="120"/>
              <w:jc w:val="center"/>
              <w:rPr>
                <w:rFonts w:ascii="Times New Roman" w:hAnsi="Times New Roman" w:cs="Times New Roman"/>
                <w:b/>
                <w:sz w:val="24"/>
                <w:szCs w:val="24"/>
              </w:rPr>
            </w:pPr>
            <w:r w:rsidRPr="00835639">
              <w:rPr>
                <w:rFonts w:ascii="Times New Roman" w:hAnsi="Times New Roman" w:cs="Times New Roman"/>
                <w:b/>
                <w:sz w:val="24"/>
                <w:szCs w:val="24"/>
              </w:rPr>
              <w:t>Year 2</w:t>
            </w:r>
          </w:p>
        </w:tc>
      </w:tr>
      <w:tr w:rsidR="008E309F" w:rsidRPr="00835639" w:rsidTr="00EC3759">
        <w:trPr>
          <w:trHeight w:val="296"/>
        </w:trPr>
        <w:tc>
          <w:tcPr>
            <w:tcW w:w="4410" w:type="dxa"/>
            <w:shd w:val="clear" w:color="auto" w:fill="auto"/>
          </w:tcPr>
          <w:p w:rsidR="008E309F" w:rsidRPr="00835639" w:rsidRDefault="008E309F" w:rsidP="006B403D">
            <w:pPr>
              <w:ind w:right="120"/>
              <w:jc w:val="both"/>
              <w:rPr>
                <w:rFonts w:ascii="Times New Roman" w:hAnsi="Times New Roman" w:cs="Times New Roman"/>
                <w:sz w:val="24"/>
                <w:szCs w:val="24"/>
              </w:rPr>
            </w:pPr>
            <w:r w:rsidRPr="00835639">
              <w:rPr>
                <w:rFonts w:ascii="Times New Roman" w:hAnsi="Times New Roman" w:cs="Times New Roman"/>
                <w:sz w:val="24"/>
                <w:szCs w:val="24"/>
              </w:rPr>
              <w:t>TAG meetings</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2,500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Programme management and coordination</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GOSL, 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10,000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6,000</w:t>
            </w:r>
          </w:p>
        </w:tc>
      </w:tr>
      <w:tr w:rsidR="008E309F" w:rsidRPr="00835639" w:rsidTr="00835639">
        <w:tc>
          <w:tcPr>
            <w:tcW w:w="4410" w:type="dxa"/>
            <w:shd w:val="clear" w:color="auto" w:fill="auto"/>
          </w:tcPr>
          <w:p w:rsidR="008E309F" w:rsidRPr="00835639" w:rsidRDefault="008E309F" w:rsidP="006B403D">
            <w:pPr>
              <w:ind w:right="120"/>
              <w:jc w:val="both"/>
              <w:rPr>
                <w:rFonts w:ascii="Times New Roman" w:hAnsi="Times New Roman" w:cs="Times New Roman"/>
                <w:sz w:val="24"/>
                <w:szCs w:val="24"/>
              </w:rPr>
            </w:pPr>
            <w:r w:rsidRPr="00835639">
              <w:rPr>
                <w:rFonts w:ascii="Times New Roman" w:hAnsi="Times New Roman" w:cs="Times New Roman"/>
                <w:sz w:val="24"/>
                <w:szCs w:val="24"/>
              </w:rPr>
              <w:t>Cold chain equipment</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GOSL,  UNICEF</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5,500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Other capital equipment (describe)</w:t>
            </w:r>
          </w:p>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Rehabilitation of coldrooms and stores (national and districts)</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GOSL, GAVI, UNICEF, WHO</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15,000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10,000</w:t>
            </w:r>
          </w:p>
        </w:tc>
      </w:tr>
      <w:tr w:rsidR="008E309F" w:rsidRPr="00835639" w:rsidTr="00835639">
        <w:trPr>
          <w:trHeight w:val="647"/>
        </w:trPr>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Personnel, including salary supplements and/or per diems</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GOSL, 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4,000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5,500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Transport</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GOSL, UNICEF</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6,000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Training</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30,000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20,000</w:t>
            </w:r>
          </w:p>
        </w:tc>
      </w:tr>
      <w:tr w:rsidR="008E309F" w:rsidRPr="00835639" w:rsidTr="00835639">
        <w:tc>
          <w:tcPr>
            <w:tcW w:w="4410" w:type="dxa"/>
            <w:shd w:val="clear" w:color="auto" w:fill="auto"/>
          </w:tcPr>
          <w:p w:rsidR="008E309F" w:rsidRPr="00835639" w:rsidRDefault="001D2DE5" w:rsidP="006B403D">
            <w:pPr>
              <w:ind w:right="120"/>
              <w:rPr>
                <w:rFonts w:ascii="Times New Roman" w:hAnsi="Times New Roman" w:cs="Times New Roman"/>
                <w:sz w:val="24"/>
                <w:szCs w:val="24"/>
              </w:rPr>
            </w:pPr>
            <w:r>
              <w:rPr>
                <w:rFonts w:ascii="Times New Roman" w:hAnsi="Times New Roman" w:cs="Times New Roman"/>
                <w:sz w:val="24"/>
                <w:szCs w:val="24"/>
              </w:rPr>
              <w:t>**</w:t>
            </w:r>
            <w:r w:rsidR="008E309F" w:rsidRPr="00835639">
              <w:rPr>
                <w:rFonts w:ascii="Times New Roman" w:hAnsi="Times New Roman" w:cs="Times New Roman"/>
                <w:sz w:val="24"/>
                <w:szCs w:val="24"/>
              </w:rPr>
              <w:t xml:space="preserve">Community sensitization and </w:t>
            </w:r>
            <w:r w:rsidR="008E309F" w:rsidRPr="00835639">
              <w:rPr>
                <w:rFonts w:ascii="Times New Roman" w:hAnsi="Times New Roman" w:cs="Times New Roman"/>
                <w:sz w:val="24"/>
                <w:szCs w:val="24"/>
              </w:rPr>
              <w:lastRenderedPageBreak/>
              <w:t>mobilization</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lastRenderedPageBreak/>
              <w:t>GAVI, UNICEF</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30,000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21,000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lastRenderedPageBreak/>
              <w:t>Waste disposal</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 UNICEF</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4,000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4,500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AEFI monitoring</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 WHO</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3,000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3,500</w:t>
            </w:r>
          </w:p>
        </w:tc>
      </w:tr>
      <w:tr w:rsidR="008E309F" w:rsidRPr="00835639" w:rsidTr="00EC3759">
        <w:trPr>
          <w:trHeight w:val="359"/>
        </w:trPr>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Monitoring and supportive supervision</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GOSL, 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6,000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w:t>
            </w:r>
          </w:p>
        </w:tc>
      </w:tr>
      <w:tr w:rsidR="008E309F" w:rsidRPr="00835639" w:rsidTr="00EC3759">
        <w:trPr>
          <w:trHeight w:val="377"/>
        </w:trPr>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Evaluation of vaccine delivery</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20,000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10,000</w:t>
            </w:r>
          </w:p>
        </w:tc>
      </w:tr>
      <w:tr w:rsidR="008E309F" w:rsidRPr="00835639" w:rsidTr="00EC3759">
        <w:trPr>
          <w:trHeight w:val="566"/>
        </w:trPr>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Assessment of feasibility of integrating ADH with HPV vaccines</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3,000</w:t>
            </w:r>
          </w:p>
        </w:tc>
      </w:tr>
      <w:tr w:rsidR="008E309F" w:rsidRPr="00835639" w:rsidTr="00EC3759">
        <w:trPr>
          <w:trHeight w:val="620"/>
        </w:trPr>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Drafting national cervical cancer prevention and control strategy</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10,000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w:t>
            </w:r>
          </w:p>
        </w:tc>
      </w:tr>
      <w:tr w:rsidR="008E309F" w:rsidRPr="00835639" w:rsidTr="00EC3759">
        <w:trPr>
          <w:trHeight w:val="323"/>
        </w:trPr>
        <w:tc>
          <w:tcPr>
            <w:tcW w:w="4410" w:type="dxa"/>
            <w:shd w:val="clear" w:color="auto" w:fill="auto"/>
          </w:tcPr>
          <w:p w:rsidR="008E309F" w:rsidRPr="00835639" w:rsidRDefault="008E309F" w:rsidP="006B403D">
            <w:pPr>
              <w:ind w:right="120"/>
              <w:rPr>
                <w:rFonts w:ascii="Times New Roman" w:hAnsi="Times New Roman" w:cs="Times New Roman"/>
                <w:sz w:val="24"/>
                <w:szCs w:val="24"/>
              </w:rPr>
            </w:pPr>
            <w:r w:rsidRPr="00835639">
              <w:rPr>
                <w:rFonts w:ascii="Times New Roman" w:hAnsi="Times New Roman" w:cs="Times New Roman"/>
                <w:sz w:val="24"/>
                <w:szCs w:val="24"/>
              </w:rPr>
              <w:t>Technical assistance from local experts</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r w:rsidRPr="00835639">
              <w:rPr>
                <w:rFonts w:ascii="Times New Roman" w:hAnsi="Times New Roman" w:cs="Times New Roman"/>
                <w:b/>
                <w:i/>
                <w:sz w:val="24"/>
                <w:szCs w:val="24"/>
              </w:rPr>
              <w:t>GAVI</w:t>
            </w: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25,000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15,000</w:t>
            </w:r>
          </w:p>
        </w:tc>
      </w:tr>
      <w:tr w:rsidR="008E309F" w:rsidRPr="00835639" w:rsidTr="00835639">
        <w:tc>
          <w:tcPr>
            <w:tcW w:w="4410" w:type="dxa"/>
            <w:shd w:val="clear" w:color="auto" w:fill="auto"/>
          </w:tcPr>
          <w:p w:rsidR="008E309F" w:rsidRPr="00835639" w:rsidRDefault="008E309F" w:rsidP="006B403D">
            <w:pPr>
              <w:ind w:right="120"/>
              <w:jc w:val="right"/>
              <w:rPr>
                <w:rFonts w:ascii="Times New Roman" w:hAnsi="Times New Roman" w:cs="Times New Roman"/>
                <w:b/>
                <w:i/>
                <w:sz w:val="24"/>
                <w:szCs w:val="24"/>
              </w:rPr>
            </w:pPr>
            <w:r w:rsidRPr="00835639">
              <w:rPr>
                <w:rFonts w:ascii="Times New Roman" w:hAnsi="Times New Roman" w:cs="Times New Roman"/>
                <w:b/>
                <w:i/>
                <w:sz w:val="24"/>
                <w:szCs w:val="24"/>
              </w:rPr>
              <w:t>Subtotal for which GAVI funds are being requested</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145,000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50,000</w:t>
            </w:r>
          </w:p>
        </w:tc>
      </w:tr>
      <w:tr w:rsidR="008E309F" w:rsidRPr="00835639" w:rsidTr="00835639">
        <w:tc>
          <w:tcPr>
            <w:tcW w:w="4410" w:type="dxa"/>
            <w:shd w:val="clear" w:color="auto" w:fill="auto"/>
          </w:tcPr>
          <w:p w:rsidR="008E309F" w:rsidRPr="00835639" w:rsidRDefault="008E309F" w:rsidP="006B403D">
            <w:pPr>
              <w:ind w:right="120"/>
              <w:jc w:val="right"/>
              <w:rPr>
                <w:rFonts w:ascii="Times New Roman" w:hAnsi="Times New Roman" w:cs="Times New Roman"/>
                <w:b/>
                <w:i/>
                <w:sz w:val="24"/>
                <w:szCs w:val="24"/>
              </w:rPr>
            </w:pPr>
            <w:r w:rsidRPr="00835639">
              <w:rPr>
                <w:rFonts w:ascii="Times New Roman" w:hAnsi="Times New Roman" w:cs="Times New Roman"/>
                <w:b/>
                <w:i/>
                <w:sz w:val="24"/>
                <w:szCs w:val="24"/>
              </w:rPr>
              <w:t>Subtotal from other funding sources</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p>
        </w:tc>
        <w:tc>
          <w:tcPr>
            <w:tcW w:w="1710"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33,000</w:t>
            </w:r>
          </w:p>
        </w:tc>
        <w:tc>
          <w:tcPr>
            <w:tcW w:w="1844" w:type="dxa"/>
            <w:shd w:val="clear" w:color="auto" w:fill="auto"/>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71,500</w:t>
            </w:r>
          </w:p>
        </w:tc>
      </w:tr>
      <w:tr w:rsidR="008E309F" w:rsidRPr="00835639" w:rsidTr="00835639">
        <w:tc>
          <w:tcPr>
            <w:tcW w:w="4410" w:type="dxa"/>
            <w:shd w:val="clear" w:color="auto" w:fill="auto"/>
          </w:tcPr>
          <w:p w:rsidR="008E309F" w:rsidRPr="00835639" w:rsidRDefault="008E309F" w:rsidP="006B403D">
            <w:pPr>
              <w:ind w:right="120"/>
              <w:rPr>
                <w:rFonts w:ascii="Times New Roman" w:hAnsi="Times New Roman" w:cs="Times New Roman"/>
                <w:b/>
                <w:sz w:val="24"/>
                <w:szCs w:val="24"/>
              </w:rPr>
            </w:pPr>
            <w:r w:rsidRPr="00835639">
              <w:rPr>
                <w:rFonts w:ascii="Times New Roman" w:hAnsi="Times New Roman" w:cs="Times New Roman"/>
                <w:b/>
                <w:sz w:val="24"/>
                <w:szCs w:val="24"/>
              </w:rPr>
              <w:t>TOTAL</w:t>
            </w:r>
          </w:p>
        </w:tc>
        <w:tc>
          <w:tcPr>
            <w:tcW w:w="2250" w:type="dxa"/>
            <w:shd w:val="clear" w:color="auto" w:fill="auto"/>
          </w:tcPr>
          <w:p w:rsidR="008E309F" w:rsidRPr="00835639" w:rsidRDefault="008E309F" w:rsidP="006B403D">
            <w:pPr>
              <w:rPr>
                <w:rFonts w:ascii="Times New Roman" w:hAnsi="Times New Roman" w:cs="Times New Roman"/>
                <w:b/>
                <w:i/>
                <w:sz w:val="24"/>
                <w:szCs w:val="24"/>
              </w:rPr>
            </w:pPr>
          </w:p>
        </w:tc>
        <w:tc>
          <w:tcPr>
            <w:tcW w:w="1710" w:type="dxa"/>
            <w:shd w:val="clear" w:color="auto" w:fill="auto"/>
            <w:vAlign w:val="bottom"/>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178,000</w:t>
            </w:r>
          </w:p>
        </w:tc>
        <w:tc>
          <w:tcPr>
            <w:tcW w:w="1844" w:type="dxa"/>
            <w:shd w:val="clear" w:color="auto" w:fill="auto"/>
            <w:vAlign w:val="bottom"/>
          </w:tcPr>
          <w:p w:rsidR="008E309F" w:rsidRPr="00835639" w:rsidRDefault="008E309F" w:rsidP="006B403D">
            <w:pPr>
              <w:jc w:val="center"/>
              <w:rPr>
                <w:rFonts w:ascii="Times New Roman" w:hAnsi="Times New Roman" w:cs="Times New Roman"/>
                <w:b/>
                <w:bCs/>
                <w:i/>
                <w:iCs/>
                <w:color w:val="000000"/>
                <w:sz w:val="24"/>
                <w:szCs w:val="24"/>
              </w:rPr>
            </w:pPr>
            <w:r w:rsidRPr="00835639">
              <w:rPr>
                <w:rFonts w:ascii="Times New Roman" w:hAnsi="Times New Roman" w:cs="Times New Roman"/>
                <w:b/>
                <w:bCs/>
                <w:i/>
                <w:iCs/>
                <w:color w:val="000000"/>
                <w:sz w:val="24"/>
                <w:szCs w:val="24"/>
              </w:rPr>
              <w:t>121,500</w:t>
            </w:r>
          </w:p>
        </w:tc>
      </w:tr>
    </w:tbl>
    <w:p w:rsidR="00217694" w:rsidRDefault="00217694" w:rsidP="00D8441D">
      <w:pPr>
        <w:jc w:val="both"/>
        <w:rPr>
          <w:rFonts w:ascii="Times New Roman" w:hAnsi="Times New Roman" w:cs="Times New Roman"/>
          <w:sz w:val="24"/>
          <w:szCs w:val="24"/>
        </w:rPr>
      </w:pPr>
    </w:p>
    <w:p w:rsidR="001D2DE5" w:rsidRDefault="001D2DE5" w:rsidP="00D8441D">
      <w:pPr>
        <w:jc w:val="both"/>
        <w:rPr>
          <w:rFonts w:ascii="Times New Roman" w:hAnsi="Times New Roman" w:cs="Times New Roman"/>
          <w:sz w:val="24"/>
          <w:szCs w:val="24"/>
        </w:rPr>
      </w:pPr>
      <w:r>
        <w:rPr>
          <w:rFonts w:ascii="Times New Roman" w:hAnsi="Times New Roman" w:cs="Times New Roman"/>
          <w:sz w:val="24"/>
          <w:szCs w:val="24"/>
        </w:rPr>
        <w:t>**The budget breakdown for community sensitization and social mobilization in the table</w:t>
      </w:r>
      <w:r w:rsidR="00AA3C22">
        <w:rPr>
          <w:rFonts w:ascii="Times New Roman" w:hAnsi="Times New Roman" w:cs="Times New Roman"/>
          <w:sz w:val="24"/>
          <w:szCs w:val="24"/>
        </w:rPr>
        <w:t xml:space="preserve"> above </w:t>
      </w:r>
      <w:r>
        <w:rPr>
          <w:rFonts w:ascii="Times New Roman" w:hAnsi="Times New Roman" w:cs="Times New Roman"/>
          <w:sz w:val="24"/>
          <w:szCs w:val="24"/>
        </w:rPr>
        <w:t>is as follows:</w:t>
      </w:r>
    </w:p>
    <w:tbl>
      <w:tblPr>
        <w:tblW w:w="8920" w:type="dxa"/>
        <w:tblInd w:w="98" w:type="dxa"/>
        <w:tblLayout w:type="fixed"/>
        <w:tblLook w:val="04A0"/>
      </w:tblPr>
      <w:tblGrid>
        <w:gridCol w:w="570"/>
        <w:gridCol w:w="6460"/>
        <w:gridCol w:w="1890"/>
      </w:tblGrid>
      <w:tr w:rsidR="00FA391E" w:rsidRPr="00FA391E" w:rsidTr="00FA391E">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b/>
                <w:bCs/>
                <w:color w:val="000000"/>
                <w:sz w:val="24"/>
                <w:szCs w:val="24"/>
              </w:rPr>
            </w:pPr>
            <w:r w:rsidRPr="00FA391E">
              <w:rPr>
                <w:rFonts w:ascii="Times New Roman" w:eastAsia="Times New Roman" w:hAnsi="Times New Roman" w:cs="Times New Roman"/>
                <w:b/>
                <w:bCs/>
                <w:color w:val="000000"/>
                <w:sz w:val="24"/>
                <w:szCs w:val="24"/>
              </w:rPr>
              <w:t xml:space="preserve">No. </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b/>
                <w:bCs/>
                <w:color w:val="000000"/>
                <w:sz w:val="24"/>
                <w:szCs w:val="24"/>
              </w:rPr>
            </w:pPr>
            <w:r w:rsidRPr="00FA391E">
              <w:rPr>
                <w:rFonts w:ascii="Times New Roman" w:eastAsia="Times New Roman" w:hAnsi="Times New Roman" w:cs="Times New Roman"/>
                <w:b/>
                <w:bCs/>
                <w:color w:val="000000"/>
                <w:sz w:val="24"/>
                <w:szCs w:val="24"/>
              </w:rPr>
              <w:t>Budget item</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b/>
                <w:bCs/>
                <w:color w:val="000000"/>
                <w:sz w:val="24"/>
                <w:szCs w:val="24"/>
              </w:rPr>
            </w:pPr>
            <w:r w:rsidRPr="00FA391E">
              <w:rPr>
                <w:rFonts w:ascii="Times New Roman" w:eastAsia="Times New Roman" w:hAnsi="Times New Roman" w:cs="Times New Roman"/>
                <w:b/>
                <w:bCs/>
                <w:color w:val="000000"/>
                <w:sz w:val="24"/>
                <w:szCs w:val="24"/>
              </w:rPr>
              <w:t>Amount in USD</w:t>
            </w:r>
          </w:p>
        </w:tc>
      </w:tr>
      <w:tr w:rsidR="00FA391E" w:rsidRPr="00FA391E" w:rsidTr="00FA391E">
        <w:trPr>
          <w:trHeight w:val="431"/>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1</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Meeting with stakeholders at national level</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1,000</w:t>
            </w:r>
          </w:p>
        </w:tc>
      </w:tr>
      <w:tr w:rsidR="00FA391E" w:rsidRPr="00FA391E" w:rsidTr="00FA391E">
        <w:trPr>
          <w:trHeight w:val="44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2</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Meeting with stakeholders at district level</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500</w:t>
            </w:r>
          </w:p>
        </w:tc>
      </w:tr>
      <w:tr w:rsidR="00FA391E" w:rsidRPr="00FA391E" w:rsidTr="00FA391E">
        <w:trPr>
          <w:trHeight w:val="35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3</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Develop, print and disseminate HPV demonstration messages</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10,500</w:t>
            </w:r>
          </w:p>
        </w:tc>
      </w:tr>
      <w:tr w:rsidR="00FA391E" w:rsidRPr="00FA391E" w:rsidTr="00FA391E">
        <w:trPr>
          <w:trHeight w:val="31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4</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Launching of HPV at district level</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3,500</w:t>
            </w:r>
          </w:p>
        </w:tc>
      </w:tr>
      <w:tr w:rsidR="00FA391E" w:rsidRPr="00FA391E" w:rsidTr="00FA391E">
        <w:trPr>
          <w:trHeight w:val="386"/>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5</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Sensitization meetings with stakeholders at community level</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4,000</w:t>
            </w:r>
          </w:p>
        </w:tc>
      </w:tr>
      <w:tr w:rsidR="00FA391E" w:rsidRPr="00FA391E" w:rsidTr="00FA391E">
        <w:trPr>
          <w:trHeight w:val="323"/>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6</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 xml:space="preserve">Use of print and electronic media </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3,000</w:t>
            </w:r>
          </w:p>
        </w:tc>
      </w:tr>
      <w:tr w:rsidR="00FA391E" w:rsidRPr="00FA391E" w:rsidTr="00FA391E">
        <w:trPr>
          <w:trHeight w:val="67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7</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Social mobilization activities using folk media, drama and other available community structures</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1,500</w:t>
            </w:r>
          </w:p>
        </w:tc>
      </w:tr>
      <w:tr w:rsidR="00FA391E" w:rsidRPr="00FA391E" w:rsidTr="00FA391E">
        <w:trPr>
          <w:trHeight w:val="690"/>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8</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Dissemination of messages by town criers, educators in school, community health workers etc.</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6,000</w:t>
            </w:r>
          </w:p>
        </w:tc>
      </w:tr>
      <w:tr w:rsidR="00FA391E" w:rsidRPr="00FA391E" w:rsidTr="00FA391E">
        <w:trPr>
          <w:trHeight w:val="404"/>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color w:val="000000"/>
                <w:sz w:val="24"/>
                <w:szCs w:val="24"/>
              </w:rPr>
            </w:pPr>
            <w:r w:rsidRPr="00FA391E">
              <w:rPr>
                <w:rFonts w:ascii="Times New Roman" w:eastAsia="Times New Roman" w:hAnsi="Times New Roman" w:cs="Times New Roman"/>
                <w:color w:val="000000"/>
                <w:sz w:val="24"/>
                <w:szCs w:val="24"/>
              </w:rPr>
              <w:t> </w:t>
            </w:r>
          </w:p>
        </w:tc>
        <w:tc>
          <w:tcPr>
            <w:tcW w:w="646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FA391E">
            <w:pPr>
              <w:spacing w:after="0" w:line="240" w:lineRule="auto"/>
              <w:jc w:val="both"/>
              <w:rPr>
                <w:rFonts w:ascii="Times New Roman" w:eastAsia="Times New Roman" w:hAnsi="Times New Roman" w:cs="Times New Roman"/>
                <w:b/>
                <w:bCs/>
                <w:color w:val="000000"/>
                <w:sz w:val="24"/>
                <w:szCs w:val="24"/>
              </w:rPr>
            </w:pPr>
            <w:r w:rsidRPr="00FA391E">
              <w:rPr>
                <w:rFonts w:ascii="Times New Roman" w:eastAsia="Times New Roman" w:hAnsi="Times New Roman" w:cs="Times New Roman"/>
                <w:b/>
                <w:bCs/>
                <w:color w:val="000000"/>
                <w:sz w:val="24"/>
                <w:szCs w:val="24"/>
              </w:rPr>
              <w:t>Total</w:t>
            </w:r>
          </w:p>
        </w:tc>
        <w:tc>
          <w:tcPr>
            <w:tcW w:w="1890" w:type="dxa"/>
            <w:tcBorders>
              <w:top w:val="nil"/>
              <w:left w:val="nil"/>
              <w:bottom w:val="single" w:sz="4" w:space="0" w:color="auto"/>
              <w:right w:val="single" w:sz="4" w:space="0" w:color="auto"/>
            </w:tcBorders>
            <w:shd w:val="clear" w:color="auto" w:fill="auto"/>
            <w:vAlign w:val="center"/>
            <w:hideMark/>
          </w:tcPr>
          <w:p w:rsidR="00FA391E" w:rsidRPr="00FA391E" w:rsidRDefault="00FA391E" w:rsidP="005437A7">
            <w:pPr>
              <w:spacing w:after="0" w:line="240" w:lineRule="auto"/>
              <w:jc w:val="right"/>
              <w:rPr>
                <w:rFonts w:ascii="Times New Roman" w:eastAsia="Times New Roman" w:hAnsi="Times New Roman" w:cs="Times New Roman"/>
                <w:b/>
                <w:bCs/>
                <w:color w:val="000000"/>
                <w:sz w:val="24"/>
                <w:szCs w:val="24"/>
              </w:rPr>
            </w:pPr>
            <w:r w:rsidRPr="00FA391E">
              <w:rPr>
                <w:rFonts w:ascii="Times New Roman" w:eastAsia="Times New Roman" w:hAnsi="Times New Roman" w:cs="Times New Roman"/>
                <w:b/>
                <w:bCs/>
                <w:color w:val="000000"/>
                <w:sz w:val="24"/>
                <w:szCs w:val="24"/>
              </w:rPr>
              <w:t>30,000</w:t>
            </w:r>
          </w:p>
        </w:tc>
      </w:tr>
    </w:tbl>
    <w:p w:rsidR="00FA391E" w:rsidRDefault="00FA391E" w:rsidP="00D8441D">
      <w:pPr>
        <w:jc w:val="both"/>
        <w:rPr>
          <w:rFonts w:ascii="Times New Roman" w:hAnsi="Times New Roman" w:cs="Times New Roman"/>
          <w:sz w:val="24"/>
          <w:szCs w:val="24"/>
        </w:rPr>
      </w:pPr>
    </w:p>
    <w:p w:rsidR="00217694" w:rsidRPr="00217694" w:rsidRDefault="00217694" w:rsidP="00217694">
      <w:pPr>
        <w:pStyle w:val="ListParagraph"/>
        <w:numPr>
          <w:ilvl w:val="0"/>
          <w:numId w:val="1"/>
        </w:numPr>
        <w:jc w:val="both"/>
        <w:rPr>
          <w:rFonts w:ascii="Times New Roman" w:hAnsi="Times New Roman" w:cs="Times New Roman"/>
          <w:sz w:val="24"/>
          <w:szCs w:val="24"/>
        </w:rPr>
      </w:pPr>
      <w:r w:rsidRPr="00F1034F">
        <w:rPr>
          <w:rFonts w:ascii="Times New Roman" w:hAnsi="Times New Roman" w:cs="Times New Roman"/>
          <w:sz w:val="24"/>
          <w:szCs w:val="24"/>
        </w:rPr>
        <w:lastRenderedPageBreak/>
        <w:t>The country already has structures in place to provide TT immunization services to women o</w:t>
      </w:r>
      <w:r w:rsidR="00B61EC0" w:rsidRPr="00F1034F">
        <w:rPr>
          <w:rFonts w:ascii="Times New Roman" w:hAnsi="Times New Roman" w:cs="Times New Roman"/>
          <w:sz w:val="24"/>
          <w:szCs w:val="24"/>
        </w:rPr>
        <w:t>f</w:t>
      </w:r>
      <w:r w:rsidRPr="00F1034F">
        <w:rPr>
          <w:rFonts w:ascii="Times New Roman" w:hAnsi="Times New Roman" w:cs="Times New Roman"/>
          <w:sz w:val="24"/>
          <w:szCs w:val="24"/>
        </w:rPr>
        <w:t xml:space="preserve"> child bearing age </w:t>
      </w:r>
      <w:r w:rsidR="00AF7836" w:rsidRPr="00F1034F">
        <w:rPr>
          <w:rFonts w:ascii="Times New Roman" w:hAnsi="Times New Roman" w:cs="Times New Roman"/>
          <w:sz w:val="24"/>
          <w:szCs w:val="24"/>
        </w:rPr>
        <w:t>whether</w:t>
      </w:r>
      <w:r w:rsidRPr="00F1034F">
        <w:rPr>
          <w:rFonts w:ascii="Times New Roman" w:hAnsi="Times New Roman" w:cs="Times New Roman"/>
          <w:sz w:val="24"/>
          <w:szCs w:val="24"/>
        </w:rPr>
        <w:t xml:space="preserve"> in school or out of school. As stated earlier, immunization services are provided using either static or outreach strategy. </w:t>
      </w:r>
      <w:proofErr w:type="gramStart"/>
      <w:r w:rsidR="006C7E6D" w:rsidRPr="00F1034F">
        <w:rPr>
          <w:rFonts w:ascii="Times New Roman" w:hAnsi="Times New Roman" w:cs="Times New Roman"/>
          <w:sz w:val="24"/>
          <w:szCs w:val="24"/>
        </w:rPr>
        <w:t>Outreach immunization services caters</w:t>
      </w:r>
      <w:proofErr w:type="gramEnd"/>
      <w:r w:rsidR="006C7E6D" w:rsidRPr="00F1034F">
        <w:rPr>
          <w:rFonts w:ascii="Times New Roman" w:hAnsi="Times New Roman" w:cs="Times New Roman"/>
          <w:sz w:val="24"/>
          <w:szCs w:val="24"/>
        </w:rPr>
        <w:t xml:space="preserve"> for those targets that do not get </w:t>
      </w:r>
      <w:r w:rsidR="00EC3759" w:rsidRPr="00F1034F">
        <w:rPr>
          <w:rFonts w:ascii="Times New Roman" w:hAnsi="Times New Roman" w:cs="Times New Roman"/>
          <w:sz w:val="24"/>
          <w:szCs w:val="24"/>
        </w:rPr>
        <w:t>immunization</w:t>
      </w:r>
      <w:r w:rsidR="006C7E6D" w:rsidRPr="00F1034F">
        <w:rPr>
          <w:rFonts w:ascii="Times New Roman" w:hAnsi="Times New Roman" w:cs="Times New Roman"/>
          <w:sz w:val="24"/>
          <w:szCs w:val="24"/>
        </w:rPr>
        <w:t xml:space="preserve"> at the health facility. Similarly, the targets for HPV demonstration that are outside schools will be reached using the outreach strategy at community level. The schools for the purpose of the HPV demonstration will be considered as “</w:t>
      </w:r>
      <w:r w:rsidR="003D64D9" w:rsidRPr="00AA3C22">
        <w:rPr>
          <w:rFonts w:ascii="Times New Roman" w:hAnsi="Times New Roman" w:cs="Times New Roman"/>
          <w:b/>
          <w:i/>
          <w:sz w:val="24"/>
          <w:szCs w:val="24"/>
        </w:rPr>
        <w:t>fixed-outreach</w:t>
      </w:r>
      <w:r w:rsidR="006C7E6D" w:rsidRPr="00F1034F">
        <w:rPr>
          <w:rFonts w:ascii="Times New Roman" w:hAnsi="Times New Roman" w:cs="Times New Roman"/>
          <w:sz w:val="24"/>
          <w:szCs w:val="24"/>
        </w:rPr>
        <w:t xml:space="preserve">” vaccination points. </w:t>
      </w:r>
      <w:r w:rsidR="00B61EC0" w:rsidRPr="00F1034F">
        <w:rPr>
          <w:rFonts w:ascii="Times New Roman" w:hAnsi="Times New Roman" w:cs="Times New Roman"/>
          <w:sz w:val="24"/>
          <w:szCs w:val="24"/>
        </w:rPr>
        <w:t>The target population outside schools will be reached</w:t>
      </w:r>
      <w:r w:rsidR="00EC2F52" w:rsidRPr="00F1034F">
        <w:rPr>
          <w:rFonts w:ascii="Times New Roman" w:hAnsi="Times New Roman" w:cs="Times New Roman"/>
          <w:sz w:val="24"/>
          <w:szCs w:val="24"/>
        </w:rPr>
        <w:t xml:space="preserve"> at established vaccination points </w:t>
      </w:r>
      <w:r w:rsidR="008D6C92" w:rsidRPr="00F1034F">
        <w:rPr>
          <w:rFonts w:ascii="Times New Roman" w:hAnsi="Times New Roman" w:cs="Times New Roman"/>
          <w:sz w:val="24"/>
          <w:szCs w:val="24"/>
        </w:rPr>
        <w:t xml:space="preserve">within respective communities </w:t>
      </w:r>
      <w:r w:rsidR="00B61EC0" w:rsidRPr="00F1034F">
        <w:rPr>
          <w:rFonts w:ascii="Times New Roman" w:hAnsi="Times New Roman" w:cs="Times New Roman"/>
          <w:sz w:val="24"/>
          <w:szCs w:val="24"/>
        </w:rPr>
        <w:t>in</w:t>
      </w:r>
      <w:r w:rsidR="008D6C92" w:rsidRPr="00F1034F">
        <w:rPr>
          <w:rFonts w:ascii="Times New Roman" w:hAnsi="Times New Roman" w:cs="Times New Roman"/>
          <w:sz w:val="24"/>
          <w:szCs w:val="24"/>
        </w:rPr>
        <w:t xml:space="preserve"> addition</w:t>
      </w:r>
      <w:r w:rsidR="00EC2F52" w:rsidRPr="00F1034F">
        <w:rPr>
          <w:rFonts w:ascii="Times New Roman" w:hAnsi="Times New Roman" w:cs="Times New Roman"/>
          <w:sz w:val="24"/>
          <w:szCs w:val="24"/>
        </w:rPr>
        <w:t xml:space="preserve"> </w:t>
      </w:r>
      <w:r w:rsidR="008D6C92" w:rsidRPr="00F1034F">
        <w:rPr>
          <w:rFonts w:ascii="Times New Roman" w:hAnsi="Times New Roman" w:cs="Times New Roman"/>
          <w:sz w:val="24"/>
          <w:szCs w:val="24"/>
        </w:rPr>
        <w:t>to</w:t>
      </w:r>
      <w:r w:rsidR="00B61EC0" w:rsidRPr="00F1034F">
        <w:rPr>
          <w:rFonts w:ascii="Times New Roman" w:hAnsi="Times New Roman" w:cs="Times New Roman"/>
          <w:sz w:val="24"/>
          <w:szCs w:val="24"/>
        </w:rPr>
        <w:t xml:space="preserve"> places of congregation such as markets, lorry parks, farms, places of worship, social functions and will be followed through until they receive their third dose of HPV vaccination. </w:t>
      </w:r>
      <w:r w:rsidR="00F1034F" w:rsidRPr="00F1034F">
        <w:rPr>
          <w:rFonts w:ascii="Times New Roman" w:hAnsi="Times New Roman" w:cs="Times New Roman"/>
          <w:sz w:val="24"/>
          <w:szCs w:val="24"/>
        </w:rPr>
        <w:t xml:space="preserve">For this purpose, community health workers will be trained and supervised accordingly. </w:t>
      </w:r>
      <w:r w:rsidR="00F1034F">
        <w:rPr>
          <w:rFonts w:ascii="Times New Roman" w:hAnsi="Times New Roman" w:cs="Times New Roman"/>
          <w:sz w:val="24"/>
          <w:szCs w:val="24"/>
        </w:rPr>
        <w:t xml:space="preserve">There will be continuous advocacy with community leaders and intensified social mobilization activities to create enduring awareness about </w:t>
      </w:r>
      <w:proofErr w:type="gramStart"/>
      <w:r w:rsidR="00F1034F">
        <w:rPr>
          <w:rFonts w:ascii="Times New Roman" w:hAnsi="Times New Roman" w:cs="Times New Roman"/>
          <w:sz w:val="24"/>
          <w:szCs w:val="24"/>
        </w:rPr>
        <w:t>the  benefits</w:t>
      </w:r>
      <w:proofErr w:type="gramEnd"/>
      <w:r w:rsidR="00F1034F">
        <w:rPr>
          <w:rFonts w:ascii="Times New Roman" w:hAnsi="Times New Roman" w:cs="Times New Roman"/>
          <w:sz w:val="24"/>
          <w:szCs w:val="24"/>
        </w:rPr>
        <w:t xml:space="preserve"> of HPV vaccination.</w:t>
      </w:r>
    </w:p>
    <w:sectPr w:rsidR="00217694" w:rsidRPr="00217694" w:rsidSect="00431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833"/>
    <w:multiLevelType w:val="hybridMultilevel"/>
    <w:tmpl w:val="51AC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E04C9"/>
    <w:multiLevelType w:val="hybridMultilevel"/>
    <w:tmpl w:val="7476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B2117"/>
    <w:multiLevelType w:val="hybridMultilevel"/>
    <w:tmpl w:val="47DAF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EB0322"/>
    <w:multiLevelType w:val="hybridMultilevel"/>
    <w:tmpl w:val="D73CD688"/>
    <w:lvl w:ilvl="0" w:tplc="05D2AB6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useFELayout/>
  </w:compat>
  <w:rsids>
    <w:rsidRoot w:val="0001024D"/>
    <w:rsid w:val="0001024D"/>
    <w:rsid w:val="000543AA"/>
    <w:rsid w:val="0007323D"/>
    <w:rsid w:val="000A598A"/>
    <w:rsid w:val="000A7D9A"/>
    <w:rsid w:val="0010579C"/>
    <w:rsid w:val="00144F0D"/>
    <w:rsid w:val="001B3C88"/>
    <w:rsid w:val="001D2DE5"/>
    <w:rsid w:val="001D65C7"/>
    <w:rsid w:val="001E5538"/>
    <w:rsid w:val="00213853"/>
    <w:rsid w:val="00217694"/>
    <w:rsid w:val="00221B02"/>
    <w:rsid w:val="00245A1E"/>
    <w:rsid w:val="00246E86"/>
    <w:rsid w:val="00250807"/>
    <w:rsid w:val="00280201"/>
    <w:rsid w:val="003052E3"/>
    <w:rsid w:val="003136FD"/>
    <w:rsid w:val="0031518F"/>
    <w:rsid w:val="00362696"/>
    <w:rsid w:val="00366BB7"/>
    <w:rsid w:val="003808D6"/>
    <w:rsid w:val="003B629A"/>
    <w:rsid w:val="003D2696"/>
    <w:rsid w:val="003D64D9"/>
    <w:rsid w:val="0040228A"/>
    <w:rsid w:val="004313AD"/>
    <w:rsid w:val="0043200F"/>
    <w:rsid w:val="00454792"/>
    <w:rsid w:val="00466917"/>
    <w:rsid w:val="00476414"/>
    <w:rsid w:val="004919DC"/>
    <w:rsid w:val="004A7668"/>
    <w:rsid w:val="004B5BC4"/>
    <w:rsid w:val="004C40D6"/>
    <w:rsid w:val="0051769B"/>
    <w:rsid w:val="0053039A"/>
    <w:rsid w:val="005437A7"/>
    <w:rsid w:val="00587D56"/>
    <w:rsid w:val="005D65F2"/>
    <w:rsid w:val="005E55AF"/>
    <w:rsid w:val="006173EA"/>
    <w:rsid w:val="00641A73"/>
    <w:rsid w:val="0065403A"/>
    <w:rsid w:val="0065737E"/>
    <w:rsid w:val="0067220F"/>
    <w:rsid w:val="006A7F6A"/>
    <w:rsid w:val="006B3233"/>
    <w:rsid w:val="006C0345"/>
    <w:rsid w:val="006C1754"/>
    <w:rsid w:val="006C7E6D"/>
    <w:rsid w:val="007062CC"/>
    <w:rsid w:val="007142BC"/>
    <w:rsid w:val="0078258F"/>
    <w:rsid w:val="00793DEE"/>
    <w:rsid w:val="007C11A6"/>
    <w:rsid w:val="007C1F94"/>
    <w:rsid w:val="00823C49"/>
    <w:rsid w:val="0082799E"/>
    <w:rsid w:val="00835639"/>
    <w:rsid w:val="00860004"/>
    <w:rsid w:val="008979A0"/>
    <w:rsid w:val="008D6C92"/>
    <w:rsid w:val="008E309F"/>
    <w:rsid w:val="00903FB8"/>
    <w:rsid w:val="00904AA2"/>
    <w:rsid w:val="0098399E"/>
    <w:rsid w:val="009C5AE3"/>
    <w:rsid w:val="00A514F8"/>
    <w:rsid w:val="00A56405"/>
    <w:rsid w:val="00A720A4"/>
    <w:rsid w:val="00AA3C22"/>
    <w:rsid w:val="00AF7836"/>
    <w:rsid w:val="00B42C25"/>
    <w:rsid w:val="00B61EC0"/>
    <w:rsid w:val="00B75163"/>
    <w:rsid w:val="00BA0783"/>
    <w:rsid w:val="00BB4384"/>
    <w:rsid w:val="00BE000E"/>
    <w:rsid w:val="00BE304D"/>
    <w:rsid w:val="00C1731B"/>
    <w:rsid w:val="00CD151A"/>
    <w:rsid w:val="00D41676"/>
    <w:rsid w:val="00D44341"/>
    <w:rsid w:val="00D77E28"/>
    <w:rsid w:val="00D8441D"/>
    <w:rsid w:val="00DB02BB"/>
    <w:rsid w:val="00E11C1C"/>
    <w:rsid w:val="00E2343E"/>
    <w:rsid w:val="00E430AC"/>
    <w:rsid w:val="00E61441"/>
    <w:rsid w:val="00EC2F52"/>
    <w:rsid w:val="00EC3759"/>
    <w:rsid w:val="00EE3C17"/>
    <w:rsid w:val="00F1034F"/>
    <w:rsid w:val="00F73B1F"/>
    <w:rsid w:val="00FA391E"/>
    <w:rsid w:val="00FB5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24D"/>
    <w:pPr>
      <w:ind w:left="720"/>
      <w:contextualSpacing/>
    </w:pPr>
  </w:style>
  <w:style w:type="paragraph" w:customStyle="1" w:styleId="Style1">
    <w:name w:val="Style1"/>
    <w:basedOn w:val="ListParagraph"/>
    <w:qFormat/>
    <w:rsid w:val="0082799E"/>
    <w:pPr>
      <w:numPr>
        <w:numId w:val="2"/>
      </w:numPr>
      <w:spacing w:after="120"/>
      <w:jc w:val="both"/>
    </w:pPr>
    <w:rPr>
      <w:rFonts w:ascii="Calibri" w:eastAsia="SimSun" w:hAnsi="Calibri" w:cs="Times New Roman"/>
      <w:b/>
      <w:i/>
      <w:sz w:val="28"/>
    </w:rPr>
  </w:style>
  <w:style w:type="table" w:styleId="TableGrid">
    <w:name w:val="Table Grid"/>
    <w:basedOn w:val="TableNormal"/>
    <w:uiPriority w:val="59"/>
    <w:rsid w:val="00782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F8"/>
    <w:rPr>
      <w:rFonts w:ascii="Tahoma" w:hAnsi="Tahoma" w:cs="Tahoma"/>
      <w:sz w:val="16"/>
      <w:szCs w:val="16"/>
      <w:lang w:val="en-GB"/>
    </w:rPr>
  </w:style>
  <w:style w:type="character" w:styleId="CommentReference">
    <w:name w:val="annotation reference"/>
    <w:basedOn w:val="DefaultParagraphFont"/>
    <w:uiPriority w:val="99"/>
    <w:semiHidden/>
    <w:unhideWhenUsed/>
    <w:rsid w:val="00BA0783"/>
    <w:rPr>
      <w:sz w:val="16"/>
      <w:szCs w:val="16"/>
    </w:rPr>
  </w:style>
  <w:style w:type="paragraph" w:styleId="CommentText">
    <w:name w:val="annotation text"/>
    <w:basedOn w:val="Normal"/>
    <w:link w:val="CommentTextChar"/>
    <w:uiPriority w:val="99"/>
    <w:semiHidden/>
    <w:unhideWhenUsed/>
    <w:rsid w:val="00BA0783"/>
    <w:pPr>
      <w:spacing w:line="240" w:lineRule="auto"/>
    </w:pPr>
    <w:rPr>
      <w:sz w:val="20"/>
      <w:szCs w:val="20"/>
    </w:rPr>
  </w:style>
  <w:style w:type="character" w:customStyle="1" w:styleId="CommentTextChar">
    <w:name w:val="Comment Text Char"/>
    <w:basedOn w:val="DefaultParagraphFont"/>
    <w:link w:val="CommentText"/>
    <w:uiPriority w:val="99"/>
    <w:semiHidden/>
    <w:rsid w:val="00BA0783"/>
    <w:rPr>
      <w:sz w:val="20"/>
      <w:szCs w:val="20"/>
      <w:lang w:val="en-GB"/>
    </w:rPr>
  </w:style>
  <w:style w:type="paragraph" w:styleId="CommentSubject">
    <w:name w:val="annotation subject"/>
    <w:basedOn w:val="CommentText"/>
    <w:next w:val="CommentText"/>
    <w:link w:val="CommentSubjectChar"/>
    <w:uiPriority w:val="99"/>
    <w:semiHidden/>
    <w:unhideWhenUsed/>
    <w:rsid w:val="00BA0783"/>
    <w:rPr>
      <w:b/>
      <w:bCs/>
    </w:rPr>
  </w:style>
  <w:style w:type="character" w:customStyle="1" w:styleId="CommentSubjectChar">
    <w:name w:val="Comment Subject Char"/>
    <w:basedOn w:val="CommentTextChar"/>
    <w:link w:val="CommentSubject"/>
    <w:uiPriority w:val="99"/>
    <w:semiHidden/>
    <w:rsid w:val="00BA0783"/>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24D"/>
    <w:pPr>
      <w:ind w:left="720"/>
      <w:contextualSpacing/>
    </w:pPr>
  </w:style>
  <w:style w:type="paragraph" w:customStyle="1" w:styleId="Style1">
    <w:name w:val="Style1"/>
    <w:basedOn w:val="ListParagraph"/>
    <w:qFormat/>
    <w:rsid w:val="0082799E"/>
    <w:pPr>
      <w:numPr>
        <w:numId w:val="2"/>
      </w:numPr>
      <w:spacing w:after="120"/>
      <w:jc w:val="both"/>
    </w:pPr>
    <w:rPr>
      <w:rFonts w:ascii="Calibri" w:eastAsia="SimSun" w:hAnsi="Calibri" w:cs="Times New Roman"/>
      <w:b/>
      <w:i/>
      <w:sz w:val="28"/>
    </w:rPr>
  </w:style>
  <w:style w:type="table" w:styleId="TableGrid">
    <w:name w:val="Table Grid"/>
    <w:basedOn w:val="TableNormal"/>
    <w:uiPriority w:val="59"/>
    <w:rsid w:val="00782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F8"/>
    <w:rPr>
      <w:rFonts w:ascii="Tahoma" w:hAnsi="Tahoma" w:cs="Tahoma"/>
      <w:sz w:val="16"/>
      <w:szCs w:val="16"/>
      <w:lang w:val="en-GB"/>
    </w:rPr>
  </w:style>
  <w:style w:type="character" w:styleId="CommentReference">
    <w:name w:val="annotation reference"/>
    <w:basedOn w:val="DefaultParagraphFont"/>
    <w:uiPriority w:val="99"/>
    <w:semiHidden/>
    <w:unhideWhenUsed/>
    <w:rsid w:val="00BA0783"/>
    <w:rPr>
      <w:sz w:val="16"/>
      <w:szCs w:val="16"/>
    </w:rPr>
  </w:style>
  <w:style w:type="paragraph" w:styleId="CommentText">
    <w:name w:val="annotation text"/>
    <w:basedOn w:val="Normal"/>
    <w:link w:val="CommentTextChar"/>
    <w:uiPriority w:val="99"/>
    <w:semiHidden/>
    <w:unhideWhenUsed/>
    <w:rsid w:val="00BA0783"/>
    <w:pPr>
      <w:spacing w:line="240" w:lineRule="auto"/>
    </w:pPr>
    <w:rPr>
      <w:sz w:val="20"/>
      <w:szCs w:val="20"/>
    </w:rPr>
  </w:style>
  <w:style w:type="character" w:customStyle="1" w:styleId="CommentTextChar">
    <w:name w:val="Comment Text Char"/>
    <w:basedOn w:val="DefaultParagraphFont"/>
    <w:link w:val="CommentText"/>
    <w:uiPriority w:val="99"/>
    <w:semiHidden/>
    <w:rsid w:val="00BA0783"/>
    <w:rPr>
      <w:sz w:val="20"/>
      <w:szCs w:val="20"/>
      <w:lang w:val="en-GB"/>
    </w:rPr>
  </w:style>
  <w:style w:type="paragraph" w:styleId="CommentSubject">
    <w:name w:val="annotation subject"/>
    <w:basedOn w:val="CommentText"/>
    <w:next w:val="CommentText"/>
    <w:link w:val="CommentSubjectChar"/>
    <w:uiPriority w:val="99"/>
    <w:semiHidden/>
    <w:unhideWhenUsed/>
    <w:rsid w:val="00BA0783"/>
    <w:rPr>
      <w:b/>
      <w:bCs/>
    </w:rPr>
  </w:style>
  <w:style w:type="character" w:customStyle="1" w:styleId="CommentSubjectChar">
    <w:name w:val="Comment Subject Char"/>
    <w:basedOn w:val="CommentTextChar"/>
    <w:link w:val="CommentSubject"/>
    <w:uiPriority w:val="99"/>
    <w:semiHidden/>
    <w:rsid w:val="00BA0783"/>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906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T. T. Samba</cp:lastModifiedBy>
  <cp:revision>35</cp:revision>
  <cp:lastPrinted>2012-12-12T14:11:00Z</cp:lastPrinted>
  <dcterms:created xsi:type="dcterms:W3CDTF">2012-12-18T19:13:00Z</dcterms:created>
  <dcterms:modified xsi:type="dcterms:W3CDTF">2012-12-19T12:07:00Z</dcterms:modified>
</cp:coreProperties>
</file>