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E2" w:rsidRPr="003B46C9" w:rsidRDefault="006F19E2" w:rsidP="00967711">
      <w:pPr>
        <w:pStyle w:val="NormalWeb"/>
        <w:numPr>
          <w:ilvl w:val="0"/>
          <w:numId w:val="1"/>
        </w:numPr>
        <w:jc w:val="both"/>
        <w:rPr>
          <w:rFonts w:ascii="Arial" w:hAnsi="Arial" w:cs="Arial"/>
          <w:b/>
          <w:sz w:val="22"/>
          <w:szCs w:val="22"/>
          <w:lang w:val="en-GB"/>
        </w:rPr>
      </w:pPr>
      <w:bookmarkStart w:id="0" w:name="_GoBack"/>
      <w:bookmarkEnd w:id="0"/>
      <w:r w:rsidRPr="00967711">
        <w:rPr>
          <w:rFonts w:ascii="Arial" w:hAnsi="Arial" w:cs="Arial"/>
          <w:b/>
          <w:sz w:val="22"/>
          <w:szCs w:val="22"/>
          <w:lang w:val="en-GB"/>
        </w:rPr>
        <w:t>Please revise the budget to clarify the annual costs, GAVI requested funds, funds from other sources, costs of local training and a coverage survey. Furthermore, please clarify whether costs for the assessment of the feasibility of integrating adolescent health interventions with HPV vaccination are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2070"/>
        <w:gridCol w:w="1800"/>
        <w:gridCol w:w="1844"/>
      </w:tblGrid>
      <w:tr w:rsidR="006F19E2" w:rsidRPr="007E630E" w:rsidTr="008B2E9D">
        <w:tc>
          <w:tcPr>
            <w:tcW w:w="3408" w:type="dxa"/>
            <w:vMerge w:val="restart"/>
            <w:vAlign w:val="center"/>
          </w:tcPr>
          <w:p w:rsidR="006F19E2" w:rsidRPr="007E630E" w:rsidRDefault="006F19E2" w:rsidP="008B2E9D">
            <w:pPr>
              <w:ind w:right="120"/>
              <w:rPr>
                <w:rFonts w:ascii="Arial" w:hAnsi="Arial" w:cs="Arial"/>
                <w:b/>
                <w:sz w:val="18"/>
                <w:szCs w:val="18"/>
              </w:rPr>
            </w:pPr>
            <w:r w:rsidRPr="007E630E">
              <w:rPr>
                <w:rFonts w:ascii="Arial" w:hAnsi="Arial" w:cs="Arial"/>
                <w:b/>
                <w:sz w:val="18"/>
                <w:szCs w:val="18"/>
              </w:rPr>
              <w:t>Cost category</w:t>
            </w:r>
          </w:p>
        </w:tc>
        <w:tc>
          <w:tcPr>
            <w:tcW w:w="2070" w:type="dxa"/>
            <w:vMerge w:val="restart"/>
            <w:vAlign w:val="center"/>
          </w:tcPr>
          <w:p w:rsidR="006F19E2" w:rsidRPr="007E630E" w:rsidRDefault="006F19E2" w:rsidP="008B2E9D">
            <w:pPr>
              <w:ind w:right="120"/>
              <w:rPr>
                <w:rFonts w:ascii="Arial" w:hAnsi="Arial" w:cs="Arial"/>
                <w:b/>
                <w:sz w:val="18"/>
                <w:szCs w:val="18"/>
              </w:rPr>
            </w:pPr>
            <w:r w:rsidRPr="007E630E">
              <w:rPr>
                <w:rFonts w:ascii="Arial" w:hAnsi="Arial" w:cs="Arial"/>
                <w:b/>
                <w:sz w:val="18"/>
                <w:szCs w:val="18"/>
              </w:rPr>
              <w:t>Funding source</w:t>
            </w:r>
          </w:p>
        </w:tc>
        <w:tc>
          <w:tcPr>
            <w:tcW w:w="3644" w:type="dxa"/>
            <w:gridSpan w:val="2"/>
            <w:tcBorders>
              <w:bottom w:val="nil"/>
            </w:tcBorders>
          </w:tcPr>
          <w:p w:rsidR="006F19E2" w:rsidRPr="007E630E" w:rsidRDefault="006F19E2" w:rsidP="008B2E9D">
            <w:pPr>
              <w:ind w:right="120"/>
              <w:jc w:val="center"/>
              <w:rPr>
                <w:rFonts w:ascii="Arial" w:hAnsi="Arial" w:cs="Arial"/>
                <w:b/>
                <w:sz w:val="18"/>
                <w:szCs w:val="18"/>
              </w:rPr>
            </w:pPr>
            <w:r w:rsidRPr="007E630E">
              <w:rPr>
                <w:rFonts w:ascii="Arial" w:hAnsi="Arial" w:cs="Arial"/>
                <w:b/>
                <w:sz w:val="18"/>
                <w:szCs w:val="18"/>
              </w:rPr>
              <w:t>Estimated costs per annum in US$</w:t>
            </w:r>
          </w:p>
        </w:tc>
      </w:tr>
      <w:tr w:rsidR="006F19E2" w:rsidRPr="007E630E" w:rsidTr="008B2E9D">
        <w:tc>
          <w:tcPr>
            <w:tcW w:w="3408" w:type="dxa"/>
            <w:vMerge/>
          </w:tcPr>
          <w:p w:rsidR="006F19E2" w:rsidRPr="007E630E" w:rsidRDefault="006F19E2" w:rsidP="008B2E9D">
            <w:pPr>
              <w:ind w:right="120"/>
              <w:jc w:val="both"/>
              <w:rPr>
                <w:rFonts w:ascii="Arial" w:hAnsi="Arial" w:cs="Arial"/>
                <w:sz w:val="18"/>
                <w:szCs w:val="18"/>
              </w:rPr>
            </w:pPr>
          </w:p>
        </w:tc>
        <w:tc>
          <w:tcPr>
            <w:tcW w:w="2070" w:type="dxa"/>
            <w:vMerge/>
          </w:tcPr>
          <w:p w:rsidR="006F19E2" w:rsidRPr="007E630E" w:rsidRDefault="006F19E2" w:rsidP="008B2E9D">
            <w:pPr>
              <w:ind w:right="120"/>
              <w:jc w:val="both"/>
              <w:rPr>
                <w:rFonts w:ascii="Arial" w:hAnsi="Arial" w:cs="Arial"/>
                <w:sz w:val="18"/>
                <w:szCs w:val="18"/>
              </w:rPr>
            </w:pPr>
          </w:p>
        </w:tc>
        <w:tc>
          <w:tcPr>
            <w:tcW w:w="1800" w:type="dxa"/>
            <w:tcBorders>
              <w:top w:val="nil"/>
            </w:tcBorders>
          </w:tcPr>
          <w:p w:rsidR="006F19E2" w:rsidRPr="007E630E" w:rsidRDefault="006F19E2" w:rsidP="008B2E9D">
            <w:pPr>
              <w:ind w:right="120"/>
              <w:jc w:val="center"/>
              <w:rPr>
                <w:rFonts w:ascii="Arial" w:hAnsi="Arial" w:cs="Arial"/>
                <w:b/>
                <w:sz w:val="18"/>
                <w:szCs w:val="18"/>
              </w:rPr>
            </w:pPr>
            <w:r w:rsidRPr="007E630E">
              <w:rPr>
                <w:rFonts w:ascii="Arial" w:hAnsi="Arial" w:cs="Arial"/>
                <w:b/>
                <w:sz w:val="18"/>
                <w:szCs w:val="18"/>
              </w:rPr>
              <w:t>Year 1</w:t>
            </w:r>
          </w:p>
        </w:tc>
        <w:tc>
          <w:tcPr>
            <w:tcW w:w="1844" w:type="dxa"/>
            <w:tcBorders>
              <w:top w:val="nil"/>
            </w:tcBorders>
          </w:tcPr>
          <w:p w:rsidR="006F19E2" w:rsidRPr="007E630E" w:rsidRDefault="006F19E2" w:rsidP="008B2E9D">
            <w:pPr>
              <w:ind w:right="120"/>
              <w:jc w:val="center"/>
              <w:rPr>
                <w:rFonts w:ascii="Arial" w:hAnsi="Arial" w:cs="Arial"/>
                <w:b/>
                <w:sz w:val="18"/>
                <w:szCs w:val="18"/>
              </w:rPr>
            </w:pPr>
            <w:r w:rsidRPr="007E630E">
              <w:rPr>
                <w:rFonts w:ascii="Arial" w:hAnsi="Arial" w:cs="Arial"/>
                <w:b/>
                <w:sz w:val="18"/>
                <w:szCs w:val="18"/>
              </w:rPr>
              <w:t>Year 2</w:t>
            </w:r>
          </w:p>
        </w:tc>
      </w:tr>
      <w:tr w:rsidR="006F19E2" w:rsidRPr="007E630E" w:rsidTr="008B2E9D">
        <w:tc>
          <w:tcPr>
            <w:tcW w:w="3408" w:type="dxa"/>
          </w:tcPr>
          <w:p w:rsidR="006F19E2" w:rsidRPr="007E630E" w:rsidRDefault="006F19E2" w:rsidP="008B2E9D">
            <w:pPr>
              <w:ind w:right="120"/>
              <w:jc w:val="both"/>
              <w:rPr>
                <w:rFonts w:ascii="Arial" w:hAnsi="Arial" w:cs="Arial"/>
                <w:sz w:val="18"/>
                <w:szCs w:val="18"/>
              </w:rPr>
            </w:pPr>
            <w:r w:rsidRPr="007E630E">
              <w:rPr>
                <w:rFonts w:ascii="Arial" w:hAnsi="Arial" w:cs="Arial"/>
                <w:sz w:val="18"/>
                <w:szCs w:val="18"/>
              </w:rPr>
              <w:t>TAG meetings</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3000</w:t>
            </w:r>
          </w:p>
        </w:tc>
        <w:tc>
          <w:tcPr>
            <w:tcW w:w="1844" w:type="dxa"/>
          </w:tcPr>
          <w:p w:rsidR="006F19E2" w:rsidRPr="007E630E" w:rsidRDefault="006F19E2" w:rsidP="003B46C9">
            <w:pPr>
              <w:jc w:val="center"/>
              <w:rPr>
                <w:sz w:val="18"/>
                <w:szCs w:val="18"/>
              </w:rPr>
            </w:pPr>
            <w:r w:rsidRPr="007E630E">
              <w:rPr>
                <w:sz w:val="18"/>
                <w:szCs w:val="18"/>
              </w:rPr>
              <w:t>3000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proofErr w:type="spellStart"/>
            <w:r w:rsidRPr="007E630E">
              <w:rPr>
                <w:rFonts w:ascii="Arial" w:hAnsi="Arial" w:cs="Arial"/>
                <w:sz w:val="18"/>
                <w:szCs w:val="18"/>
              </w:rPr>
              <w:t>Programme</w:t>
            </w:r>
            <w:proofErr w:type="spellEnd"/>
            <w:r w:rsidRPr="007E630E">
              <w:rPr>
                <w:rFonts w:ascii="Arial" w:hAnsi="Arial" w:cs="Arial"/>
                <w:sz w:val="18"/>
                <w:szCs w:val="18"/>
              </w:rPr>
              <w:t xml:space="preserve"> management and coordination</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3000</w:t>
            </w:r>
          </w:p>
        </w:tc>
        <w:tc>
          <w:tcPr>
            <w:tcW w:w="1844" w:type="dxa"/>
          </w:tcPr>
          <w:p w:rsidR="006F19E2" w:rsidRPr="007E630E" w:rsidRDefault="006F19E2" w:rsidP="003B46C9">
            <w:pPr>
              <w:jc w:val="center"/>
              <w:rPr>
                <w:sz w:val="18"/>
                <w:szCs w:val="18"/>
              </w:rPr>
            </w:pPr>
            <w:r w:rsidRPr="007E630E">
              <w:rPr>
                <w:sz w:val="18"/>
                <w:szCs w:val="18"/>
              </w:rPr>
              <w:t>3000</w:t>
            </w:r>
          </w:p>
        </w:tc>
      </w:tr>
      <w:tr w:rsidR="006F19E2" w:rsidRPr="007E630E" w:rsidTr="008B2E9D">
        <w:tc>
          <w:tcPr>
            <w:tcW w:w="3408" w:type="dxa"/>
          </w:tcPr>
          <w:p w:rsidR="006F19E2" w:rsidRPr="007E630E" w:rsidRDefault="006F19E2" w:rsidP="008B2E9D">
            <w:pPr>
              <w:ind w:right="120"/>
              <w:jc w:val="both"/>
              <w:rPr>
                <w:rFonts w:ascii="Arial" w:hAnsi="Arial" w:cs="Arial"/>
                <w:sz w:val="18"/>
                <w:szCs w:val="18"/>
              </w:rPr>
            </w:pPr>
            <w:r w:rsidRPr="007E630E">
              <w:rPr>
                <w:rFonts w:ascii="Arial" w:hAnsi="Arial" w:cs="Arial"/>
                <w:sz w:val="18"/>
                <w:szCs w:val="18"/>
              </w:rPr>
              <w:t>Cold chain equipment</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50000</w:t>
            </w:r>
          </w:p>
        </w:tc>
        <w:tc>
          <w:tcPr>
            <w:tcW w:w="1844" w:type="dxa"/>
          </w:tcPr>
          <w:p w:rsidR="006F19E2" w:rsidRPr="007E630E" w:rsidRDefault="006F19E2" w:rsidP="003B46C9">
            <w:pPr>
              <w:jc w:val="center"/>
              <w:rPr>
                <w:sz w:val="18"/>
                <w:szCs w:val="18"/>
              </w:rPr>
            </w:pPr>
            <w:r w:rsidRPr="007E630E">
              <w:rPr>
                <w:sz w:val="18"/>
                <w:szCs w:val="18"/>
              </w:rPr>
              <w:t>50000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Other capital equipment (describe)</w:t>
            </w:r>
          </w:p>
        </w:tc>
        <w:tc>
          <w:tcPr>
            <w:tcW w:w="2070" w:type="dxa"/>
          </w:tcPr>
          <w:p w:rsidR="006F19E2" w:rsidRPr="007E630E" w:rsidRDefault="006F19E2" w:rsidP="003B46C9">
            <w:pPr>
              <w:jc w:val="center"/>
              <w:rPr>
                <w:sz w:val="18"/>
                <w:szCs w:val="18"/>
              </w:rPr>
            </w:pPr>
          </w:p>
        </w:tc>
        <w:tc>
          <w:tcPr>
            <w:tcW w:w="1800" w:type="dxa"/>
          </w:tcPr>
          <w:p w:rsidR="006F19E2" w:rsidRPr="007E630E" w:rsidRDefault="006F19E2" w:rsidP="003B46C9">
            <w:pPr>
              <w:jc w:val="center"/>
              <w:rPr>
                <w:sz w:val="18"/>
                <w:szCs w:val="18"/>
              </w:rPr>
            </w:pPr>
          </w:p>
        </w:tc>
        <w:tc>
          <w:tcPr>
            <w:tcW w:w="1844" w:type="dxa"/>
          </w:tcPr>
          <w:p w:rsidR="006F19E2" w:rsidRPr="007E630E" w:rsidRDefault="006F19E2" w:rsidP="003B46C9">
            <w:pPr>
              <w:jc w:val="center"/>
              <w:rPr>
                <w:sz w:val="18"/>
                <w:szCs w:val="18"/>
              </w:rPr>
            </w:pP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Personnel, including salary supplements and/or per diems</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90000</w:t>
            </w:r>
          </w:p>
        </w:tc>
        <w:tc>
          <w:tcPr>
            <w:tcW w:w="1844" w:type="dxa"/>
          </w:tcPr>
          <w:p w:rsidR="006F19E2" w:rsidRPr="007E630E" w:rsidRDefault="006F19E2" w:rsidP="003B46C9">
            <w:pPr>
              <w:jc w:val="center"/>
              <w:rPr>
                <w:sz w:val="18"/>
                <w:szCs w:val="18"/>
              </w:rPr>
            </w:pPr>
            <w:r w:rsidRPr="007E630E">
              <w:rPr>
                <w:sz w:val="18"/>
                <w:szCs w:val="18"/>
              </w:rPr>
              <w:t>95000</w:t>
            </w:r>
          </w:p>
        </w:tc>
      </w:tr>
      <w:tr w:rsidR="006F19E2" w:rsidRPr="007E630E" w:rsidTr="008B2E9D">
        <w:tc>
          <w:tcPr>
            <w:tcW w:w="3408" w:type="dxa"/>
            <w:vMerge w:val="restart"/>
          </w:tcPr>
          <w:p w:rsidR="006F19E2" w:rsidRPr="007E630E" w:rsidRDefault="006F19E2" w:rsidP="008B2E9D">
            <w:pPr>
              <w:ind w:right="120"/>
              <w:rPr>
                <w:rFonts w:ascii="Arial" w:hAnsi="Arial" w:cs="Arial"/>
                <w:sz w:val="18"/>
                <w:szCs w:val="18"/>
              </w:rPr>
            </w:pPr>
            <w:r w:rsidRPr="007E630E">
              <w:rPr>
                <w:rFonts w:ascii="Arial" w:hAnsi="Arial" w:cs="Arial"/>
                <w:sz w:val="18"/>
                <w:szCs w:val="18"/>
              </w:rPr>
              <w:t>DSA for outreach team</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27900</w:t>
            </w:r>
          </w:p>
        </w:tc>
        <w:tc>
          <w:tcPr>
            <w:tcW w:w="1844" w:type="dxa"/>
          </w:tcPr>
          <w:p w:rsidR="006F19E2" w:rsidRPr="007E630E" w:rsidRDefault="006F19E2" w:rsidP="003B46C9">
            <w:pPr>
              <w:jc w:val="center"/>
              <w:rPr>
                <w:sz w:val="18"/>
                <w:szCs w:val="18"/>
              </w:rPr>
            </w:pPr>
            <w:r w:rsidRPr="007E630E">
              <w:rPr>
                <w:sz w:val="18"/>
                <w:szCs w:val="18"/>
              </w:rPr>
              <w:t>23200</w:t>
            </w:r>
          </w:p>
        </w:tc>
      </w:tr>
      <w:tr w:rsidR="006F19E2" w:rsidRPr="007E630E" w:rsidTr="008B2E9D">
        <w:tc>
          <w:tcPr>
            <w:tcW w:w="3408" w:type="dxa"/>
            <w:vMerge/>
          </w:tcPr>
          <w:p w:rsidR="006F19E2" w:rsidRPr="007E630E" w:rsidRDefault="006F19E2" w:rsidP="008B2E9D">
            <w:pPr>
              <w:ind w:right="120"/>
              <w:rPr>
                <w:rFonts w:ascii="Arial" w:hAnsi="Arial" w:cs="Arial"/>
                <w:sz w:val="18"/>
                <w:szCs w:val="18"/>
              </w:rPr>
            </w:pP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Transport</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14000</w:t>
            </w:r>
          </w:p>
        </w:tc>
        <w:tc>
          <w:tcPr>
            <w:tcW w:w="1844" w:type="dxa"/>
          </w:tcPr>
          <w:p w:rsidR="006F19E2" w:rsidRPr="007E630E" w:rsidRDefault="006F19E2" w:rsidP="003B46C9">
            <w:pPr>
              <w:jc w:val="center"/>
              <w:rPr>
                <w:sz w:val="18"/>
                <w:szCs w:val="18"/>
              </w:rPr>
            </w:pPr>
            <w:r w:rsidRPr="007E630E">
              <w:rPr>
                <w:sz w:val="18"/>
                <w:szCs w:val="18"/>
              </w:rPr>
              <w:t>15000</w:t>
            </w:r>
          </w:p>
        </w:tc>
      </w:tr>
      <w:tr w:rsidR="006F19E2" w:rsidRPr="007E630E" w:rsidTr="008B2E9D">
        <w:tc>
          <w:tcPr>
            <w:tcW w:w="3408" w:type="dxa"/>
            <w:vMerge w:val="restart"/>
          </w:tcPr>
          <w:p w:rsidR="006F19E2" w:rsidRPr="007E630E" w:rsidRDefault="006F19E2" w:rsidP="008B2E9D">
            <w:pPr>
              <w:ind w:right="120"/>
              <w:rPr>
                <w:rFonts w:ascii="Arial" w:hAnsi="Arial" w:cs="Arial"/>
                <w:sz w:val="18"/>
                <w:szCs w:val="18"/>
              </w:rPr>
            </w:pPr>
            <w:r w:rsidRPr="007E630E">
              <w:rPr>
                <w:rFonts w:ascii="Arial" w:hAnsi="Arial" w:cs="Arial"/>
                <w:sz w:val="18"/>
                <w:szCs w:val="18"/>
              </w:rPr>
              <w:t>Training</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8000</w:t>
            </w:r>
          </w:p>
        </w:tc>
        <w:tc>
          <w:tcPr>
            <w:tcW w:w="1844" w:type="dxa"/>
          </w:tcPr>
          <w:p w:rsidR="006F19E2" w:rsidRPr="007E630E" w:rsidRDefault="006F19E2" w:rsidP="003B46C9">
            <w:pPr>
              <w:jc w:val="center"/>
              <w:rPr>
                <w:sz w:val="18"/>
                <w:szCs w:val="18"/>
              </w:rPr>
            </w:pPr>
          </w:p>
        </w:tc>
      </w:tr>
      <w:tr w:rsidR="006F19E2" w:rsidRPr="007E630E" w:rsidTr="008B2E9D">
        <w:tc>
          <w:tcPr>
            <w:tcW w:w="3408" w:type="dxa"/>
            <w:vMerge/>
          </w:tcPr>
          <w:p w:rsidR="006F19E2" w:rsidRPr="007E630E" w:rsidRDefault="006F19E2" w:rsidP="008B2E9D">
            <w:pPr>
              <w:ind w:right="120"/>
              <w:rPr>
                <w:rFonts w:ascii="Arial" w:hAnsi="Arial" w:cs="Arial"/>
                <w:sz w:val="18"/>
                <w:szCs w:val="18"/>
              </w:rPr>
            </w:pPr>
          </w:p>
        </w:tc>
        <w:tc>
          <w:tcPr>
            <w:tcW w:w="2070" w:type="dxa"/>
          </w:tcPr>
          <w:p w:rsidR="006F19E2" w:rsidRPr="007E630E" w:rsidRDefault="006F19E2" w:rsidP="003B46C9">
            <w:pPr>
              <w:jc w:val="center"/>
              <w:rPr>
                <w:sz w:val="18"/>
                <w:szCs w:val="18"/>
              </w:rPr>
            </w:pPr>
            <w:r w:rsidRPr="007E630E">
              <w:rPr>
                <w:sz w:val="18"/>
                <w:szCs w:val="18"/>
              </w:rPr>
              <w:t>WHO</w:t>
            </w:r>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Community sensitization, mobilization and advoca</w:t>
            </w:r>
            <w:r>
              <w:rPr>
                <w:rFonts w:ascii="Arial" w:hAnsi="Arial" w:cs="Arial"/>
                <w:sz w:val="18"/>
                <w:szCs w:val="18"/>
              </w:rPr>
              <w:t>c</w:t>
            </w:r>
            <w:r w:rsidRPr="007E630E">
              <w:rPr>
                <w:rFonts w:ascii="Arial" w:hAnsi="Arial" w:cs="Arial"/>
                <w:sz w:val="18"/>
                <w:szCs w:val="18"/>
              </w:rPr>
              <w:t>y</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20000</w:t>
            </w:r>
          </w:p>
        </w:tc>
        <w:tc>
          <w:tcPr>
            <w:tcW w:w="1844" w:type="dxa"/>
          </w:tcPr>
          <w:p w:rsidR="006F19E2" w:rsidRPr="007E630E" w:rsidRDefault="006F19E2" w:rsidP="003B46C9">
            <w:pPr>
              <w:jc w:val="center"/>
              <w:rPr>
                <w:sz w:val="18"/>
                <w:szCs w:val="18"/>
              </w:rPr>
            </w:pP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Waste disposal</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AEFI monitoring</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10000</w:t>
            </w:r>
          </w:p>
        </w:tc>
        <w:tc>
          <w:tcPr>
            <w:tcW w:w="1844" w:type="dxa"/>
          </w:tcPr>
          <w:p w:rsidR="006F19E2" w:rsidRPr="007E630E" w:rsidRDefault="006F19E2" w:rsidP="003B46C9">
            <w:pPr>
              <w:jc w:val="center"/>
              <w:rPr>
                <w:sz w:val="18"/>
                <w:szCs w:val="18"/>
              </w:rPr>
            </w:pPr>
            <w:r w:rsidRPr="007E630E">
              <w:rPr>
                <w:sz w:val="18"/>
                <w:szCs w:val="18"/>
              </w:rPr>
              <w:t>10000</w:t>
            </w:r>
          </w:p>
        </w:tc>
      </w:tr>
      <w:tr w:rsidR="006F19E2" w:rsidRPr="007E630E" w:rsidTr="008B2E9D">
        <w:tc>
          <w:tcPr>
            <w:tcW w:w="3408" w:type="dxa"/>
            <w:vMerge w:val="restart"/>
          </w:tcPr>
          <w:p w:rsidR="006F19E2" w:rsidRPr="007E630E" w:rsidRDefault="006F19E2" w:rsidP="008B2E9D">
            <w:pPr>
              <w:ind w:right="120"/>
              <w:rPr>
                <w:rFonts w:ascii="Arial" w:hAnsi="Arial" w:cs="Arial"/>
                <w:sz w:val="18"/>
                <w:szCs w:val="18"/>
              </w:rPr>
            </w:pPr>
            <w:r w:rsidRPr="007E630E">
              <w:rPr>
                <w:rFonts w:ascii="Arial" w:hAnsi="Arial" w:cs="Arial"/>
                <w:sz w:val="18"/>
                <w:szCs w:val="18"/>
              </w:rPr>
              <w:t>Monitoring and supportive supervision</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Pr>
                <w:sz w:val="18"/>
                <w:szCs w:val="18"/>
              </w:rPr>
              <w:t>5000</w:t>
            </w:r>
          </w:p>
        </w:tc>
      </w:tr>
      <w:tr w:rsidR="006F19E2" w:rsidRPr="007E630E" w:rsidTr="008B2E9D">
        <w:tc>
          <w:tcPr>
            <w:tcW w:w="3408" w:type="dxa"/>
            <w:vMerge/>
          </w:tcPr>
          <w:p w:rsidR="006F19E2" w:rsidRPr="007E630E" w:rsidRDefault="006F19E2" w:rsidP="008B2E9D">
            <w:pPr>
              <w:ind w:right="120"/>
              <w:rPr>
                <w:rFonts w:ascii="Arial" w:hAnsi="Arial" w:cs="Arial"/>
                <w:sz w:val="18"/>
                <w:szCs w:val="18"/>
              </w:rPr>
            </w:pP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vMerge/>
          </w:tcPr>
          <w:p w:rsidR="006F19E2" w:rsidRPr="007E630E" w:rsidRDefault="006F19E2" w:rsidP="008B2E9D">
            <w:pPr>
              <w:ind w:right="120"/>
              <w:rPr>
                <w:rFonts w:ascii="Arial" w:hAnsi="Arial" w:cs="Arial"/>
                <w:sz w:val="18"/>
                <w:szCs w:val="18"/>
              </w:rPr>
            </w:pPr>
          </w:p>
        </w:tc>
        <w:tc>
          <w:tcPr>
            <w:tcW w:w="2070" w:type="dxa"/>
          </w:tcPr>
          <w:p w:rsidR="006F19E2" w:rsidRPr="007E630E" w:rsidRDefault="006F19E2" w:rsidP="003B46C9">
            <w:pPr>
              <w:jc w:val="center"/>
              <w:rPr>
                <w:sz w:val="18"/>
                <w:szCs w:val="18"/>
              </w:rPr>
            </w:pPr>
            <w:r w:rsidRPr="007E630E">
              <w:rPr>
                <w:sz w:val="18"/>
                <w:szCs w:val="18"/>
              </w:rPr>
              <w:t>WHO</w:t>
            </w:r>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Evaluation of vaccine delivery</w:t>
            </w:r>
          </w:p>
        </w:tc>
        <w:tc>
          <w:tcPr>
            <w:tcW w:w="2070" w:type="dxa"/>
            <w:vMerge w:val="restart"/>
          </w:tcPr>
          <w:p w:rsidR="006F19E2" w:rsidRPr="007E630E" w:rsidRDefault="006F19E2" w:rsidP="003B46C9">
            <w:pPr>
              <w:jc w:val="center"/>
              <w:rPr>
                <w:sz w:val="18"/>
                <w:szCs w:val="18"/>
              </w:rPr>
            </w:pPr>
            <w:r w:rsidRPr="007E630E">
              <w:rPr>
                <w:sz w:val="18"/>
                <w:szCs w:val="18"/>
              </w:rPr>
              <w:t>GAVI</w:t>
            </w:r>
          </w:p>
        </w:tc>
        <w:tc>
          <w:tcPr>
            <w:tcW w:w="1800" w:type="dxa"/>
            <w:vMerge w:val="restart"/>
          </w:tcPr>
          <w:p w:rsidR="006F19E2" w:rsidRPr="007E630E" w:rsidRDefault="006F19E2" w:rsidP="003B46C9">
            <w:pPr>
              <w:jc w:val="center"/>
              <w:rPr>
                <w:sz w:val="18"/>
                <w:szCs w:val="18"/>
              </w:rPr>
            </w:pPr>
            <w:r w:rsidRPr="007E630E">
              <w:rPr>
                <w:sz w:val="18"/>
                <w:szCs w:val="18"/>
              </w:rPr>
              <w:t>95000</w:t>
            </w:r>
          </w:p>
        </w:tc>
        <w:tc>
          <w:tcPr>
            <w:tcW w:w="1844" w:type="dxa"/>
            <w:vMerge w:val="restart"/>
          </w:tcPr>
          <w:p w:rsidR="006F19E2" w:rsidRPr="007E630E" w:rsidRDefault="006F19E2" w:rsidP="003B46C9">
            <w:pPr>
              <w:jc w:val="center"/>
              <w:rPr>
                <w:sz w:val="18"/>
                <w:szCs w:val="18"/>
              </w:rPr>
            </w:pPr>
          </w:p>
        </w:tc>
      </w:tr>
      <w:tr w:rsidR="006F19E2" w:rsidRPr="007E630E" w:rsidTr="008B2E9D">
        <w:tc>
          <w:tcPr>
            <w:tcW w:w="3408" w:type="dxa"/>
          </w:tcPr>
          <w:p w:rsidR="006F19E2" w:rsidRPr="007E630E" w:rsidRDefault="006F19E2" w:rsidP="008F529A">
            <w:pPr>
              <w:ind w:right="120"/>
              <w:rPr>
                <w:rFonts w:ascii="Arial" w:hAnsi="Arial" w:cs="Arial"/>
                <w:sz w:val="18"/>
                <w:szCs w:val="18"/>
              </w:rPr>
            </w:pPr>
            <w:r w:rsidRPr="007E630E">
              <w:rPr>
                <w:rFonts w:ascii="Arial" w:hAnsi="Arial" w:cs="Arial"/>
                <w:sz w:val="18"/>
                <w:szCs w:val="18"/>
              </w:rPr>
              <w:t>Technical assistance from local experts</w:t>
            </w:r>
          </w:p>
        </w:tc>
        <w:tc>
          <w:tcPr>
            <w:tcW w:w="2070" w:type="dxa"/>
            <w:vMerge/>
          </w:tcPr>
          <w:p w:rsidR="006F19E2" w:rsidRPr="007E630E" w:rsidRDefault="006F19E2" w:rsidP="008F529A">
            <w:pPr>
              <w:jc w:val="center"/>
              <w:rPr>
                <w:sz w:val="18"/>
                <w:szCs w:val="18"/>
              </w:rPr>
            </w:pPr>
          </w:p>
        </w:tc>
        <w:tc>
          <w:tcPr>
            <w:tcW w:w="1800" w:type="dxa"/>
            <w:vMerge/>
          </w:tcPr>
          <w:p w:rsidR="006F19E2" w:rsidRPr="007E630E" w:rsidRDefault="006F19E2" w:rsidP="008F529A">
            <w:pPr>
              <w:jc w:val="center"/>
              <w:rPr>
                <w:sz w:val="18"/>
                <w:szCs w:val="18"/>
              </w:rPr>
            </w:pPr>
          </w:p>
        </w:tc>
        <w:tc>
          <w:tcPr>
            <w:tcW w:w="1844" w:type="dxa"/>
            <w:vMerge/>
          </w:tcPr>
          <w:p w:rsidR="006F19E2" w:rsidRPr="007E630E" w:rsidRDefault="006F19E2" w:rsidP="008F529A">
            <w:pPr>
              <w:jc w:val="center"/>
              <w:rPr>
                <w:sz w:val="18"/>
                <w:szCs w:val="18"/>
              </w:rPr>
            </w:pP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Assessment of feasibility of integrating ADH with HPV vaccines</w:t>
            </w:r>
          </w:p>
        </w:tc>
        <w:tc>
          <w:tcPr>
            <w:tcW w:w="2070" w:type="dxa"/>
          </w:tcPr>
          <w:p w:rsidR="006F19E2" w:rsidRPr="007E630E" w:rsidRDefault="006F19E2" w:rsidP="003B46C9">
            <w:pPr>
              <w:jc w:val="center"/>
              <w:rPr>
                <w:sz w:val="18"/>
                <w:szCs w:val="18"/>
              </w:rPr>
            </w:pPr>
            <w:r w:rsidRPr="007E630E">
              <w:rPr>
                <w:sz w:val="18"/>
                <w:szCs w:val="18"/>
              </w:rPr>
              <w:t>GAVI</w:t>
            </w:r>
          </w:p>
        </w:tc>
        <w:tc>
          <w:tcPr>
            <w:tcW w:w="1800" w:type="dxa"/>
          </w:tcPr>
          <w:p w:rsidR="006F19E2" w:rsidRPr="007E630E" w:rsidRDefault="006F19E2" w:rsidP="003B46C9">
            <w:pPr>
              <w:jc w:val="center"/>
              <w:rPr>
                <w:sz w:val="18"/>
                <w:szCs w:val="18"/>
              </w:rPr>
            </w:pPr>
          </w:p>
        </w:tc>
        <w:tc>
          <w:tcPr>
            <w:tcW w:w="1844" w:type="dxa"/>
          </w:tcPr>
          <w:p w:rsidR="006F19E2" w:rsidRPr="007E630E" w:rsidRDefault="006F19E2" w:rsidP="003B46C9">
            <w:pPr>
              <w:jc w:val="center"/>
              <w:rPr>
                <w:sz w:val="18"/>
                <w:szCs w:val="18"/>
              </w:rPr>
            </w:pPr>
            <w:r w:rsidRPr="007E630E">
              <w:rPr>
                <w:sz w:val="18"/>
                <w:szCs w:val="18"/>
              </w:rPr>
              <w:t>25000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t>Drafting national cervical cancer prevention and control strategy</w:t>
            </w:r>
          </w:p>
        </w:tc>
        <w:tc>
          <w:tcPr>
            <w:tcW w:w="2070" w:type="dxa"/>
          </w:tcPr>
          <w:p w:rsidR="006F19E2" w:rsidRPr="007E630E" w:rsidRDefault="006F19E2" w:rsidP="003B46C9">
            <w:pPr>
              <w:jc w:val="center"/>
              <w:rPr>
                <w:sz w:val="18"/>
                <w:szCs w:val="18"/>
              </w:rPr>
            </w:pPr>
            <w:proofErr w:type="spellStart"/>
            <w:r w:rsidRPr="007E630E">
              <w:rPr>
                <w:sz w:val="18"/>
                <w:szCs w:val="18"/>
              </w:rPr>
              <w:t>GoL</w:t>
            </w:r>
            <w:proofErr w:type="spellEnd"/>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rPr>
                <w:rFonts w:ascii="Arial" w:hAnsi="Arial" w:cs="Arial"/>
                <w:sz w:val="18"/>
                <w:szCs w:val="18"/>
              </w:rPr>
            </w:pPr>
            <w:r w:rsidRPr="007E630E">
              <w:rPr>
                <w:rFonts w:ascii="Arial" w:hAnsi="Arial" w:cs="Arial"/>
                <w:sz w:val="18"/>
                <w:szCs w:val="18"/>
              </w:rPr>
              <w:lastRenderedPageBreak/>
              <w:t xml:space="preserve">Printing Immunization forms and materials </w:t>
            </w:r>
          </w:p>
        </w:tc>
        <w:tc>
          <w:tcPr>
            <w:tcW w:w="2070" w:type="dxa"/>
          </w:tcPr>
          <w:p w:rsidR="006F19E2" w:rsidRPr="007E630E" w:rsidRDefault="006F19E2" w:rsidP="003B46C9">
            <w:pPr>
              <w:jc w:val="center"/>
              <w:rPr>
                <w:sz w:val="18"/>
                <w:szCs w:val="18"/>
              </w:rPr>
            </w:pPr>
            <w:r w:rsidRPr="007E630E">
              <w:rPr>
                <w:sz w:val="18"/>
                <w:szCs w:val="18"/>
              </w:rPr>
              <w:t>UNICEF</w:t>
            </w:r>
          </w:p>
        </w:tc>
        <w:tc>
          <w:tcPr>
            <w:tcW w:w="1800" w:type="dxa"/>
          </w:tcPr>
          <w:p w:rsidR="006F19E2" w:rsidRPr="007E630E" w:rsidRDefault="006F19E2" w:rsidP="003B46C9">
            <w:pPr>
              <w:jc w:val="center"/>
              <w:rPr>
                <w:sz w:val="18"/>
                <w:szCs w:val="18"/>
              </w:rPr>
            </w:pPr>
            <w:r w:rsidRPr="007E630E">
              <w:rPr>
                <w:sz w:val="18"/>
                <w:szCs w:val="18"/>
              </w:rPr>
              <w:t>5000</w:t>
            </w:r>
          </w:p>
        </w:tc>
        <w:tc>
          <w:tcPr>
            <w:tcW w:w="1844" w:type="dxa"/>
          </w:tcPr>
          <w:p w:rsidR="006F19E2" w:rsidRPr="007E630E" w:rsidRDefault="006F19E2" w:rsidP="003B46C9">
            <w:pPr>
              <w:jc w:val="center"/>
              <w:rPr>
                <w:sz w:val="18"/>
                <w:szCs w:val="18"/>
              </w:rPr>
            </w:pPr>
            <w:r w:rsidRPr="007E630E">
              <w:rPr>
                <w:sz w:val="18"/>
                <w:szCs w:val="18"/>
              </w:rPr>
              <w:t>5000</w:t>
            </w:r>
          </w:p>
        </w:tc>
      </w:tr>
      <w:tr w:rsidR="006F19E2" w:rsidRPr="007E630E" w:rsidTr="008B2E9D">
        <w:tc>
          <w:tcPr>
            <w:tcW w:w="3408" w:type="dxa"/>
          </w:tcPr>
          <w:p w:rsidR="006F19E2" w:rsidRPr="007E630E" w:rsidRDefault="006F19E2" w:rsidP="008B2E9D">
            <w:pPr>
              <w:ind w:right="120"/>
              <w:jc w:val="right"/>
              <w:rPr>
                <w:rFonts w:ascii="Arial" w:hAnsi="Arial" w:cs="Arial"/>
                <w:b/>
                <w:i/>
                <w:sz w:val="18"/>
                <w:szCs w:val="18"/>
              </w:rPr>
            </w:pPr>
            <w:r w:rsidRPr="007E630E">
              <w:rPr>
                <w:rFonts w:ascii="Arial" w:hAnsi="Arial" w:cs="Arial"/>
                <w:b/>
                <w:i/>
                <w:sz w:val="18"/>
                <w:szCs w:val="18"/>
              </w:rPr>
              <w:t>Subtotal for which GAVI funds are being requested</w:t>
            </w:r>
          </w:p>
        </w:tc>
        <w:tc>
          <w:tcPr>
            <w:tcW w:w="2070" w:type="dxa"/>
          </w:tcPr>
          <w:p w:rsidR="006F19E2" w:rsidRPr="007E630E" w:rsidRDefault="006F19E2" w:rsidP="003B46C9">
            <w:pPr>
              <w:jc w:val="center"/>
              <w:rPr>
                <w:sz w:val="18"/>
                <w:szCs w:val="18"/>
              </w:rPr>
            </w:pPr>
          </w:p>
        </w:tc>
        <w:tc>
          <w:tcPr>
            <w:tcW w:w="1800" w:type="dxa"/>
          </w:tcPr>
          <w:p w:rsidR="006F19E2" w:rsidRPr="007E630E" w:rsidRDefault="006F19E2" w:rsidP="003B46C9">
            <w:pPr>
              <w:jc w:val="center"/>
              <w:rPr>
                <w:sz w:val="18"/>
                <w:szCs w:val="18"/>
              </w:rPr>
            </w:pPr>
            <w:r w:rsidRPr="007E630E">
              <w:rPr>
                <w:sz w:val="18"/>
                <w:szCs w:val="18"/>
              </w:rPr>
              <w:t>161900</w:t>
            </w:r>
          </w:p>
        </w:tc>
        <w:tc>
          <w:tcPr>
            <w:tcW w:w="1844" w:type="dxa"/>
          </w:tcPr>
          <w:p w:rsidR="006F19E2" w:rsidRPr="007E630E" w:rsidRDefault="006F19E2" w:rsidP="003B46C9">
            <w:pPr>
              <w:jc w:val="center"/>
              <w:rPr>
                <w:sz w:val="18"/>
                <w:szCs w:val="18"/>
              </w:rPr>
            </w:pPr>
            <w:r>
              <w:rPr>
                <w:sz w:val="18"/>
                <w:szCs w:val="18"/>
              </w:rPr>
              <w:t>59200</w:t>
            </w:r>
          </w:p>
        </w:tc>
      </w:tr>
      <w:tr w:rsidR="006F19E2" w:rsidRPr="007E630E" w:rsidTr="008B2E9D">
        <w:tc>
          <w:tcPr>
            <w:tcW w:w="3408" w:type="dxa"/>
          </w:tcPr>
          <w:p w:rsidR="006F19E2" w:rsidRPr="007E630E" w:rsidRDefault="006F19E2" w:rsidP="008B2E9D">
            <w:pPr>
              <w:ind w:right="120"/>
              <w:jc w:val="right"/>
              <w:rPr>
                <w:rFonts w:ascii="Arial" w:hAnsi="Arial" w:cs="Arial"/>
                <w:b/>
                <w:i/>
                <w:sz w:val="18"/>
                <w:szCs w:val="18"/>
              </w:rPr>
            </w:pPr>
            <w:r w:rsidRPr="007E630E">
              <w:rPr>
                <w:rFonts w:ascii="Arial" w:hAnsi="Arial" w:cs="Arial"/>
                <w:b/>
                <w:i/>
                <w:sz w:val="18"/>
                <w:szCs w:val="18"/>
              </w:rPr>
              <w:t>Subtotal from other funding sources</w:t>
            </w:r>
          </w:p>
        </w:tc>
        <w:tc>
          <w:tcPr>
            <w:tcW w:w="2070" w:type="dxa"/>
          </w:tcPr>
          <w:p w:rsidR="006F19E2" w:rsidRPr="007E630E" w:rsidRDefault="006F19E2" w:rsidP="003B46C9">
            <w:pPr>
              <w:jc w:val="center"/>
              <w:rPr>
                <w:sz w:val="18"/>
                <w:szCs w:val="18"/>
              </w:rPr>
            </w:pPr>
          </w:p>
        </w:tc>
        <w:tc>
          <w:tcPr>
            <w:tcW w:w="1800" w:type="dxa"/>
          </w:tcPr>
          <w:p w:rsidR="006F19E2" w:rsidRPr="007E630E" w:rsidRDefault="006F19E2" w:rsidP="003B46C9">
            <w:pPr>
              <w:jc w:val="center"/>
              <w:rPr>
                <w:sz w:val="18"/>
                <w:szCs w:val="18"/>
              </w:rPr>
            </w:pPr>
            <w:r w:rsidRPr="007E630E">
              <w:rPr>
                <w:sz w:val="18"/>
                <w:szCs w:val="18"/>
              </w:rPr>
              <w:t>184000</w:t>
            </w:r>
          </w:p>
        </w:tc>
        <w:tc>
          <w:tcPr>
            <w:tcW w:w="1844" w:type="dxa"/>
          </w:tcPr>
          <w:p w:rsidR="006F19E2" w:rsidRPr="007E630E" w:rsidRDefault="006F19E2" w:rsidP="003B46C9">
            <w:pPr>
              <w:jc w:val="center"/>
              <w:rPr>
                <w:sz w:val="18"/>
                <w:szCs w:val="18"/>
              </w:rPr>
            </w:pPr>
            <w:r w:rsidRPr="007E630E">
              <w:rPr>
                <w:sz w:val="18"/>
                <w:szCs w:val="18"/>
              </w:rPr>
              <w:t>205000</w:t>
            </w:r>
          </w:p>
        </w:tc>
      </w:tr>
      <w:tr w:rsidR="006F19E2" w:rsidRPr="007E630E" w:rsidTr="008B2E9D">
        <w:tc>
          <w:tcPr>
            <w:tcW w:w="3408" w:type="dxa"/>
          </w:tcPr>
          <w:p w:rsidR="006F19E2" w:rsidRPr="007E630E" w:rsidRDefault="006F19E2" w:rsidP="008B2E9D">
            <w:pPr>
              <w:ind w:right="120"/>
              <w:rPr>
                <w:rFonts w:ascii="Arial" w:hAnsi="Arial" w:cs="Arial"/>
                <w:b/>
                <w:sz w:val="18"/>
                <w:szCs w:val="18"/>
              </w:rPr>
            </w:pPr>
            <w:r w:rsidRPr="007E630E">
              <w:rPr>
                <w:rFonts w:ascii="Arial" w:hAnsi="Arial" w:cs="Arial"/>
                <w:b/>
                <w:sz w:val="18"/>
                <w:szCs w:val="18"/>
              </w:rPr>
              <w:t>TOTAL</w:t>
            </w:r>
          </w:p>
        </w:tc>
        <w:tc>
          <w:tcPr>
            <w:tcW w:w="2070" w:type="dxa"/>
          </w:tcPr>
          <w:p w:rsidR="006F19E2" w:rsidRPr="007E630E" w:rsidRDefault="006F19E2" w:rsidP="003B46C9">
            <w:pPr>
              <w:jc w:val="center"/>
              <w:rPr>
                <w:sz w:val="18"/>
                <w:szCs w:val="18"/>
              </w:rPr>
            </w:pPr>
          </w:p>
        </w:tc>
        <w:tc>
          <w:tcPr>
            <w:tcW w:w="1800" w:type="dxa"/>
          </w:tcPr>
          <w:p w:rsidR="006F19E2" w:rsidRPr="007E630E" w:rsidRDefault="006F19E2" w:rsidP="003B46C9">
            <w:pPr>
              <w:jc w:val="center"/>
              <w:rPr>
                <w:sz w:val="18"/>
                <w:szCs w:val="18"/>
              </w:rPr>
            </w:pPr>
            <w:r w:rsidRPr="007E630E">
              <w:rPr>
                <w:sz w:val="18"/>
                <w:szCs w:val="18"/>
              </w:rPr>
              <w:t>345900</w:t>
            </w:r>
          </w:p>
        </w:tc>
        <w:tc>
          <w:tcPr>
            <w:tcW w:w="1844" w:type="dxa"/>
          </w:tcPr>
          <w:p w:rsidR="006F19E2" w:rsidRPr="007E630E" w:rsidRDefault="006F19E2" w:rsidP="003B46C9">
            <w:pPr>
              <w:jc w:val="center"/>
              <w:rPr>
                <w:sz w:val="18"/>
                <w:szCs w:val="18"/>
              </w:rPr>
            </w:pPr>
            <w:r w:rsidRPr="007E630E">
              <w:rPr>
                <w:sz w:val="18"/>
                <w:szCs w:val="18"/>
              </w:rPr>
              <w:t>264200</w:t>
            </w:r>
          </w:p>
        </w:tc>
      </w:tr>
    </w:tbl>
    <w:p w:rsidR="006F19E2" w:rsidRDefault="006F19E2" w:rsidP="0086233B">
      <w:pPr>
        <w:pStyle w:val="NormalWeb"/>
        <w:ind w:left="360"/>
        <w:jc w:val="both"/>
        <w:rPr>
          <w:b/>
          <w:bCs/>
        </w:rPr>
      </w:pPr>
      <w:r>
        <w:rPr>
          <w:b/>
          <w:bCs/>
        </w:rPr>
        <w:t>Summary of GAVI Funds</w:t>
      </w:r>
    </w:p>
    <w:p w:rsidR="006F19E2" w:rsidRDefault="006F19E2" w:rsidP="0086233B">
      <w:pPr>
        <w:pStyle w:val="NormalWeb"/>
        <w:ind w:left="360"/>
        <w:jc w:val="both"/>
        <w:rPr>
          <w:b/>
          <w:bCs/>
          <w:u w:val="single"/>
        </w:rPr>
      </w:pPr>
      <w:r>
        <w:rPr>
          <w:b/>
          <w:bCs/>
        </w:rPr>
        <w:t>YEAR 1</w:t>
      </w:r>
      <w:r w:rsidRPr="002B2606">
        <w:rPr>
          <w:b/>
          <w:bCs/>
        </w:rPr>
        <w:sym w:font="Wingdings" w:char="F0E0"/>
      </w:r>
      <w:r>
        <w:rPr>
          <w:b/>
          <w:bCs/>
        </w:rPr>
        <w:t xml:space="preserve"> Girls 13938 x 4.80$ = 66,902$ + 95,000$ 1</w:t>
      </w:r>
      <w:r w:rsidRPr="002B2606">
        <w:rPr>
          <w:b/>
          <w:bCs/>
          <w:vertAlign w:val="superscript"/>
        </w:rPr>
        <w:t>st</w:t>
      </w:r>
      <w:r>
        <w:rPr>
          <w:b/>
          <w:bCs/>
        </w:rPr>
        <w:t xml:space="preserve"> year evaluation = </w:t>
      </w:r>
      <w:r w:rsidRPr="002B2606">
        <w:rPr>
          <w:b/>
          <w:bCs/>
          <w:u w:val="single"/>
        </w:rPr>
        <w:t>161902</w:t>
      </w:r>
      <w:r>
        <w:rPr>
          <w:b/>
          <w:bCs/>
          <w:u w:val="single"/>
        </w:rPr>
        <w:t>$</w:t>
      </w:r>
    </w:p>
    <w:p w:rsidR="006F19E2" w:rsidRPr="002B2606" w:rsidRDefault="006F19E2" w:rsidP="0086233B">
      <w:pPr>
        <w:pStyle w:val="NormalWeb"/>
        <w:ind w:left="360"/>
        <w:jc w:val="both"/>
        <w:rPr>
          <w:b/>
          <w:bCs/>
          <w:u w:val="single"/>
        </w:rPr>
      </w:pPr>
      <w:r>
        <w:rPr>
          <w:b/>
          <w:bCs/>
        </w:rPr>
        <w:t>YEAR 2</w:t>
      </w:r>
      <w:r w:rsidRPr="002B2606">
        <w:rPr>
          <w:b/>
          <w:bCs/>
        </w:rPr>
        <w:sym w:font="Wingdings" w:char="F0E0"/>
      </w:r>
      <w:r>
        <w:rPr>
          <w:b/>
          <w:bCs/>
        </w:rPr>
        <w:t xml:space="preserve"> Girls 14286 x 2.40$ = 34286$ + 25000$ 2</w:t>
      </w:r>
      <w:r w:rsidRPr="002B2606">
        <w:rPr>
          <w:b/>
          <w:bCs/>
          <w:vertAlign w:val="superscript"/>
        </w:rPr>
        <w:t>nd</w:t>
      </w:r>
      <w:r>
        <w:rPr>
          <w:b/>
          <w:bCs/>
        </w:rPr>
        <w:t xml:space="preserve"> year assessment = </w:t>
      </w:r>
      <w:r w:rsidRPr="001262C1">
        <w:rPr>
          <w:b/>
          <w:bCs/>
          <w:u w:val="single"/>
        </w:rPr>
        <w:t>59286$</w:t>
      </w:r>
    </w:p>
    <w:p w:rsidR="006F19E2" w:rsidRDefault="006F19E2" w:rsidP="0086233B">
      <w:pPr>
        <w:pStyle w:val="NormalWeb"/>
        <w:ind w:left="360"/>
        <w:jc w:val="both"/>
        <w:rPr>
          <w:b/>
          <w:bCs/>
        </w:rPr>
      </w:pPr>
    </w:p>
    <w:p w:rsidR="006F19E2" w:rsidRDefault="006F19E2" w:rsidP="0086233B">
      <w:pPr>
        <w:pStyle w:val="NormalWeb"/>
        <w:ind w:left="360"/>
        <w:jc w:val="both"/>
        <w:rPr>
          <w:rFonts w:ascii="Arial" w:hAnsi="Arial" w:cs="Arial"/>
          <w:sz w:val="22"/>
          <w:szCs w:val="22"/>
          <w:lang w:val="en-GB"/>
        </w:rPr>
      </w:pPr>
      <w:r w:rsidRPr="0086233B">
        <w:rPr>
          <w:b/>
          <w:bCs/>
        </w:rPr>
        <w:t xml:space="preserve">2. </w:t>
      </w:r>
      <w:r w:rsidRPr="0086233B">
        <w:rPr>
          <w:rFonts w:ascii="Arial" w:hAnsi="Arial" w:cs="Arial"/>
          <w:b/>
          <w:bCs/>
          <w:sz w:val="22"/>
          <w:szCs w:val="22"/>
          <w:lang w:val="en-GB"/>
        </w:rPr>
        <w:t>Please</w:t>
      </w:r>
      <w:r w:rsidRPr="00967711">
        <w:rPr>
          <w:rFonts w:ascii="Arial" w:hAnsi="Arial" w:cs="Arial"/>
          <w:b/>
          <w:sz w:val="22"/>
          <w:szCs w:val="22"/>
          <w:lang w:val="en-GB"/>
        </w:rPr>
        <w:t xml:space="preserve"> check and revise the number of requested doses of vaccine.</w:t>
      </w:r>
      <w:r>
        <w:rPr>
          <w:rFonts w:ascii="Arial" w:hAnsi="Arial" w:cs="Arial"/>
          <w:sz w:val="22"/>
          <w:szCs w:val="22"/>
          <w:lang w:val="en-GB"/>
        </w:rPr>
        <w:t> </w:t>
      </w:r>
    </w:p>
    <w:p w:rsidR="006F19E2" w:rsidRPr="00A56C4D" w:rsidRDefault="006F19E2" w:rsidP="007D2F29">
      <w:pPr>
        <w:spacing w:before="100" w:beforeAutospacing="1" w:after="100" w:afterAutospacing="1" w:line="240" w:lineRule="auto"/>
        <w:rPr>
          <w:szCs w:val="24"/>
        </w:rPr>
      </w:pPr>
      <w:r>
        <w:rPr>
          <w:rFonts w:ascii="Arial" w:hAnsi="Arial" w:cs="Arial"/>
          <w:sz w:val="20"/>
          <w:szCs w:val="20"/>
          <w:lang w:val="en-GB"/>
        </w:rPr>
        <w:t>The target population is from the Ministry of Education and Sports (</w:t>
      </w:r>
      <w:proofErr w:type="spellStart"/>
      <w:r>
        <w:rPr>
          <w:rFonts w:ascii="Arial" w:hAnsi="Arial" w:cs="Arial"/>
          <w:sz w:val="20"/>
          <w:szCs w:val="20"/>
          <w:lang w:val="en-GB"/>
        </w:rPr>
        <w:t>MoES</w:t>
      </w:r>
      <w:proofErr w:type="spellEnd"/>
      <w:r>
        <w:rPr>
          <w:rFonts w:ascii="Arial" w:hAnsi="Arial" w:cs="Arial"/>
          <w:sz w:val="20"/>
          <w:szCs w:val="20"/>
          <w:lang w:val="en-GB"/>
        </w:rPr>
        <w:t xml:space="preserve">) school enrolment </w:t>
      </w:r>
      <w:proofErr w:type="gramStart"/>
      <w:r>
        <w:rPr>
          <w:rFonts w:ascii="Arial" w:hAnsi="Arial" w:cs="Arial"/>
          <w:sz w:val="20"/>
          <w:szCs w:val="20"/>
          <w:lang w:val="en-GB"/>
        </w:rPr>
        <w:t>lists which</w:t>
      </w:r>
      <w:proofErr w:type="gramEnd"/>
      <w:r>
        <w:rPr>
          <w:rFonts w:ascii="Arial" w:hAnsi="Arial" w:cs="Arial"/>
          <w:sz w:val="20"/>
          <w:szCs w:val="20"/>
          <w:lang w:val="en-GB"/>
        </w:rPr>
        <w:t xml:space="preserve"> state that school </w:t>
      </w:r>
      <w:r>
        <w:rPr>
          <w:rFonts w:ascii="Tahoma" w:hAnsi="Tahoma"/>
          <w:color w:val="000000"/>
          <w:sz w:val="20"/>
          <w:szCs w:val="20"/>
        </w:rPr>
        <w:t xml:space="preserve">enrolment rates in these two provinces are 99% and 94.7% respectively. The </w:t>
      </w:r>
      <w:proofErr w:type="spellStart"/>
      <w:r>
        <w:rPr>
          <w:rFonts w:ascii="Arial" w:hAnsi="Arial" w:cs="Arial"/>
          <w:sz w:val="20"/>
          <w:szCs w:val="20"/>
          <w:lang w:val="en-GB"/>
        </w:rPr>
        <w:t>MoES</w:t>
      </w:r>
      <w:proofErr w:type="spellEnd"/>
      <w:r>
        <w:rPr>
          <w:rFonts w:ascii="Arial" w:hAnsi="Arial" w:cs="Arial"/>
          <w:sz w:val="20"/>
          <w:szCs w:val="20"/>
          <w:lang w:val="en-GB"/>
        </w:rPr>
        <w:t xml:space="preserve"> </w:t>
      </w:r>
      <w:r>
        <w:rPr>
          <w:rFonts w:ascii="Tahoma" w:hAnsi="Tahoma"/>
          <w:color w:val="000000"/>
          <w:sz w:val="20"/>
          <w:szCs w:val="20"/>
        </w:rPr>
        <w:t xml:space="preserve">acknowledges that there may be differences in enrolment rates between urban and remote/rural districts. </w:t>
      </w:r>
      <w:r>
        <w:rPr>
          <w:rFonts w:ascii="Arial" w:hAnsi="Arial" w:cs="Arial"/>
          <w:sz w:val="20"/>
          <w:szCs w:val="20"/>
          <w:lang w:val="en-GB"/>
        </w:rPr>
        <w:t xml:space="preserve"> As such, </w:t>
      </w:r>
      <w:r>
        <w:rPr>
          <w:rFonts w:ascii="Tahoma" w:hAnsi="Tahoma"/>
          <w:color w:val="000000"/>
          <w:sz w:val="20"/>
          <w:szCs w:val="20"/>
        </w:rPr>
        <w:t xml:space="preserve">to account for any underestimation of our target population (including the out of school girls), we are adding 10% in addition to the buffer of 25%. </w:t>
      </w:r>
    </w:p>
    <w:p w:rsidR="006F19E2" w:rsidRDefault="006F19E2" w:rsidP="003F0E9A">
      <w:pPr>
        <w:pStyle w:val="NormalWeb"/>
        <w:jc w:val="both"/>
        <w:rPr>
          <w:rFonts w:ascii="Arial" w:hAnsi="Arial" w:cs="Arial"/>
          <w:sz w:val="20"/>
          <w:szCs w:val="20"/>
          <w:lang w:val="en-GB"/>
        </w:rPr>
      </w:pPr>
      <w:r>
        <w:rPr>
          <w:rFonts w:ascii="Arial" w:hAnsi="Arial" w:cs="Arial"/>
          <w:sz w:val="20"/>
          <w:szCs w:val="20"/>
          <w:lang w:val="en-GB"/>
        </w:rPr>
        <w:t>13,938 girls</w:t>
      </w:r>
      <w:r w:rsidRPr="002832C4">
        <w:rPr>
          <w:rFonts w:ascii="Arial" w:hAnsi="Arial" w:cs="Arial"/>
          <w:sz w:val="20"/>
          <w:szCs w:val="20"/>
          <w:lang w:val="en-GB"/>
        </w:rPr>
        <w:t xml:space="preserve"> year</w:t>
      </w:r>
      <w:r>
        <w:rPr>
          <w:rFonts w:ascii="Arial" w:hAnsi="Arial" w:cs="Arial"/>
          <w:sz w:val="20"/>
          <w:szCs w:val="20"/>
          <w:lang w:val="en-GB"/>
        </w:rPr>
        <w:t xml:space="preserve"> 1 and 14,286 girls year 2 (including an average 10% out of school girls); plus 5% wastage and added 25% buffer stock </w:t>
      </w:r>
      <w:r w:rsidRPr="002832C4">
        <w:rPr>
          <w:rFonts w:ascii="Arial" w:hAnsi="Arial" w:cs="Arial"/>
          <w:sz w:val="20"/>
          <w:szCs w:val="20"/>
          <w:lang w:val="en-GB"/>
        </w:rPr>
        <w:t>X 3 doses</w:t>
      </w:r>
      <w:r>
        <w:rPr>
          <w:rFonts w:ascii="Arial" w:hAnsi="Arial" w:cs="Arial"/>
          <w:sz w:val="20"/>
          <w:szCs w:val="20"/>
          <w:lang w:val="en-GB"/>
        </w:rPr>
        <w:t xml:space="preserve"> = 54881 vaccine doses</w:t>
      </w:r>
      <w:r w:rsidRPr="002832C4">
        <w:rPr>
          <w:rFonts w:ascii="Arial" w:hAnsi="Arial" w:cs="Arial"/>
          <w:sz w:val="20"/>
          <w:szCs w:val="20"/>
          <w:lang w:val="en-GB"/>
        </w:rPr>
        <w:t xml:space="preserve"> year</w:t>
      </w:r>
      <w:r>
        <w:rPr>
          <w:rFonts w:ascii="Arial" w:hAnsi="Arial" w:cs="Arial"/>
          <w:sz w:val="20"/>
          <w:szCs w:val="20"/>
          <w:lang w:val="en-GB"/>
        </w:rPr>
        <w:t xml:space="preserve"> 1, and 56251 doses year 2.</w:t>
      </w:r>
      <w:r w:rsidRPr="002832C4">
        <w:rPr>
          <w:rFonts w:ascii="Arial" w:hAnsi="Arial" w:cs="Arial"/>
          <w:sz w:val="20"/>
          <w:szCs w:val="20"/>
          <w:lang w:val="en-GB"/>
        </w:rPr>
        <w:t xml:space="preserve"> </w:t>
      </w:r>
    </w:p>
    <w:p w:rsidR="006F19E2" w:rsidRPr="003F0E9A" w:rsidRDefault="006F19E2" w:rsidP="003F0E9A">
      <w:pPr>
        <w:pStyle w:val="NormalWeb"/>
        <w:jc w:val="both"/>
        <w:rPr>
          <w:b/>
          <w:sz w:val="20"/>
          <w:szCs w:val="20"/>
        </w:rPr>
      </w:pPr>
    </w:p>
    <w:tbl>
      <w:tblPr>
        <w:tblW w:w="7393" w:type="dxa"/>
        <w:tblInd w:w="95" w:type="dxa"/>
        <w:tblCellMar>
          <w:left w:w="0" w:type="dxa"/>
          <w:right w:w="0" w:type="dxa"/>
        </w:tblCellMar>
        <w:tblLook w:val="00A0" w:firstRow="1" w:lastRow="0" w:firstColumn="1" w:lastColumn="0" w:noHBand="0" w:noVBand="0"/>
      </w:tblPr>
      <w:tblGrid>
        <w:gridCol w:w="2623"/>
        <w:gridCol w:w="1710"/>
        <w:gridCol w:w="1620"/>
        <w:gridCol w:w="1440"/>
      </w:tblGrid>
      <w:tr w:rsidR="006F19E2" w:rsidRPr="00A90273" w:rsidTr="00AF2951">
        <w:trPr>
          <w:trHeight w:val="420"/>
        </w:trPr>
        <w:tc>
          <w:tcPr>
            <w:tcW w:w="2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Required supply item</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szCs w:val="24"/>
              </w:rPr>
              <w: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Year 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Year 2</w:t>
            </w:r>
          </w:p>
        </w:tc>
      </w:tr>
      <w:tr w:rsidR="006F19E2" w:rsidRPr="00A90273" w:rsidTr="00AF2951">
        <w:trPr>
          <w:trHeight w:val="525"/>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Number of vaccine doses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Pr>
                <w:rFonts w:ascii="Arial" w:hAnsi="Arial" w:cs="Arial"/>
                <w:sz w:val="20"/>
                <w:szCs w:val="20"/>
              </w:rPr>
              <w:t>54,881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Pr>
                <w:rFonts w:ascii="Arial" w:hAnsi="Arial" w:cs="Arial"/>
                <w:sz w:val="20"/>
                <w:szCs w:val="20"/>
              </w:rPr>
              <w:t>56,251</w:t>
            </w:r>
          </w:p>
        </w:tc>
      </w:tr>
      <w:tr w:rsidR="006F19E2" w:rsidRPr="00A90273" w:rsidTr="00AF2951">
        <w:trPr>
          <w:trHeight w:val="450"/>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Number of AD syringes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w:t>
            </w:r>
            <w:r>
              <w:rPr>
                <w:rFonts w:ascii="Arial" w:hAnsi="Arial" w:cs="Arial"/>
                <w:sz w:val="20"/>
                <w:szCs w:val="20"/>
              </w:rPr>
              <w:t xml:space="preserve"> Doses x 1.11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F19E2" w:rsidRPr="006A7604" w:rsidRDefault="006F19E2" w:rsidP="005F3541">
            <w:pPr>
              <w:spacing w:before="100" w:beforeAutospacing="1" w:after="100" w:afterAutospacing="1" w:line="240" w:lineRule="auto"/>
              <w:jc w:val="both"/>
              <w:rPr>
                <w:rFonts w:ascii="Arial" w:hAnsi="Arial" w:cs="Arial"/>
                <w:sz w:val="20"/>
                <w:szCs w:val="20"/>
              </w:rPr>
            </w:pPr>
            <w:r w:rsidRPr="006A7604">
              <w:rPr>
                <w:rFonts w:ascii="Arial" w:hAnsi="Arial" w:cs="Arial"/>
                <w:sz w:val="20"/>
                <w:szCs w:val="20"/>
              </w:rPr>
              <w:t>60</w:t>
            </w:r>
            <w:r>
              <w:rPr>
                <w:rFonts w:ascii="Arial" w:hAnsi="Arial" w:cs="Arial"/>
                <w:sz w:val="20"/>
                <w:szCs w:val="20"/>
              </w:rPr>
              <w:t>,</w:t>
            </w:r>
            <w:r w:rsidRPr="006A7604">
              <w:rPr>
                <w:rFonts w:ascii="Arial" w:hAnsi="Arial" w:cs="Arial"/>
                <w:sz w:val="20"/>
                <w:szCs w:val="20"/>
              </w:rPr>
              <w:t>917</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F19E2" w:rsidRPr="006A7604" w:rsidRDefault="006F19E2" w:rsidP="005F3541">
            <w:pPr>
              <w:spacing w:before="100" w:beforeAutospacing="1" w:after="100" w:afterAutospacing="1" w:line="240" w:lineRule="auto"/>
              <w:jc w:val="both"/>
              <w:rPr>
                <w:rFonts w:ascii="Arial" w:hAnsi="Arial" w:cs="Arial"/>
                <w:sz w:val="20"/>
                <w:szCs w:val="20"/>
              </w:rPr>
            </w:pPr>
            <w:r w:rsidRPr="006A7604">
              <w:rPr>
                <w:rFonts w:ascii="Arial" w:hAnsi="Arial" w:cs="Arial"/>
                <w:sz w:val="20"/>
                <w:szCs w:val="20"/>
              </w:rPr>
              <w:t>62</w:t>
            </w:r>
            <w:r>
              <w:rPr>
                <w:rFonts w:ascii="Arial" w:hAnsi="Arial" w:cs="Arial"/>
                <w:sz w:val="20"/>
                <w:szCs w:val="20"/>
              </w:rPr>
              <w:t>,</w:t>
            </w:r>
            <w:r w:rsidRPr="006A7604">
              <w:rPr>
                <w:rFonts w:ascii="Arial" w:hAnsi="Arial" w:cs="Arial"/>
                <w:sz w:val="20"/>
                <w:szCs w:val="20"/>
              </w:rPr>
              <w:t>439</w:t>
            </w:r>
          </w:p>
        </w:tc>
      </w:tr>
      <w:tr w:rsidR="006F19E2" w:rsidRPr="00A90273" w:rsidTr="00AF2951">
        <w:trPr>
          <w:trHeight w:val="420"/>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Number of safety boxes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sz w:val="20"/>
                <w:szCs w:val="20"/>
              </w:rPr>
              <w:t>#</w:t>
            </w:r>
            <w:r>
              <w:rPr>
                <w:rFonts w:ascii="Arial" w:hAnsi="Arial" w:cs="Arial"/>
                <w:sz w:val="20"/>
                <w:szCs w:val="20"/>
              </w:rPr>
              <w:t xml:space="preserve"> AD/100 x 1.11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Pr>
                <w:szCs w:val="24"/>
              </w:rPr>
              <w:t>676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Pr>
                <w:szCs w:val="24"/>
              </w:rPr>
              <w:t>693</w:t>
            </w:r>
          </w:p>
        </w:tc>
      </w:tr>
      <w:tr w:rsidR="006F19E2" w:rsidRPr="00A90273" w:rsidTr="00AF2951">
        <w:trPr>
          <w:trHeight w:val="270"/>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TOTAL</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[Type text] cost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F19E2" w:rsidRPr="005F3541" w:rsidRDefault="006F19E2" w:rsidP="005F3541">
            <w:pPr>
              <w:spacing w:before="100" w:beforeAutospacing="1" w:after="100" w:afterAutospacing="1" w:line="240" w:lineRule="auto"/>
              <w:jc w:val="both"/>
              <w:rPr>
                <w:szCs w:val="24"/>
              </w:rPr>
            </w:pPr>
            <w:r w:rsidRPr="005F3541">
              <w:rPr>
                <w:rFonts w:ascii="Arial" w:hAnsi="Arial" w:cs="Arial"/>
                <w:b/>
                <w:bCs/>
                <w:sz w:val="20"/>
                <w:szCs w:val="20"/>
              </w:rPr>
              <w:t>[Type text] cost</w:t>
            </w:r>
          </w:p>
        </w:tc>
      </w:tr>
    </w:tbl>
    <w:p w:rsidR="006F19E2" w:rsidRDefault="006F19E2" w:rsidP="00A56C4D">
      <w:pPr>
        <w:spacing w:before="100" w:beforeAutospacing="1" w:after="100" w:afterAutospacing="1" w:line="240" w:lineRule="auto"/>
        <w:rPr>
          <w:szCs w:val="24"/>
        </w:rPr>
      </w:pPr>
      <w:r>
        <w:rPr>
          <w:szCs w:val="24"/>
        </w:rPr>
        <w:t>For more detailed information on target groups see table below:</w:t>
      </w:r>
    </w:p>
    <w:tbl>
      <w:tblPr>
        <w:tblW w:w="8160" w:type="dxa"/>
        <w:tblInd w:w="93" w:type="dxa"/>
        <w:tblLook w:val="0000" w:firstRow="0" w:lastRow="0" w:firstColumn="0" w:lastColumn="0" w:noHBand="0" w:noVBand="0"/>
      </w:tblPr>
      <w:tblGrid>
        <w:gridCol w:w="2535"/>
        <w:gridCol w:w="1755"/>
        <w:gridCol w:w="2015"/>
        <w:gridCol w:w="1855"/>
      </w:tblGrid>
      <w:tr w:rsidR="006F19E2" w:rsidRPr="0086233B" w:rsidTr="00C50564">
        <w:trPr>
          <w:trHeight w:val="315"/>
        </w:trPr>
        <w:tc>
          <w:tcPr>
            <w:tcW w:w="2535" w:type="dxa"/>
            <w:vMerge w:val="restart"/>
            <w:tcBorders>
              <w:top w:val="single" w:sz="8" w:space="0" w:color="auto"/>
              <w:left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bookmarkStart w:id="1" w:name="RANGE!A1:D11"/>
            <w:bookmarkEnd w:id="1"/>
            <w:r w:rsidRPr="0086233B">
              <w:rPr>
                <w:rFonts w:ascii="Calibri" w:eastAsia="SimSun" w:hAnsi="Calibri"/>
                <w:b/>
                <w:bCs/>
                <w:color w:val="333399"/>
                <w:sz w:val="18"/>
                <w:szCs w:val="18"/>
                <w:lang w:eastAsia="zh-CN" w:bidi="lo-LA"/>
              </w:rPr>
              <w:t> </w:t>
            </w:r>
          </w:p>
          <w:p w:rsidR="006F19E2" w:rsidRPr="0086233B" w:rsidRDefault="006F19E2" w:rsidP="0086233B">
            <w:pPr>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1755" w:type="dxa"/>
            <w:vMerge w:val="restart"/>
            <w:tcBorders>
              <w:top w:val="single" w:sz="8" w:space="0" w:color="auto"/>
              <w:left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p w:rsidR="006F19E2" w:rsidRPr="0086233B" w:rsidRDefault="006F19E2" w:rsidP="0086233B">
            <w:pPr>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single" w:sz="8"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N of girls to be vaccinated</w:t>
            </w:r>
          </w:p>
        </w:tc>
        <w:tc>
          <w:tcPr>
            <w:tcW w:w="1855" w:type="dxa"/>
            <w:tcBorders>
              <w:top w:val="single" w:sz="8" w:space="0" w:color="auto"/>
              <w:left w:val="single" w:sz="12" w:space="0" w:color="auto"/>
              <w:bottom w:val="single" w:sz="8" w:space="0" w:color="auto"/>
              <w:right w:val="single" w:sz="8"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N of girls to be vaccinated</w:t>
            </w:r>
          </w:p>
        </w:tc>
      </w:tr>
      <w:tr w:rsidR="006F19E2" w:rsidRPr="0086233B" w:rsidTr="00C50564">
        <w:trPr>
          <w:trHeight w:val="315"/>
        </w:trPr>
        <w:tc>
          <w:tcPr>
            <w:tcW w:w="2535" w:type="dxa"/>
            <w:vMerge/>
            <w:tcBorders>
              <w:left w:val="single" w:sz="8"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p>
        </w:tc>
        <w:tc>
          <w:tcPr>
            <w:tcW w:w="1755" w:type="dxa"/>
            <w:vMerge/>
            <w:tcBorders>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p>
        </w:tc>
        <w:tc>
          <w:tcPr>
            <w:tcW w:w="201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Year 1</w:t>
            </w:r>
          </w:p>
        </w:tc>
        <w:tc>
          <w:tcPr>
            <w:tcW w:w="1855" w:type="dxa"/>
            <w:tcBorders>
              <w:top w:val="nil"/>
              <w:left w:val="single" w:sz="12" w:space="0" w:color="auto"/>
              <w:bottom w:val="single" w:sz="12" w:space="0" w:color="auto"/>
              <w:right w:val="single" w:sz="8"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Year 2 (2.5% pop increase</w:t>
            </w:r>
            <w:r>
              <w:rPr>
                <w:rFonts w:ascii="Calibri" w:eastAsia="SimSun" w:hAnsi="Calibri"/>
                <w:b/>
                <w:bCs/>
                <w:color w:val="333399"/>
                <w:sz w:val="18"/>
                <w:szCs w:val="18"/>
                <w:lang w:eastAsia="zh-CN" w:bidi="lo-LA"/>
              </w:rPr>
              <w:t xml:space="preserve"> from Census</w:t>
            </w:r>
            <w:r w:rsidRPr="0086233B">
              <w:rPr>
                <w:rFonts w:ascii="Calibri" w:eastAsia="SimSun" w:hAnsi="Calibri"/>
                <w:b/>
                <w:bCs/>
                <w:color w:val="333399"/>
                <w:sz w:val="18"/>
                <w:szCs w:val="18"/>
                <w:lang w:eastAsia="zh-CN" w:bidi="lo-LA"/>
              </w:rPr>
              <w:t>)</w:t>
            </w:r>
          </w:p>
        </w:tc>
      </w:tr>
      <w:tr w:rsidR="006F19E2" w:rsidRPr="0086233B" w:rsidTr="007C7E63">
        <w:trPr>
          <w:trHeight w:val="315"/>
        </w:trPr>
        <w:tc>
          <w:tcPr>
            <w:tcW w:w="2535" w:type="dxa"/>
            <w:vMerge w:val="restart"/>
            <w:tcBorders>
              <w:top w:val="single" w:sz="12" w:space="0" w:color="auto"/>
              <w:left w:val="single" w:sz="8" w:space="0" w:color="auto"/>
              <w:bottom w:val="nil"/>
              <w:right w:val="single" w:sz="12" w:space="0" w:color="auto"/>
            </w:tcBorders>
          </w:tcPr>
          <w:p w:rsidR="006F19E2" w:rsidRPr="0086233B" w:rsidRDefault="006F19E2" w:rsidP="0086233B">
            <w:pPr>
              <w:spacing w:after="0" w:line="240" w:lineRule="auto"/>
              <w:jc w:val="center"/>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lastRenderedPageBreak/>
              <w:t>Vientiane Municipality</w:t>
            </w:r>
          </w:p>
        </w:tc>
        <w:tc>
          <w:tcPr>
            <w:tcW w:w="1755" w:type="dxa"/>
            <w:tcBorders>
              <w:top w:val="single" w:sz="12"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90% Enrollment</w:t>
            </w:r>
          </w:p>
        </w:tc>
        <w:tc>
          <w:tcPr>
            <w:tcW w:w="2015" w:type="dxa"/>
            <w:tcBorders>
              <w:top w:val="single" w:sz="12"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7071</w:t>
            </w:r>
          </w:p>
        </w:tc>
        <w:tc>
          <w:tcPr>
            <w:tcW w:w="1855" w:type="dxa"/>
            <w:tcBorders>
              <w:top w:val="single" w:sz="12" w:space="0" w:color="auto"/>
              <w:left w:val="single" w:sz="12" w:space="0" w:color="auto"/>
              <w:bottom w:val="single" w:sz="8" w:space="0" w:color="auto"/>
              <w:right w:val="single" w:sz="8"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7247</w:t>
            </w:r>
          </w:p>
        </w:tc>
      </w:tr>
      <w:tr w:rsidR="006F19E2" w:rsidRPr="0086233B" w:rsidTr="007C7E63">
        <w:trPr>
          <w:trHeight w:val="315"/>
        </w:trPr>
        <w:tc>
          <w:tcPr>
            <w:tcW w:w="2535" w:type="dxa"/>
            <w:vMerge/>
            <w:tcBorders>
              <w:top w:val="nil"/>
              <w:left w:val="single" w:sz="8" w:space="0" w:color="auto"/>
              <w:bottom w:val="single" w:sz="12" w:space="0" w:color="auto"/>
              <w:right w:val="single" w:sz="12" w:space="0" w:color="auto"/>
            </w:tcBorders>
            <w:vAlign w:val="center"/>
          </w:tcPr>
          <w:p w:rsidR="006F19E2" w:rsidRPr="0086233B" w:rsidRDefault="006F19E2" w:rsidP="0086233B">
            <w:pPr>
              <w:spacing w:after="0" w:line="240" w:lineRule="auto"/>
              <w:rPr>
                <w:rFonts w:ascii="Calibri" w:eastAsia="SimSun" w:hAnsi="Calibri"/>
                <w:b/>
                <w:bCs/>
                <w:color w:val="333399"/>
                <w:sz w:val="18"/>
                <w:szCs w:val="18"/>
                <w:lang w:eastAsia="zh-CN" w:bidi="lo-LA"/>
              </w:rPr>
            </w:pPr>
          </w:p>
        </w:tc>
        <w:tc>
          <w:tcPr>
            <w:tcW w:w="175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10% out of School</w:t>
            </w:r>
          </w:p>
        </w:tc>
        <w:tc>
          <w:tcPr>
            <w:tcW w:w="201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707</w:t>
            </w:r>
          </w:p>
        </w:tc>
        <w:tc>
          <w:tcPr>
            <w:tcW w:w="1855" w:type="dxa"/>
            <w:tcBorders>
              <w:top w:val="nil"/>
              <w:left w:val="single" w:sz="12" w:space="0" w:color="auto"/>
              <w:bottom w:val="single" w:sz="12" w:space="0" w:color="auto"/>
              <w:right w:val="single" w:sz="8"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725</w:t>
            </w:r>
          </w:p>
        </w:tc>
      </w:tr>
      <w:tr w:rsidR="006F19E2" w:rsidRPr="0086233B" w:rsidTr="007C7E63">
        <w:trPr>
          <w:trHeight w:val="315"/>
        </w:trPr>
        <w:tc>
          <w:tcPr>
            <w:tcW w:w="2535" w:type="dxa"/>
            <w:vMerge w:val="restart"/>
            <w:tcBorders>
              <w:top w:val="single" w:sz="12" w:space="0" w:color="auto"/>
              <w:left w:val="single" w:sz="8" w:space="0" w:color="auto"/>
              <w:bottom w:val="single" w:sz="8" w:space="0" w:color="000000"/>
              <w:right w:val="single" w:sz="12" w:space="0" w:color="auto"/>
            </w:tcBorders>
          </w:tcPr>
          <w:p w:rsidR="006F19E2" w:rsidRPr="0086233B" w:rsidRDefault="006F19E2" w:rsidP="0086233B">
            <w:pPr>
              <w:spacing w:after="0" w:line="240" w:lineRule="auto"/>
              <w:jc w:val="center"/>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Vientiane Province</w:t>
            </w:r>
          </w:p>
        </w:tc>
        <w:tc>
          <w:tcPr>
            <w:tcW w:w="1755" w:type="dxa"/>
            <w:tcBorders>
              <w:top w:val="single" w:sz="12"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90% Enrollment</w:t>
            </w:r>
          </w:p>
        </w:tc>
        <w:tc>
          <w:tcPr>
            <w:tcW w:w="2015" w:type="dxa"/>
            <w:tcBorders>
              <w:top w:val="single" w:sz="12"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5600</w:t>
            </w:r>
          </w:p>
        </w:tc>
        <w:tc>
          <w:tcPr>
            <w:tcW w:w="1855" w:type="dxa"/>
            <w:tcBorders>
              <w:top w:val="single" w:sz="12" w:space="0" w:color="auto"/>
              <w:left w:val="single" w:sz="12" w:space="0" w:color="auto"/>
              <w:bottom w:val="single" w:sz="8" w:space="0" w:color="auto"/>
              <w:right w:val="single" w:sz="8"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5740</w:t>
            </w:r>
          </w:p>
        </w:tc>
      </w:tr>
      <w:tr w:rsidR="006F19E2" w:rsidRPr="0086233B" w:rsidTr="007C7E63">
        <w:trPr>
          <w:trHeight w:val="315"/>
        </w:trPr>
        <w:tc>
          <w:tcPr>
            <w:tcW w:w="2535" w:type="dxa"/>
            <w:vMerge/>
            <w:tcBorders>
              <w:top w:val="single" w:sz="8" w:space="0" w:color="auto"/>
              <w:left w:val="single" w:sz="8" w:space="0" w:color="auto"/>
              <w:bottom w:val="single" w:sz="12" w:space="0" w:color="auto"/>
              <w:right w:val="single" w:sz="12" w:space="0" w:color="auto"/>
            </w:tcBorders>
            <w:vAlign w:val="center"/>
          </w:tcPr>
          <w:p w:rsidR="006F19E2" w:rsidRPr="0086233B" w:rsidRDefault="006F19E2" w:rsidP="0086233B">
            <w:pPr>
              <w:spacing w:after="0" w:line="240" w:lineRule="auto"/>
              <w:rPr>
                <w:rFonts w:ascii="Calibri" w:eastAsia="SimSun" w:hAnsi="Calibri"/>
                <w:b/>
                <w:bCs/>
                <w:color w:val="333399"/>
                <w:sz w:val="18"/>
                <w:szCs w:val="18"/>
                <w:lang w:eastAsia="zh-CN" w:bidi="lo-LA"/>
              </w:rPr>
            </w:pPr>
          </w:p>
        </w:tc>
        <w:tc>
          <w:tcPr>
            <w:tcW w:w="175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10% Out of school</w:t>
            </w:r>
          </w:p>
        </w:tc>
        <w:tc>
          <w:tcPr>
            <w:tcW w:w="201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560</w:t>
            </w:r>
          </w:p>
        </w:tc>
        <w:tc>
          <w:tcPr>
            <w:tcW w:w="1855" w:type="dxa"/>
            <w:tcBorders>
              <w:top w:val="nil"/>
              <w:left w:val="single" w:sz="12" w:space="0" w:color="auto"/>
              <w:bottom w:val="single" w:sz="12" w:space="0" w:color="auto"/>
              <w:right w:val="single" w:sz="8"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574</w:t>
            </w:r>
          </w:p>
        </w:tc>
      </w:tr>
      <w:tr w:rsidR="006F19E2" w:rsidRPr="0086233B" w:rsidTr="007C7E63">
        <w:trPr>
          <w:trHeight w:val="315"/>
        </w:trPr>
        <w:tc>
          <w:tcPr>
            <w:tcW w:w="2535" w:type="dxa"/>
            <w:tcBorders>
              <w:top w:val="single" w:sz="12" w:space="0" w:color="auto"/>
              <w:left w:val="single" w:sz="8"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xml:space="preserve">Total Girls </w:t>
            </w:r>
          </w:p>
        </w:tc>
        <w:tc>
          <w:tcPr>
            <w:tcW w:w="1755" w:type="dxa"/>
            <w:tcBorders>
              <w:top w:val="single" w:sz="12" w:space="0" w:color="auto"/>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single" w:sz="12" w:space="0" w:color="auto"/>
              <w:left w:val="single" w:sz="12" w:space="0" w:color="auto"/>
              <w:bottom w:val="single" w:sz="12" w:space="0" w:color="auto"/>
              <w:right w:val="single" w:sz="12"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13938</w:t>
            </w:r>
          </w:p>
        </w:tc>
        <w:tc>
          <w:tcPr>
            <w:tcW w:w="1855" w:type="dxa"/>
            <w:tcBorders>
              <w:top w:val="single" w:sz="12" w:space="0" w:color="auto"/>
              <w:left w:val="single" w:sz="12" w:space="0" w:color="auto"/>
              <w:bottom w:val="single" w:sz="12" w:space="0" w:color="auto"/>
              <w:right w:val="single" w:sz="8" w:space="0" w:color="auto"/>
            </w:tcBorders>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14286</w:t>
            </w:r>
          </w:p>
        </w:tc>
      </w:tr>
      <w:tr w:rsidR="006F19E2" w:rsidRPr="0086233B" w:rsidTr="007C7E63">
        <w:trPr>
          <w:trHeight w:val="315"/>
        </w:trPr>
        <w:tc>
          <w:tcPr>
            <w:tcW w:w="2535" w:type="dxa"/>
            <w:tcBorders>
              <w:top w:val="single" w:sz="12" w:space="0" w:color="auto"/>
              <w:left w:val="single" w:sz="8"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Number of doses (3 x #girls)</w:t>
            </w:r>
          </w:p>
        </w:tc>
        <w:tc>
          <w:tcPr>
            <w:tcW w:w="1755" w:type="dxa"/>
            <w:tcBorders>
              <w:top w:val="single" w:sz="12" w:space="0" w:color="auto"/>
              <w:left w:val="single" w:sz="12"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single" w:sz="12" w:space="0" w:color="auto"/>
              <w:left w:val="single" w:sz="12" w:space="0" w:color="auto"/>
              <w:bottom w:val="single" w:sz="8" w:space="0" w:color="auto"/>
              <w:right w:val="single" w:sz="12"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41814</w:t>
            </w:r>
          </w:p>
        </w:tc>
        <w:tc>
          <w:tcPr>
            <w:tcW w:w="1855" w:type="dxa"/>
            <w:tcBorders>
              <w:top w:val="single" w:sz="12" w:space="0" w:color="auto"/>
              <w:left w:val="single" w:sz="12" w:space="0" w:color="auto"/>
              <w:bottom w:val="single" w:sz="8" w:space="0" w:color="auto"/>
              <w:right w:val="single" w:sz="8"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42858</w:t>
            </w:r>
          </w:p>
        </w:tc>
      </w:tr>
      <w:tr w:rsidR="006F19E2" w:rsidRPr="0086233B" w:rsidTr="007C7E63">
        <w:trPr>
          <w:trHeight w:val="315"/>
        </w:trPr>
        <w:tc>
          <w:tcPr>
            <w:tcW w:w="2535" w:type="dxa"/>
            <w:tcBorders>
              <w:top w:val="nil"/>
              <w:left w:val="single" w:sz="8"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 wastage</w:t>
            </w:r>
          </w:p>
        </w:tc>
        <w:tc>
          <w:tcPr>
            <w:tcW w:w="1755" w:type="dxa"/>
            <w:tcBorders>
              <w:top w:val="nil"/>
              <w:left w:val="single" w:sz="12" w:space="0" w:color="auto"/>
              <w:bottom w:val="single" w:sz="8"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nil"/>
              <w:left w:val="single" w:sz="12" w:space="0" w:color="auto"/>
              <w:bottom w:val="single" w:sz="8" w:space="0" w:color="auto"/>
              <w:right w:val="single" w:sz="12"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2091</w:t>
            </w:r>
          </w:p>
        </w:tc>
        <w:tc>
          <w:tcPr>
            <w:tcW w:w="1855" w:type="dxa"/>
            <w:tcBorders>
              <w:top w:val="nil"/>
              <w:left w:val="single" w:sz="12" w:space="0" w:color="auto"/>
              <w:bottom w:val="single" w:sz="8" w:space="0" w:color="auto"/>
              <w:right w:val="single" w:sz="8"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2143</w:t>
            </w:r>
          </w:p>
        </w:tc>
      </w:tr>
      <w:tr w:rsidR="006F19E2" w:rsidRPr="0086233B" w:rsidTr="007C7E63">
        <w:trPr>
          <w:trHeight w:val="315"/>
        </w:trPr>
        <w:tc>
          <w:tcPr>
            <w:tcW w:w="2535" w:type="dxa"/>
            <w:tcBorders>
              <w:top w:val="nil"/>
              <w:left w:val="single" w:sz="8"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25% Contingency Buffer</w:t>
            </w:r>
          </w:p>
        </w:tc>
        <w:tc>
          <w:tcPr>
            <w:tcW w:w="1755" w:type="dxa"/>
            <w:tcBorders>
              <w:top w:val="nil"/>
              <w:left w:val="single" w:sz="12" w:space="0" w:color="auto"/>
              <w:bottom w:val="single" w:sz="12" w:space="0" w:color="auto"/>
              <w:right w:val="single" w:sz="12" w:space="0" w:color="auto"/>
            </w:tcBorders>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nil"/>
              <w:left w:val="single" w:sz="12" w:space="0" w:color="auto"/>
              <w:bottom w:val="single" w:sz="12" w:space="0" w:color="auto"/>
              <w:right w:val="single" w:sz="12"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10976</w:t>
            </w:r>
          </w:p>
        </w:tc>
        <w:tc>
          <w:tcPr>
            <w:tcW w:w="1855" w:type="dxa"/>
            <w:tcBorders>
              <w:top w:val="nil"/>
              <w:left w:val="single" w:sz="12" w:space="0" w:color="auto"/>
              <w:bottom w:val="single" w:sz="12" w:space="0" w:color="auto"/>
              <w:right w:val="single" w:sz="8" w:space="0" w:color="auto"/>
            </w:tcBorders>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11250</w:t>
            </w:r>
          </w:p>
        </w:tc>
      </w:tr>
      <w:tr w:rsidR="006F19E2" w:rsidRPr="0086233B" w:rsidTr="007C7E63">
        <w:trPr>
          <w:trHeight w:val="315"/>
        </w:trPr>
        <w:tc>
          <w:tcPr>
            <w:tcW w:w="2535" w:type="dxa"/>
            <w:tcBorders>
              <w:top w:val="single" w:sz="12" w:space="0" w:color="auto"/>
              <w:left w:val="single" w:sz="8" w:space="0" w:color="auto"/>
              <w:bottom w:val="single" w:sz="12" w:space="0" w:color="auto"/>
              <w:right w:val="single" w:sz="12" w:space="0" w:color="auto"/>
            </w:tcBorders>
            <w:shd w:val="clear" w:color="auto" w:fill="FFFF99"/>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xml:space="preserve">Total Dose </w:t>
            </w:r>
            <w:r>
              <w:rPr>
                <w:rFonts w:ascii="Calibri" w:eastAsia="SimSun" w:hAnsi="Calibri"/>
                <w:b/>
                <w:bCs/>
                <w:color w:val="333399"/>
                <w:sz w:val="18"/>
                <w:szCs w:val="18"/>
                <w:lang w:eastAsia="zh-CN" w:bidi="lo-LA"/>
              </w:rPr>
              <w:t>Required</w:t>
            </w:r>
          </w:p>
        </w:tc>
        <w:tc>
          <w:tcPr>
            <w:tcW w:w="1755" w:type="dxa"/>
            <w:tcBorders>
              <w:top w:val="single" w:sz="12" w:space="0" w:color="auto"/>
              <w:left w:val="single" w:sz="12" w:space="0" w:color="auto"/>
              <w:bottom w:val="single" w:sz="12" w:space="0" w:color="auto"/>
              <w:right w:val="single" w:sz="12" w:space="0" w:color="auto"/>
            </w:tcBorders>
            <w:shd w:val="clear" w:color="auto" w:fill="FFFF99"/>
          </w:tcPr>
          <w:p w:rsidR="006F19E2" w:rsidRPr="0086233B" w:rsidRDefault="006F19E2" w:rsidP="0086233B">
            <w:pPr>
              <w:spacing w:after="0" w:line="240" w:lineRule="auto"/>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 </w:t>
            </w:r>
          </w:p>
        </w:tc>
        <w:tc>
          <w:tcPr>
            <w:tcW w:w="2015" w:type="dxa"/>
            <w:tcBorders>
              <w:top w:val="single" w:sz="12" w:space="0" w:color="auto"/>
              <w:left w:val="single" w:sz="12" w:space="0" w:color="auto"/>
              <w:bottom w:val="single" w:sz="12" w:space="0" w:color="auto"/>
              <w:right w:val="single" w:sz="12" w:space="0" w:color="auto"/>
            </w:tcBorders>
            <w:shd w:val="clear" w:color="auto" w:fill="FFFF99"/>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54881</w:t>
            </w:r>
          </w:p>
        </w:tc>
        <w:tc>
          <w:tcPr>
            <w:tcW w:w="1855" w:type="dxa"/>
            <w:tcBorders>
              <w:top w:val="single" w:sz="12" w:space="0" w:color="auto"/>
              <w:left w:val="single" w:sz="12" w:space="0" w:color="auto"/>
              <w:bottom w:val="single" w:sz="12" w:space="0" w:color="auto"/>
              <w:right w:val="single" w:sz="8" w:space="0" w:color="auto"/>
            </w:tcBorders>
            <w:shd w:val="clear" w:color="auto" w:fill="FFFF99"/>
            <w:noWrap/>
            <w:vAlign w:val="bottom"/>
          </w:tcPr>
          <w:p w:rsidR="006F19E2" w:rsidRPr="0086233B" w:rsidRDefault="006F19E2" w:rsidP="0086233B">
            <w:pPr>
              <w:spacing w:after="0" w:line="240" w:lineRule="auto"/>
              <w:jc w:val="right"/>
              <w:rPr>
                <w:rFonts w:ascii="Calibri" w:eastAsia="SimSun" w:hAnsi="Calibri"/>
                <w:b/>
                <w:bCs/>
                <w:color w:val="333399"/>
                <w:sz w:val="18"/>
                <w:szCs w:val="18"/>
                <w:lang w:eastAsia="zh-CN" w:bidi="lo-LA"/>
              </w:rPr>
            </w:pPr>
            <w:r w:rsidRPr="0086233B">
              <w:rPr>
                <w:rFonts w:ascii="Calibri" w:eastAsia="SimSun" w:hAnsi="Calibri"/>
                <w:b/>
                <w:bCs/>
                <w:color w:val="333399"/>
                <w:sz w:val="18"/>
                <w:szCs w:val="18"/>
                <w:lang w:eastAsia="zh-CN" w:bidi="lo-LA"/>
              </w:rPr>
              <w:t>56251</w:t>
            </w:r>
          </w:p>
        </w:tc>
      </w:tr>
    </w:tbl>
    <w:p w:rsidR="006F19E2" w:rsidRDefault="006F19E2" w:rsidP="00632BD2">
      <w:pPr>
        <w:pStyle w:val="NormalWeb"/>
        <w:ind w:left="360"/>
        <w:jc w:val="both"/>
      </w:pPr>
      <w:r>
        <w:rPr>
          <w:rFonts w:ascii="Arial" w:hAnsi="Arial" w:cs="Arial"/>
          <w:b/>
          <w:bCs/>
          <w:sz w:val="22"/>
          <w:szCs w:val="22"/>
          <w:lang w:val="en-GB"/>
        </w:rPr>
        <w:t>3.</w:t>
      </w:r>
      <w:r>
        <w:rPr>
          <w:b/>
          <w:bCs/>
          <w:sz w:val="14"/>
          <w:szCs w:val="14"/>
          <w:lang w:val="en-GB"/>
        </w:rPr>
        <w:t xml:space="preserve">    </w:t>
      </w:r>
      <w:r w:rsidRPr="00967711">
        <w:rPr>
          <w:rFonts w:ascii="Arial" w:hAnsi="Arial" w:cs="Arial"/>
          <w:b/>
          <w:sz w:val="22"/>
          <w:szCs w:val="22"/>
          <w:lang w:val="en-GB"/>
        </w:rPr>
        <w:t xml:space="preserve">Please describe how out of </w:t>
      </w:r>
      <w:proofErr w:type="gramStart"/>
      <w:r w:rsidRPr="00967711">
        <w:rPr>
          <w:rFonts w:ascii="Arial" w:hAnsi="Arial" w:cs="Arial"/>
          <w:b/>
          <w:sz w:val="22"/>
          <w:szCs w:val="22"/>
          <w:lang w:val="en-GB"/>
        </w:rPr>
        <w:t>school girls</w:t>
      </w:r>
      <w:proofErr w:type="gramEnd"/>
      <w:r w:rsidRPr="00967711">
        <w:rPr>
          <w:rFonts w:ascii="Arial" w:hAnsi="Arial" w:cs="Arial"/>
          <w:b/>
          <w:sz w:val="22"/>
          <w:szCs w:val="22"/>
          <w:lang w:val="en-GB"/>
        </w:rPr>
        <w:t xml:space="preserve"> will be reached, what the role is for boys/men in terms of communication and advocacy for vaccine uptake.</w:t>
      </w:r>
    </w:p>
    <w:p w:rsidR="006F19E2" w:rsidRDefault="006F19E2" w:rsidP="00967711">
      <w:pPr>
        <w:jc w:val="both"/>
        <w:rPr>
          <w:rFonts w:ascii="Arial" w:hAnsi="Arial" w:cs="Arial"/>
          <w:sz w:val="20"/>
          <w:szCs w:val="20"/>
        </w:rPr>
      </w:pPr>
      <w:r w:rsidRPr="003F0E9A">
        <w:rPr>
          <w:rFonts w:ascii="Arial" w:hAnsi="Arial" w:cs="Arial"/>
          <w:sz w:val="20"/>
          <w:szCs w:val="20"/>
          <w:lang w:val="en-GB"/>
        </w:rPr>
        <w:t xml:space="preserve">The community will be sensitized </w:t>
      </w:r>
      <w:r>
        <w:rPr>
          <w:rFonts w:ascii="Arial" w:hAnsi="Arial" w:cs="Arial"/>
          <w:sz w:val="20"/>
          <w:szCs w:val="20"/>
          <w:lang w:val="en-GB"/>
        </w:rPr>
        <w:t xml:space="preserve">by a </w:t>
      </w:r>
      <w:r w:rsidRPr="003F0E9A">
        <w:rPr>
          <w:rFonts w:ascii="Arial" w:hAnsi="Arial" w:cs="Arial"/>
          <w:sz w:val="20"/>
          <w:szCs w:val="20"/>
          <w:lang w:val="en-GB"/>
        </w:rPr>
        <w:t xml:space="preserve">strategy </w:t>
      </w:r>
      <w:r>
        <w:rPr>
          <w:rFonts w:ascii="Arial" w:hAnsi="Arial" w:cs="Arial"/>
          <w:sz w:val="20"/>
          <w:szCs w:val="20"/>
          <w:lang w:val="en-GB"/>
        </w:rPr>
        <w:t xml:space="preserve">that </w:t>
      </w:r>
      <w:r w:rsidRPr="003F0E9A">
        <w:rPr>
          <w:rFonts w:ascii="Arial" w:hAnsi="Arial" w:cs="Arial"/>
          <w:sz w:val="20"/>
          <w:szCs w:val="20"/>
          <w:lang w:val="en-GB"/>
        </w:rPr>
        <w:t>has prove</w:t>
      </w:r>
      <w:r>
        <w:rPr>
          <w:rFonts w:ascii="Arial" w:hAnsi="Arial" w:cs="Arial"/>
          <w:sz w:val="20"/>
          <w:szCs w:val="20"/>
          <w:lang w:val="en-GB"/>
        </w:rPr>
        <w:t xml:space="preserve">n to be </w:t>
      </w:r>
      <w:r w:rsidRPr="003F0E9A">
        <w:rPr>
          <w:rFonts w:ascii="Arial" w:hAnsi="Arial" w:cs="Arial"/>
          <w:sz w:val="20"/>
          <w:szCs w:val="20"/>
          <w:lang w:val="en-GB"/>
        </w:rPr>
        <w:t xml:space="preserve">successful for other vaccine campaigns and other health interventions. </w:t>
      </w:r>
      <w:r w:rsidRPr="003F0E9A">
        <w:rPr>
          <w:rFonts w:ascii="Arial" w:hAnsi="Arial" w:cs="Arial"/>
          <w:sz w:val="20"/>
          <w:szCs w:val="20"/>
        </w:rPr>
        <w:t xml:space="preserve">Initial meetings will be held with the National Committee for Mother and Child, the Lao Women’s Union, and the </w:t>
      </w:r>
      <w:proofErr w:type="spellStart"/>
      <w:r w:rsidRPr="003F0E9A">
        <w:rPr>
          <w:rFonts w:ascii="Arial" w:hAnsi="Arial" w:cs="Arial"/>
          <w:sz w:val="20"/>
          <w:szCs w:val="20"/>
        </w:rPr>
        <w:t>MoES</w:t>
      </w:r>
      <w:proofErr w:type="spellEnd"/>
      <w:r w:rsidRPr="003F0E9A">
        <w:rPr>
          <w:rFonts w:ascii="Arial" w:hAnsi="Arial" w:cs="Arial"/>
          <w:sz w:val="20"/>
          <w:szCs w:val="20"/>
        </w:rPr>
        <w:t xml:space="preserve"> and the Ministry of Home Affairs. The Lao Women’s</w:t>
      </w:r>
      <w:r>
        <w:rPr>
          <w:rFonts w:ascii="Arial" w:hAnsi="Arial" w:cs="Arial"/>
          <w:sz w:val="20"/>
          <w:szCs w:val="20"/>
        </w:rPr>
        <w:t xml:space="preserve"> Union is an important stakeholder to assist in raising awareness at community level. The Ministry of Home Affairs will inform the Provincial and District Governors. Provincial and District Mother and Child Committees, which have broad cross-</w:t>
      </w:r>
      <w:proofErr w:type="spellStart"/>
      <w:r>
        <w:rPr>
          <w:rFonts w:ascii="Arial" w:hAnsi="Arial" w:cs="Arial"/>
          <w:sz w:val="20"/>
          <w:szCs w:val="20"/>
        </w:rPr>
        <w:t>sectoral</w:t>
      </w:r>
      <w:proofErr w:type="spellEnd"/>
      <w:r>
        <w:rPr>
          <w:rFonts w:ascii="Arial" w:hAnsi="Arial" w:cs="Arial"/>
          <w:sz w:val="20"/>
          <w:szCs w:val="20"/>
        </w:rPr>
        <w:t xml:space="preserve"> membership, will also be informed. Village leaders and school representatives are represented on the District committees and will raise awareness at Village Development meetings. This information will then be discussed at the household level. At each level, men will be represented on these committees and will therefore play an important role in advocating and communicating the importance of HPV vaccination. </w:t>
      </w:r>
    </w:p>
    <w:p w:rsidR="006F19E2" w:rsidRDefault="006F19E2" w:rsidP="005F3541">
      <w:pPr>
        <w:jc w:val="both"/>
        <w:rPr>
          <w:rFonts w:ascii="Arial" w:hAnsi="Arial" w:cs="Arial"/>
          <w:sz w:val="20"/>
          <w:szCs w:val="20"/>
        </w:rPr>
      </w:pPr>
      <w:r w:rsidRPr="003C0759">
        <w:rPr>
          <w:rFonts w:ascii="Arial" w:hAnsi="Arial" w:cs="Arial"/>
          <w:sz w:val="20"/>
          <w:szCs w:val="20"/>
        </w:rPr>
        <w:t>IEC and BCC</w:t>
      </w:r>
      <w:r>
        <w:rPr>
          <w:rFonts w:ascii="Arial" w:hAnsi="Arial" w:cs="Arial"/>
          <w:sz w:val="20"/>
          <w:szCs w:val="20"/>
        </w:rPr>
        <w:t xml:space="preserve"> materials will be developed and disseminated via schools and health centers. The health centers will co-ordinate the process with local village committees and the schools prior to the school health team’s visit. Health centers will liaise with teachers so that hand written notes can be taken home from school by the children a few days prior to the school team visiting, inviting any eligible out of school girl</w:t>
      </w:r>
      <w:r w:rsidRPr="00347506">
        <w:rPr>
          <w:rFonts w:ascii="Arial" w:hAnsi="Arial" w:cs="Arial"/>
          <w:sz w:val="20"/>
          <w:szCs w:val="20"/>
        </w:rPr>
        <w:t xml:space="preserve"> (including those with a disability) to come </w:t>
      </w:r>
      <w:r>
        <w:rPr>
          <w:rFonts w:ascii="Arial" w:hAnsi="Arial" w:cs="Arial"/>
          <w:sz w:val="20"/>
          <w:szCs w:val="20"/>
        </w:rPr>
        <w:t xml:space="preserve">to school on the day of the </w:t>
      </w:r>
      <w:r w:rsidRPr="00347506">
        <w:rPr>
          <w:rFonts w:ascii="Arial" w:hAnsi="Arial" w:cs="Arial"/>
          <w:sz w:val="20"/>
          <w:szCs w:val="20"/>
        </w:rPr>
        <w:t>team’s visit</w:t>
      </w:r>
      <w:r>
        <w:rPr>
          <w:rFonts w:ascii="Arial" w:hAnsi="Arial" w:cs="Arial"/>
          <w:sz w:val="20"/>
          <w:szCs w:val="20"/>
        </w:rPr>
        <w:t xml:space="preserve"> for HPV vaccination</w:t>
      </w:r>
      <w:r w:rsidRPr="00347506">
        <w:rPr>
          <w:rFonts w:ascii="Arial" w:hAnsi="Arial" w:cs="Arial"/>
          <w:sz w:val="20"/>
          <w:szCs w:val="20"/>
        </w:rPr>
        <w:t xml:space="preserve">. In addition, </w:t>
      </w:r>
      <w:r>
        <w:rPr>
          <w:rFonts w:ascii="Arial" w:hAnsi="Arial" w:cs="Arial"/>
          <w:sz w:val="20"/>
          <w:szCs w:val="20"/>
        </w:rPr>
        <w:t xml:space="preserve">the health </w:t>
      </w:r>
      <w:proofErr w:type="spellStart"/>
      <w:r>
        <w:rPr>
          <w:rFonts w:ascii="Arial" w:hAnsi="Arial" w:cs="Arial"/>
          <w:sz w:val="20"/>
          <w:szCs w:val="20"/>
        </w:rPr>
        <w:t>centre</w:t>
      </w:r>
      <w:proofErr w:type="spellEnd"/>
      <w:r>
        <w:rPr>
          <w:rFonts w:ascii="Arial" w:hAnsi="Arial" w:cs="Arial"/>
          <w:sz w:val="20"/>
          <w:szCs w:val="20"/>
        </w:rPr>
        <w:t xml:space="preserve"> staff will liaise with village leaders so that they can inform villagers and thereby assist in arranging for eligible girls to receive vaccine offered at school.  </w:t>
      </w:r>
    </w:p>
    <w:p w:rsidR="006F19E2" w:rsidRPr="003F0E9A" w:rsidRDefault="006F19E2" w:rsidP="003F0E9A">
      <w:pPr>
        <w:jc w:val="both"/>
        <w:rPr>
          <w:rFonts w:ascii="Arial" w:hAnsi="Arial" w:cs="Arial"/>
          <w:sz w:val="20"/>
          <w:szCs w:val="20"/>
        </w:rPr>
      </w:pPr>
      <w:r>
        <w:rPr>
          <w:rFonts w:ascii="Arial" w:hAnsi="Arial" w:cs="Arial"/>
          <w:sz w:val="20"/>
          <w:szCs w:val="20"/>
        </w:rPr>
        <w:t>In addition, it is normal immunization practice in Lao PDR for EPI to be delivered by</w:t>
      </w:r>
      <w:r w:rsidRPr="00347506">
        <w:rPr>
          <w:rFonts w:ascii="Arial" w:hAnsi="Arial" w:cs="Arial"/>
          <w:sz w:val="20"/>
          <w:szCs w:val="20"/>
        </w:rPr>
        <w:t xml:space="preserve"> outreach and mobile teams via 4 annual rounds.</w:t>
      </w:r>
      <w:r>
        <w:rPr>
          <w:rFonts w:ascii="Arial" w:hAnsi="Arial" w:cs="Arial"/>
          <w:sz w:val="20"/>
          <w:szCs w:val="20"/>
        </w:rPr>
        <w:t xml:space="preserve"> The health </w:t>
      </w:r>
      <w:proofErr w:type="spellStart"/>
      <w:r>
        <w:rPr>
          <w:rFonts w:ascii="Arial" w:hAnsi="Arial" w:cs="Arial"/>
          <w:sz w:val="20"/>
          <w:szCs w:val="20"/>
        </w:rPr>
        <w:t>centre</w:t>
      </w:r>
      <w:proofErr w:type="spellEnd"/>
      <w:r>
        <w:rPr>
          <w:rFonts w:ascii="Arial" w:hAnsi="Arial" w:cs="Arial"/>
          <w:sz w:val="20"/>
          <w:szCs w:val="20"/>
        </w:rPr>
        <w:t xml:space="preserve"> staff will liaise with village leaders so that they can inform villagers and thereby assist in arranging for eligible girls to receive vaccine offered by the mobile teams.  Any eligible girl who missed her vaccination at school can receive her HPV vaccine via these teams. Immunization lists kept by the health </w:t>
      </w:r>
      <w:proofErr w:type="spellStart"/>
      <w:r>
        <w:rPr>
          <w:rFonts w:ascii="Arial" w:hAnsi="Arial" w:cs="Arial"/>
          <w:sz w:val="20"/>
          <w:szCs w:val="20"/>
        </w:rPr>
        <w:t>centre</w:t>
      </w:r>
      <w:proofErr w:type="spellEnd"/>
      <w:r>
        <w:rPr>
          <w:rFonts w:ascii="Arial" w:hAnsi="Arial" w:cs="Arial"/>
          <w:sz w:val="20"/>
          <w:szCs w:val="20"/>
        </w:rPr>
        <w:t xml:space="preserve"> staff will keep a record of girls vaccinated and when they are due for subsequent doses.</w:t>
      </w:r>
    </w:p>
    <w:p w:rsidR="006F19E2" w:rsidRDefault="006F19E2" w:rsidP="00BB15B7">
      <w:pPr>
        <w:pStyle w:val="NormalWeb"/>
        <w:ind w:left="360"/>
        <w:jc w:val="both"/>
        <w:rPr>
          <w:rFonts w:ascii="Arial" w:hAnsi="Arial" w:cs="Arial"/>
          <w:b/>
          <w:sz w:val="22"/>
          <w:szCs w:val="22"/>
          <w:lang w:val="en-GB"/>
        </w:rPr>
      </w:pPr>
      <w:r>
        <w:rPr>
          <w:rFonts w:ascii="Arial" w:hAnsi="Arial" w:cs="Arial"/>
          <w:b/>
          <w:sz w:val="22"/>
          <w:szCs w:val="22"/>
          <w:lang w:val="en-GB"/>
        </w:rPr>
        <w:t xml:space="preserve">4. </w:t>
      </w:r>
      <w:r w:rsidRPr="00967711">
        <w:rPr>
          <w:rFonts w:ascii="Arial" w:hAnsi="Arial" w:cs="Arial"/>
          <w:b/>
          <w:sz w:val="22"/>
          <w:szCs w:val="22"/>
          <w:lang w:val="en-GB"/>
        </w:rPr>
        <w:t>Please clarify whether the feasibility assessment of adolescent interventions will include examining all currently implemented interventions (and possibly some that are not currently implemented) or specific interventions such as TT or deworming activities and whether the country is proposing to test integration of interventions in Year 2.</w:t>
      </w:r>
    </w:p>
    <w:p w:rsidR="006F19E2" w:rsidRPr="003F0E9A" w:rsidRDefault="006F19E2" w:rsidP="003F0E9A">
      <w:pPr>
        <w:pStyle w:val="NormalWeb"/>
        <w:jc w:val="both"/>
        <w:rPr>
          <w:sz w:val="20"/>
          <w:szCs w:val="20"/>
        </w:rPr>
      </w:pPr>
      <w:r>
        <w:rPr>
          <w:rFonts w:ascii="Arial" w:hAnsi="Arial" w:cs="Arial"/>
          <w:sz w:val="20"/>
          <w:szCs w:val="20"/>
          <w:lang w:val="en-GB"/>
        </w:rPr>
        <w:lastRenderedPageBreak/>
        <w:t>T</w:t>
      </w:r>
      <w:r w:rsidRPr="003F0E9A">
        <w:rPr>
          <w:rFonts w:ascii="Arial" w:hAnsi="Arial" w:cs="Arial"/>
          <w:sz w:val="20"/>
          <w:szCs w:val="20"/>
          <w:lang w:val="en-GB"/>
        </w:rPr>
        <w:t xml:space="preserve">he feasibility assessment of adolescent interventions will include examining all currently implemented interventions (and possibly some that are not currently implemented) </w:t>
      </w:r>
      <w:r>
        <w:rPr>
          <w:rFonts w:ascii="Arial" w:hAnsi="Arial" w:cs="Arial"/>
          <w:sz w:val="20"/>
          <w:szCs w:val="20"/>
          <w:lang w:val="en-GB"/>
        </w:rPr>
        <w:t>and Lao PDR is proposing to test this i</w:t>
      </w:r>
      <w:r w:rsidRPr="003F0E9A">
        <w:rPr>
          <w:rFonts w:ascii="Arial" w:hAnsi="Arial" w:cs="Arial"/>
          <w:sz w:val="20"/>
          <w:szCs w:val="20"/>
          <w:lang w:val="en-GB"/>
        </w:rPr>
        <w:t>ntegration of interventions in Year 2.</w:t>
      </w:r>
    </w:p>
    <w:p w:rsidR="006F19E2" w:rsidRDefault="006F19E2" w:rsidP="00632BD2">
      <w:pPr>
        <w:pStyle w:val="NormalWeb"/>
        <w:ind w:left="360"/>
        <w:jc w:val="both"/>
        <w:rPr>
          <w:rFonts w:ascii="Arial" w:hAnsi="Arial" w:cs="Arial"/>
          <w:b/>
          <w:sz w:val="22"/>
          <w:szCs w:val="22"/>
          <w:lang w:val="en-GB"/>
        </w:rPr>
      </w:pPr>
      <w:r>
        <w:rPr>
          <w:rFonts w:ascii="Arial" w:hAnsi="Arial" w:cs="Arial"/>
          <w:b/>
          <w:bCs/>
          <w:sz w:val="22"/>
          <w:szCs w:val="22"/>
          <w:lang w:val="en-GB"/>
        </w:rPr>
        <w:t>5.</w:t>
      </w:r>
      <w:r>
        <w:rPr>
          <w:b/>
          <w:bCs/>
          <w:sz w:val="14"/>
          <w:szCs w:val="14"/>
          <w:lang w:val="en-GB"/>
        </w:rPr>
        <w:t xml:space="preserve">    </w:t>
      </w:r>
      <w:r w:rsidRPr="00967711">
        <w:rPr>
          <w:rFonts w:ascii="Arial" w:hAnsi="Arial" w:cs="Arial"/>
          <w:b/>
          <w:sz w:val="22"/>
          <w:szCs w:val="22"/>
          <w:lang w:val="en-GB"/>
        </w:rPr>
        <w:t>Neither vaccine is licensed in Lao PDR. Please confirm the vaccine can be imported.</w:t>
      </w:r>
    </w:p>
    <w:p w:rsidR="006F19E2" w:rsidRDefault="006F19E2" w:rsidP="00595F7F">
      <w:pPr>
        <w:pStyle w:val="yiv1193177666msonormal"/>
        <w:rPr>
          <w:rFonts w:ascii="Arial" w:hAnsi="Arial" w:cs="Arial"/>
          <w:sz w:val="20"/>
          <w:szCs w:val="20"/>
          <w:lang w:val="en-GB" w:eastAsia="en-US" w:bidi="ar-SA"/>
        </w:rPr>
      </w:pPr>
      <w:r w:rsidRPr="00595F7F">
        <w:rPr>
          <w:rFonts w:ascii="Arial" w:hAnsi="Arial" w:cs="Arial"/>
          <w:sz w:val="20"/>
          <w:szCs w:val="20"/>
          <w:lang w:val="en-GB" w:eastAsia="en-US" w:bidi="ar-SA"/>
        </w:rPr>
        <w:t xml:space="preserve">According to </w:t>
      </w:r>
      <w:r>
        <w:rPr>
          <w:rFonts w:ascii="Arial" w:hAnsi="Arial" w:cs="Arial"/>
          <w:sz w:val="20"/>
          <w:szCs w:val="20"/>
          <w:lang w:val="en-GB" w:eastAsia="en-US" w:bidi="ar-SA"/>
        </w:rPr>
        <w:t xml:space="preserve">the </w:t>
      </w:r>
      <w:r w:rsidRPr="00595F7F">
        <w:rPr>
          <w:rFonts w:ascii="Arial" w:hAnsi="Arial" w:cs="Arial"/>
          <w:sz w:val="20"/>
          <w:szCs w:val="20"/>
          <w:lang w:val="en-GB" w:eastAsia="en-US" w:bidi="ar-SA"/>
        </w:rPr>
        <w:t>Drug Law and regulation on Drug regis</w:t>
      </w:r>
      <w:r>
        <w:rPr>
          <w:rFonts w:ascii="Arial" w:hAnsi="Arial" w:cs="Arial"/>
          <w:sz w:val="20"/>
          <w:szCs w:val="20"/>
          <w:lang w:val="en-GB" w:eastAsia="en-US" w:bidi="ar-SA"/>
        </w:rPr>
        <w:t xml:space="preserve">tration for donated drugs, Lao PDR </w:t>
      </w:r>
      <w:r w:rsidRPr="00595F7F">
        <w:rPr>
          <w:rFonts w:ascii="Arial" w:hAnsi="Arial" w:cs="Arial"/>
          <w:sz w:val="20"/>
          <w:szCs w:val="20"/>
          <w:lang w:val="en-GB" w:eastAsia="en-US" w:bidi="ar-SA"/>
        </w:rPr>
        <w:t>follow</w:t>
      </w:r>
      <w:r>
        <w:rPr>
          <w:rFonts w:ascii="Arial" w:hAnsi="Arial" w:cs="Arial"/>
          <w:sz w:val="20"/>
          <w:szCs w:val="20"/>
          <w:lang w:val="en-GB" w:eastAsia="en-US" w:bidi="ar-SA"/>
        </w:rPr>
        <w:t>s</w:t>
      </w:r>
      <w:r w:rsidRPr="00595F7F">
        <w:rPr>
          <w:rFonts w:ascii="Arial" w:hAnsi="Arial" w:cs="Arial"/>
          <w:sz w:val="20"/>
          <w:szCs w:val="20"/>
          <w:lang w:val="en-GB" w:eastAsia="en-US" w:bidi="ar-SA"/>
        </w:rPr>
        <w:t xml:space="preserve"> </w:t>
      </w:r>
      <w:r>
        <w:rPr>
          <w:rFonts w:ascii="Arial" w:hAnsi="Arial" w:cs="Arial"/>
          <w:sz w:val="20"/>
          <w:szCs w:val="20"/>
          <w:lang w:val="en-GB" w:eastAsia="en-US" w:bidi="ar-SA"/>
        </w:rPr>
        <w:t xml:space="preserve">the </w:t>
      </w:r>
      <w:r w:rsidRPr="00595F7F">
        <w:rPr>
          <w:rFonts w:ascii="Arial" w:hAnsi="Arial" w:cs="Arial"/>
          <w:sz w:val="20"/>
          <w:szCs w:val="20"/>
          <w:lang w:val="en-GB" w:eastAsia="en-US" w:bidi="ar-SA"/>
        </w:rPr>
        <w:t xml:space="preserve">notice No 1189/FDD if </w:t>
      </w:r>
      <w:r>
        <w:rPr>
          <w:rFonts w:ascii="Arial" w:hAnsi="Arial" w:cs="Arial"/>
          <w:sz w:val="20"/>
          <w:szCs w:val="20"/>
          <w:lang w:val="en-GB" w:eastAsia="en-US" w:bidi="ar-SA"/>
        </w:rPr>
        <w:t xml:space="preserve">the </w:t>
      </w:r>
      <w:r w:rsidRPr="00595F7F">
        <w:rPr>
          <w:rFonts w:ascii="Arial" w:hAnsi="Arial" w:cs="Arial"/>
          <w:sz w:val="20"/>
          <w:szCs w:val="20"/>
          <w:lang w:val="en-GB" w:eastAsia="en-US" w:bidi="ar-SA"/>
        </w:rPr>
        <w:t xml:space="preserve">product </w:t>
      </w:r>
      <w:r>
        <w:rPr>
          <w:rFonts w:ascii="Arial" w:hAnsi="Arial" w:cs="Arial"/>
          <w:sz w:val="20"/>
          <w:szCs w:val="20"/>
          <w:lang w:val="en-GB" w:eastAsia="en-US" w:bidi="ar-SA"/>
        </w:rPr>
        <w:t xml:space="preserve">is not yet prequalified by </w:t>
      </w:r>
      <w:proofErr w:type="gramStart"/>
      <w:r>
        <w:rPr>
          <w:rFonts w:ascii="Arial" w:hAnsi="Arial" w:cs="Arial"/>
          <w:sz w:val="20"/>
          <w:szCs w:val="20"/>
          <w:lang w:val="en-GB" w:eastAsia="en-US" w:bidi="ar-SA"/>
        </w:rPr>
        <w:t>WHO</w:t>
      </w:r>
      <w:proofErr w:type="gramEnd"/>
      <w:r>
        <w:rPr>
          <w:rFonts w:ascii="Arial" w:hAnsi="Arial" w:cs="Arial"/>
          <w:sz w:val="20"/>
          <w:szCs w:val="20"/>
          <w:lang w:val="en-GB" w:eastAsia="en-US" w:bidi="ar-SA"/>
        </w:rPr>
        <w:t xml:space="preserve">. Registration of HPV vaccine will </w:t>
      </w:r>
      <w:proofErr w:type="gramStart"/>
      <w:r w:rsidRPr="00595F7F">
        <w:rPr>
          <w:rFonts w:ascii="Arial" w:hAnsi="Arial" w:cs="Arial"/>
          <w:sz w:val="20"/>
          <w:szCs w:val="20"/>
          <w:lang w:val="en-GB" w:eastAsia="en-US" w:bidi="ar-SA"/>
        </w:rPr>
        <w:t>follow  th</w:t>
      </w:r>
      <w:r>
        <w:rPr>
          <w:rFonts w:ascii="Arial" w:hAnsi="Arial" w:cs="Arial"/>
          <w:sz w:val="20"/>
          <w:szCs w:val="20"/>
          <w:lang w:val="en-GB" w:eastAsia="en-US" w:bidi="ar-SA"/>
        </w:rPr>
        <w:t>is</w:t>
      </w:r>
      <w:proofErr w:type="gramEnd"/>
      <w:r>
        <w:rPr>
          <w:rFonts w:ascii="Arial" w:hAnsi="Arial" w:cs="Arial"/>
          <w:sz w:val="20"/>
          <w:szCs w:val="20"/>
          <w:lang w:val="en-GB" w:eastAsia="en-US" w:bidi="ar-SA"/>
        </w:rPr>
        <w:t xml:space="preserve"> formal process of registration. However</w:t>
      </w:r>
      <w:r w:rsidRPr="00595F7F">
        <w:rPr>
          <w:rFonts w:ascii="Arial" w:hAnsi="Arial" w:cs="Arial"/>
          <w:sz w:val="20"/>
          <w:szCs w:val="20"/>
          <w:lang w:val="en-GB" w:eastAsia="en-US" w:bidi="ar-SA"/>
        </w:rPr>
        <w:t xml:space="preserve">, </w:t>
      </w:r>
      <w:r>
        <w:rPr>
          <w:rFonts w:ascii="Arial" w:hAnsi="Arial" w:cs="Arial"/>
          <w:sz w:val="20"/>
          <w:szCs w:val="20"/>
          <w:lang w:val="en-GB" w:eastAsia="en-US" w:bidi="ar-SA"/>
        </w:rPr>
        <w:t xml:space="preserve">if there is an </w:t>
      </w:r>
      <w:r w:rsidRPr="00595F7F">
        <w:rPr>
          <w:rFonts w:ascii="Arial" w:hAnsi="Arial" w:cs="Arial"/>
          <w:sz w:val="20"/>
          <w:szCs w:val="20"/>
          <w:lang w:val="en-GB" w:eastAsia="en-US" w:bidi="ar-SA"/>
        </w:rPr>
        <w:t>urgen</w:t>
      </w:r>
      <w:r>
        <w:rPr>
          <w:rFonts w:ascii="Arial" w:hAnsi="Arial" w:cs="Arial"/>
          <w:sz w:val="20"/>
          <w:szCs w:val="20"/>
          <w:lang w:val="en-GB" w:eastAsia="en-US" w:bidi="ar-SA"/>
        </w:rPr>
        <w:t>t need</w:t>
      </w:r>
      <w:r w:rsidRPr="00595F7F">
        <w:rPr>
          <w:rFonts w:ascii="Arial" w:hAnsi="Arial" w:cs="Arial"/>
          <w:sz w:val="20"/>
          <w:szCs w:val="20"/>
          <w:lang w:val="en-GB" w:eastAsia="en-US" w:bidi="ar-SA"/>
        </w:rPr>
        <w:t xml:space="preserve">, the FDD can </w:t>
      </w:r>
      <w:proofErr w:type="spellStart"/>
      <w:r>
        <w:rPr>
          <w:rFonts w:ascii="Arial" w:hAnsi="Arial" w:cs="Arial"/>
          <w:sz w:val="20"/>
          <w:szCs w:val="20"/>
          <w:lang w:val="en-GB" w:eastAsia="en-US" w:bidi="ar-SA"/>
        </w:rPr>
        <w:t>expediate</w:t>
      </w:r>
      <w:proofErr w:type="spellEnd"/>
      <w:r>
        <w:rPr>
          <w:rFonts w:ascii="Arial" w:hAnsi="Arial" w:cs="Arial"/>
          <w:sz w:val="20"/>
          <w:szCs w:val="20"/>
          <w:lang w:val="en-GB" w:eastAsia="en-US" w:bidi="ar-SA"/>
        </w:rPr>
        <w:t xml:space="preserve"> the registration </w:t>
      </w:r>
      <w:proofErr w:type="spellStart"/>
      <w:r w:rsidRPr="00595F7F">
        <w:rPr>
          <w:rFonts w:ascii="Arial" w:hAnsi="Arial" w:cs="Arial"/>
          <w:sz w:val="20"/>
          <w:szCs w:val="20"/>
          <w:lang w:val="en-GB" w:eastAsia="en-US" w:bidi="ar-SA"/>
        </w:rPr>
        <w:t>process</w:t>
      </w:r>
      <w:r>
        <w:rPr>
          <w:rFonts w:ascii="Arial" w:hAnsi="Arial" w:cs="Arial"/>
          <w:sz w:val="20"/>
          <w:szCs w:val="20"/>
          <w:lang w:val="en-GB" w:eastAsia="en-US" w:bidi="ar-SA"/>
        </w:rPr>
        <w:t>as</w:t>
      </w:r>
      <w:proofErr w:type="spellEnd"/>
      <w:r>
        <w:rPr>
          <w:rFonts w:ascii="Arial" w:hAnsi="Arial" w:cs="Arial"/>
          <w:sz w:val="20"/>
          <w:szCs w:val="20"/>
          <w:lang w:val="en-GB" w:eastAsia="en-US" w:bidi="ar-SA"/>
        </w:rPr>
        <w:t xml:space="preserve"> required</w:t>
      </w:r>
      <w:r w:rsidRPr="00595F7F">
        <w:rPr>
          <w:rFonts w:ascii="Arial" w:hAnsi="Arial" w:cs="Arial"/>
          <w:sz w:val="20"/>
          <w:szCs w:val="20"/>
          <w:lang w:val="en-GB" w:eastAsia="en-US" w:bidi="ar-SA"/>
        </w:rPr>
        <w:t>.</w:t>
      </w:r>
    </w:p>
    <w:p w:rsidR="006F19E2" w:rsidRDefault="006F19E2" w:rsidP="00595F7F">
      <w:pPr>
        <w:pStyle w:val="yiv1193177666msonormal"/>
        <w:rPr>
          <w:rFonts w:ascii="Arial" w:hAnsi="Arial" w:cs="Arial"/>
          <w:sz w:val="20"/>
          <w:szCs w:val="20"/>
          <w:lang w:val="en-GB" w:eastAsia="en-US" w:bidi="ar-SA"/>
        </w:rPr>
      </w:pPr>
      <w:r>
        <w:rPr>
          <w:rFonts w:ascii="Arial" w:hAnsi="Arial" w:cs="Arial"/>
          <w:sz w:val="20"/>
          <w:szCs w:val="20"/>
          <w:lang w:val="en-GB" w:eastAsia="en-US" w:bidi="ar-SA"/>
        </w:rPr>
        <w:t>If the drugs are WHO prequalified (such as GAVI vaccines) the process becomes much simpler and drugs are approved and register without major complications. A</w:t>
      </w:r>
      <w:r w:rsidRPr="00190307">
        <w:rPr>
          <w:rFonts w:ascii="Arial" w:hAnsi="Arial" w:cs="Arial"/>
          <w:sz w:val="20"/>
          <w:szCs w:val="20"/>
          <w:lang w:val="en-GB" w:eastAsia="en-US" w:bidi="ar-SA"/>
        </w:rPr>
        <w:t>ll GAVI donated vaccines in the past have been fast tracked an</w:t>
      </w:r>
      <w:r>
        <w:rPr>
          <w:rFonts w:ascii="Arial" w:hAnsi="Arial" w:cs="Arial"/>
          <w:sz w:val="20"/>
          <w:szCs w:val="20"/>
          <w:lang w:val="en-GB" w:eastAsia="en-US" w:bidi="ar-SA"/>
        </w:rPr>
        <w:t xml:space="preserve">d other new vaccines such as MR; also donated </w:t>
      </w:r>
      <w:proofErr w:type="gramStart"/>
      <w:r w:rsidRPr="00190307">
        <w:rPr>
          <w:rFonts w:ascii="Arial" w:hAnsi="Arial" w:cs="Arial"/>
          <w:sz w:val="20"/>
          <w:szCs w:val="20"/>
          <w:lang w:val="en-GB" w:eastAsia="en-US" w:bidi="ar-SA"/>
        </w:rPr>
        <w:t>A(</w:t>
      </w:r>
      <w:proofErr w:type="gramEnd"/>
      <w:r w:rsidRPr="00190307">
        <w:rPr>
          <w:rFonts w:ascii="Arial" w:hAnsi="Arial" w:cs="Arial"/>
          <w:sz w:val="20"/>
          <w:szCs w:val="20"/>
          <w:lang w:val="en-GB" w:eastAsia="en-US" w:bidi="ar-SA"/>
        </w:rPr>
        <w:t>H1N1) and seasonal influenza have also been fast tracked then permitted by the government.</w:t>
      </w:r>
    </w:p>
    <w:p w:rsidR="006F19E2" w:rsidRPr="00595F7F" w:rsidRDefault="006F19E2" w:rsidP="00595F7F">
      <w:pPr>
        <w:pStyle w:val="yiv1193177666msonormal"/>
        <w:rPr>
          <w:rFonts w:ascii="Arial" w:hAnsi="Arial" w:cs="Arial"/>
          <w:sz w:val="20"/>
          <w:szCs w:val="20"/>
          <w:lang w:val="en-GB" w:eastAsia="en-US" w:bidi="ar-SA"/>
        </w:rPr>
      </w:pPr>
      <w:r>
        <w:rPr>
          <w:rFonts w:ascii="Arial" w:hAnsi="Arial" w:cs="Arial"/>
          <w:sz w:val="20"/>
          <w:szCs w:val="20"/>
          <w:lang w:val="en-GB" w:eastAsia="en-US" w:bidi="ar-SA"/>
        </w:rPr>
        <w:t>But in any case the following documents need to be presented:</w:t>
      </w:r>
    </w:p>
    <w:p w:rsidR="006F19E2" w:rsidRPr="00595F7F" w:rsidRDefault="006F19E2" w:rsidP="00595F7F">
      <w:pPr>
        <w:pStyle w:val="yiv1193177666msolistparagraph"/>
        <w:rPr>
          <w:rFonts w:ascii="Arial" w:hAnsi="Arial" w:cs="Arial"/>
          <w:sz w:val="20"/>
          <w:szCs w:val="20"/>
          <w:lang w:val="en-GB" w:eastAsia="en-US" w:bidi="ar-SA"/>
        </w:rPr>
      </w:pPr>
      <w:r w:rsidRPr="00595F7F">
        <w:rPr>
          <w:rFonts w:ascii="Arial" w:hAnsi="Arial" w:cs="Arial"/>
          <w:sz w:val="20"/>
          <w:szCs w:val="20"/>
          <w:lang w:val="en-GB" w:eastAsia="en-US" w:bidi="ar-SA"/>
        </w:rPr>
        <w:t>-</w:t>
      </w:r>
      <w:r>
        <w:rPr>
          <w:rFonts w:ascii="Arial" w:hAnsi="Arial" w:cs="Arial"/>
          <w:sz w:val="20"/>
          <w:szCs w:val="20"/>
          <w:lang w:val="en-GB" w:eastAsia="en-US" w:bidi="ar-SA"/>
        </w:rPr>
        <w:t> </w:t>
      </w:r>
      <w:r w:rsidRPr="00595F7F">
        <w:rPr>
          <w:rFonts w:ascii="Arial" w:hAnsi="Arial" w:cs="Arial"/>
          <w:sz w:val="20"/>
          <w:szCs w:val="20"/>
          <w:lang w:val="en-GB" w:eastAsia="en-US" w:bidi="ar-SA"/>
        </w:rPr>
        <w:t>GMP certificate</w:t>
      </w:r>
    </w:p>
    <w:p w:rsidR="006F19E2" w:rsidRPr="00595F7F" w:rsidRDefault="006F19E2" w:rsidP="00595F7F">
      <w:pPr>
        <w:pStyle w:val="yiv1193177666msolistparagraph"/>
        <w:rPr>
          <w:rFonts w:ascii="Arial" w:hAnsi="Arial" w:cs="Arial"/>
          <w:sz w:val="20"/>
          <w:szCs w:val="20"/>
          <w:lang w:val="en-GB" w:eastAsia="en-US" w:bidi="ar-SA"/>
        </w:rPr>
      </w:pPr>
      <w:r w:rsidRPr="00595F7F">
        <w:rPr>
          <w:rFonts w:ascii="Arial" w:hAnsi="Arial" w:cs="Arial"/>
          <w:sz w:val="20"/>
          <w:szCs w:val="20"/>
          <w:lang w:val="en-GB" w:eastAsia="en-US" w:bidi="ar-SA"/>
        </w:rPr>
        <w:t>-</w:t>
      </w:r>
      <w:r>
        <w:rPr>
          <w:rFonts w:ascii="Arial" w:hAnsi="Arial" w:cs="Arial"/>
          <w:sz w:val="20"/>
          <w:szCs w:val="20"/>
          <w:lang w:val="en-GB" w:eastAsia="en-US" w:bidi="ar-SA"/>
        </w:rPr>
        <w:t> </w:t>
      </w:r>
      <w:r w:rsidRPr="00595F7F">
        <w:rPr>
          <w:rFonts w:ascii="Arial" w:hAnsi="Arial" w:cs="Arial"/>
          <w:sz w:val="20"/>
          <w:szCs w:val="20"/>
          <w:lang w:val="en-GB" w:eastAsia="en-US" w:bidi="ar-SA"/>
        </w:rPr>
        <w:t>Certificate of analysis</w:t>
      </w:r>
    </w:p>
    <w:p w:rsidR="006F19E2" w:rsidRPr="00595F7F" w:rsidRDefault="006F19E2" w:rsidP="00595F7F">
      <w:pPr>
        <w:pStyle w:val="yiv1193177666msolistparagraph"/>
        <w:rPr>
          <w:rFonts w:ascii="Arial" w:hAnsi="Arial" w:cs="Arial"/>
          <w:sz w:val="20"/>
          <w:szCs w:val="20"/>
          <w:lang w:val="en-GB" w:eastAsia="en-US" w:bidi="ar-SA"/>
        </w:rPr>
      </w:pPr>
      <w:r>
        <w:rPr>
          <w:rFonts w:ascii="Arial" w:hAnsi="Arial" w:cs="Arial"/>
          <w:sz w:val="20"/>
          <w:szCs w:val="20"/>
          <w:lang w:val="en-GB" w:eastAsia="en-US" w:bidi="ar-SA"/>
        </w:rPr>
        <w:t>- </w:t>
      </w:r>
      <w:r w:rsidRPr="00595F7F">
        <w:rPr>
          <w:rFonts w:ascii="Arial" w:hAnsi="Arial" w:cs="Arial"/>
          <w:sz w:val="20"/>
          <w:szCs w:val="20"/>
          <w:lang w:val="en-GB" w:eastAsia="en-US" w:bidi="ar-SA"/>
        </w:rPr>
        <w:t xml:space="preserve">Certificate of Drug Registration </w:t>
      </w:r>
    </w:p>
    <w:p w:rsidR="006F19E2" w:rsidRPr="00201363" w:rsidRDefault="006F19E2" w:rsidP="00201363">
      <w:pPr>
        <w:pStyle w:val="yiv1193177666msolistparagraph"/>
        <w:rPr>
          <w:rFonts w:ascii="Arial" w:hAnsi="Arial" w:cs="Arial"/>
          <w:sz w:val="20"/>
          <w:szCs w:val="20"/>
          <w:lang w:val="en-GB" w:eastAsia="en-US" w:bidi="ar-SA"/>
        </w:rPr>
      </w:pPr>
      <w:r w:rsidRPr="00201363">
        <w:rPr>
          <w:rFonts w:ascii="Arial" w:hAnsi="Arial" w:cs="Arial"/>
          <w:sz w:val="20"/>
          <w:szCs w:val="20"/>
          <w:lang w:val="en-GB" w:eastAsia="en-US" w:bidi="ar-SA"/>
        </w:rPr>
        <w:t>-</w:t>
      </w:r>
      <w:r>
        <w:rPr>
          <w:rFonts w:ascii="Arial" w:hAnsi="Arial" w:cs="Arial"/>
          <w:sz w:val="20"/>
          <w:szCs w:val="20"/>
          <w:lang w:val="en-GB" w:eastAsia="en-US" w:bidi="ar-SA"/>
        </w:rPr>
        <w:t>  </w:t>
      </w:r>
      <w:r w:rsidRPr="00201363">
        <w:rPr>
          <w:rFonts w:ascii="Arial" w:hAnsi="Arial" w:cs="Arial"/>
          <w:sz w:val="20"/>
          <w:szCs w:val="20"/>
          <w:lang w:val="en-GB" w:eastAsia="en-US" w:bidi="ar-SA"/>
        </w:rPr>
        <w:t xml:space="preserve">Quality Document </w:t>
      </w:r>
    </w:p>
    <w:p w:rsidR="006F19E2" w:rsidRDefault="006F19E2"/>
    <w:sectPr w:rsidR="006F19E2" w:rsidSect="0045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59"/>
    <w:family w:val="auto"/>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513"/>
    <w:multiLevelType w:val="hybridMultilevel"/>
    <w:tmpl w:val="C93CA2C6"/>
    <w:lvl w:ilvl="0" w:tplc="632294E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D2"/>
    <w:rsid w:val="000A5BC6"/>
    <w:rsid w:val="001262C1"/>
    <w:rsid w:val="00190307"/>
    <w:rsid w:val="001E2C3C"/>
    <w:rsid w:val="00201363"/>
    <w:rsid w:val="00254B6E"/>
    <w:rsid w:val="002761BD"/>
    <w:rsid w:val="002832C4"/>
    <w:rsid w:val="002B2606"/>
    <w:rsid w:val="00347506"/>
    <w:rsid w:val="003B46C9"/>
    <w:rsid w:val="003C0759"/>
    <w:rsid w:val="003C382D"/>
    <w:rsid w:val="003C7750"/>
    <w:rsid w:val="003F0E9A"/>
    <w:rsid w:val="004501D6"/>
    <w:rsid w:val="004F6227"/>
    <w:rsid w:val="00501FE4"/>
    <w:rsid w:val="005108E3"/>
    <w:rsid w:val="00515726"/>
    <w:rsid w:val="00595F7F"/>
    <w:rsid w:val="005F3541"/>
    <w:rsid w:val="00632BD2"/>
    <w:rsid w:val="006A316C"/>
    <w:rsid w:val="006A7604"/>
    <w:rsid w:val="006F19E2"/>
    <w:rsid w:val="007C7E63"/>
    <w:rsid w:val="007D2F29"/>
    <w:rsid w:val="007E630E"/>
    <w:rsid w:val="008473FD"/>
    <w:rsid w:val="0086233B"/>
    <w:rsid w:val="008B2E9D"/>
    <w:rsid w:val="008F529A"/>
    <w:rsid w:val="00902769"/>
    <w:rsid w:val="00924484"/>
    <w:rsid w:val="00967711"/>
    <w:rsid w:val="00A54FA4"/>
    <w:rsid w:val="00A56C4D"/>
    <w:rsid w:val="00A5795C"/>
    <w:rsid w:val="00A90273"/>
    <w:rsid w:val="00A96B2F"/>
    <w:rsid w:val="00AF2951"/>
    <w:rsid w:val="00BB15B7"/>
    <w:rsid w:val="00BD69E3"/>
    <w:rsid w:val="00BE3025"/>
    <w:rsid w:val="00C50564"/>
    <w:rsid w:val="00C84140"/>
    <w:rsid w:val="00CE7257"/>
    <w:rsid w:val="00D53D77"/>
    <w:rsid w:val="00D95C9A"/>
    <w:rsid w:val="00E775CD"/>
    <w:rsid w:val="00E77C75"/>
    <w:rsid w:val="00F441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GB"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D6"/>
    <w:pPr>
      <w:spacing w:after="200" w:line="276" w:lineRule="auto"/>
    </w:pPr>
    <w:rPr>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32BD2"/>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rsid w:val="0096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711"/>
    <w:rPr>
      <w:rFonts w:ascii="Tahoma" w:hAnsi="Tahoma" w:cs="Tahoma"/>
      <w:sz w:val="16"/>
      <w:szCs w:val="16"/>
    </w:rPr>
  </w:style>
  <w:style w:type="paragraph" w:styleId="PlainText">
    <w:name w:val="Plain Text"/>
    <w:basedOn w:val="Normal"/>
    <w:link w:val="PlainTextChar"/>
    <w:uiPriority w:val="99"/>
    <w:semiHidden/>
    <w:rsid w:val="005F3541"/>
    <w:pPr>
      <w:spacing w:before="100" w:beforeAutospacing="1" w:after="100" w:afterAutospacing="1" w:line="240" w:lineRule="auto"/>
    </w:pPr>
    <w:rPr>
      <w:rFonts w:eastAsia="Times New Roman"/>
      <w:szCs w:val="24"/>
    </w:rPr>
  </w:style>
  <w:style w:type="character" w:customStyle="1" w:styleId="PlainTextChar">
    <w:name w:val="Plain Text Char"/>
    <w:basedOn w:val="DefaultParagraphFont"/>
    <w:link w:val="PlainText"/>
    <w:uiPriority w:val="99"/>
    <w:semiHidden/>
    <w:locked/>
    <w:rsid w:val="005F3541"/>
    <w:rPr>
      <w:rFonts w:eastAsia="Times New Roman" w:cs="Times New Roman"/>
      <w:sz w:val="24"/>
      <w:szCs w:val="24"/>
    </w:rPr>
  </w:style>
  <w:style w:type="paragraph" w:customStyle="1" w:styleId="yiv1193177666msonormal">
    <w:name w:val="yiv1193177666msonormal"/>
    <w:basedOn w:val="Normal"/>
    <w:uiPriority w:val="99"/>
    <w:rsid w:val="00595F7F"/>
    <w:pPr>
      <w:spacing w:before="100" w:beforeAutospacing="1" w:after="100" w:afterAutospacing="1" w:line="240" w:lineRule="auto"/>
    </w:pPr>
    <w:rPr>
      <w:rFonts w:eastAsia="SimSun"/>
      <w:szCs w:val="24"/>
      <w:lang w:eastAsia="zh-CN" w:bidi="lo-LA"/>
    </w:rPr>
  </w:style>
  <w:style w:type="paragraph" w:customStyle="1" w:styleId="yiv1193177666msolistparagraph">
    <w:name w:val="yiv1193177666msolistparagraph"/>
    <w:basedOn w:val="Normal"/>
    <w:uiPriority w:val="99"/>
    <w:rsid w:val="00595F7F"/>
    <w:pPr>
      <w:spacing w:before="100" w:beforeAutospacing="1" w:after="100" w:afterAutospacing="1" w:line="240" w:lineRule="auto"/>
    </w:pPr>
    <w:rPr>
      <w:rFonts w:eastAsia="SimSun"/>
      <w:szCs w:val="24"/>
      <w:lang w:eastAsia="zh-CN" w:bidi="lo-L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GB"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D6"/>
    <w:pPr>
      <w:spacing w:after="200" w:line="276" w:lineRule="auto"/>
    </w:pPr>
    <w:rPr>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32BD2"/>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rsid w:val="0096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711"/>
    <w:rPr>
      <w:rFonts w:ascii="Tahoma" w:hAnsi="Tahoma" w:cs="Tahoma"/>
      <w:sz w:val="16"/>
      <w:szCs w:val="16"/>
    </w:rPr>
  </w:style>
  <w:style w:type="paragraph" w:styleId="PlainText">
    <w:name w:val="Plain Text"/>
    <w:basedOn w:val="Normal"/>
    <w:link w:val="PlainTextChar"/>
    <w:uiPriority w:val="99"/>
    <w:semiHidden/>
    <w:rsid w:val="005F3541"/>
    <w:pPr>
      <w:spacing w:before="100" w:beforeAutospacing="1" w:after="100" w:afterAutospacing="1" w:line="240" w:lineRule="auto"/>
    </w:pPr>
    <w:rPr>
      <w:rFonts w:eastAsia="Times New Roman"/>
      <w:szCs w:val="24"/>
    </w:rPr>
  </w:style>
  <w:style w:type="character" w:customStyle="1" w:styleId="PlainTextChar">
    <w:name w:val="Plain Text Char"/>
    <w:basedOn w:val="DefaultParagraphFont"/>
    <w:link w:val="PlainText"/>
    <w:uiPriority w:val="99"/>
    <w:semiHidden/>
    <w:locked/>
    <w:rsid w:val="005F3541"/>
    <w:rPr>
      <w:rFonts w:eastAsia="Times New Roman" w:cs="Times New Roman"/>
      <w:sz w:val="24"/>
      <w:szCs w:val="24"/>
    </w:rPr>
  </w:style>
  <w:style w:type="paragraph" w:customStyle="1" w:styleId="yiv1193177666msonormal">
    <w:name w:val="yiv1193177666msonormal"/>
    <w:basedOn w:val="Normal"/>
    <w:uiPriority w:val="99"/>
    <w:rsid w:val="00595F7F"/>
    <w:pPr>
      <w:spacing w:before="100" w:beforeAutospacing="1" w:after="100" w:afterAutospacing="1" w:line="240" w:lineRule="auto"/>
    </w:pPr>
    <w:rPr>
      <w:rFonts w:eastAsia="SimSun"/>
      <w:szCs w:val="24"/>
      <w:lang w:eastAsia="zh-CN" w:bidi="lo-LA"/>
    </w:rPr>
  </w:style>
  <w:style w:type="paragraph" w:customStyle="1" w:styleId="yiv1193177666msolistparagraph">
    <w:name w:val="yiv1193177666msolistparagraph"/>
    <w:basedOn w:val="Normal"/>
    <w:uiPriority w:val="99"/>
    <w:rsid w:val="00595F7F"/>
    <w:pPr>
      <w:spacing w:before="100" w:beforeAutospacing="1" w:after="100" w:afterAutospacing="1" w:line="240" w:lineRule="auto"/>
    </w:pPr>
    <w:rPr>
      <w:rFonts w:eastAsia="SimSun"/>
      <w:szCs w:val="24"/>
      <w:lang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38759">
      <w:marLeft w:val="0"/>
      <w:marRight w:val="0"/>
      <w:marTop w:val="0"/>
      <w:marBottom w:val="0"/>
      <w:divBdr>
        <w:top w:val="none" w:sz="0" w:space="0" w:color="auto"/>
        <w:left w:val="none" w:sz="0" w:space="0" w:color="auto"/>
        <w:bottom w:val="none" w:sz="0" w:space="0" w:color="auto"/>
        <w:right w:val="none" w:sz="0" w:space="0" w:color="auto"/>
      </w:divBdr>
    </w:div>
    <w:div w:id="1436438760">
      <w:marLeft w:val="0"/>
      <w:marRight w:val="0"/>
      <w:marTop w:val="0"/>
      <w:marBottom w:val="0"/>
      <w:divBdr>
        <w:top w:val="none" w:sz="0" w:space="0" w:color="auto"/>
        <w:left w:val="none" w:sz="0" w:space="0" w:color="auto"/>
        <w:bottom w:val="none" w:sz="0" w:space="0" w:color="auto"/>
        <w:right w:val="none" w:sz="0" w:space="0" w:color="auto"/>
      </w:divBdr>
    </w:div>
    <w:div w:id="143643876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5941</Characters>
  <Application>Microsoft Macintosh Word</Application>
  <DocSecurity>0</DocSecurity>
  <Lines>49</Lines>
  <Paragraphs>13</Paragraphs>
  <ScaleCrop>false</ScaleCrop>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Fiona</dc:creator>
  <cp:keywords/>
  <dc:description/>
  <cp:lastModifiedBy>Mac</cp:lastModifiedBy>
  <cp:revision>2</cp:revision>
  <dcterms:created xsi:type="dcterms:W3CDTF">2012-12-19T08:52:00Z</dcterms:created>
  <dcterms:modified xsi:type="dcterms:W3CDTF">2012-12-19T08:52:00Z</dcterms:modified>
</cp:coreProperties>
</file>