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99" w:rsidRDefault="00B97BDB" w:rsidP="00052899">
      <w:pPr>
        <w:ind w:left="360"/>
        <w:jc w:val="center"/>
        <w:rPr>
          <w:rFonts w:cs="Arial"/>
        </w:rPr>
      </w:pPr>
      <w:r w:rsidRPr="00B97BDB">
        <w:rPr>
          <w:rFonts w:cs="Arial"/>
          <w:noProof/>
        </w:rPr>
        <w:pict>
          <v:rect id="Rectangle 2" o:spid="_x0000_s1514" style="position:absolute;left:0;text-align:left;margin-left:-74.5pt;margin-top:-37.35pt;width:619pt;height:197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" fillcolor="#006460" stroked="f">
            <v:fill opacity="32113f"/>
          </v:rect>
        </w:pict>
      </w:r>
      <w:r w:rsidRPr="00B97BD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8" type="#_x0000_t75" style="position:absolute;left:0;text-align:left;margin-left:-35.95pt;margin-top:-7.95pt;width:157.65pt;height:67.3pt;z-index:-251618816;mso-width-relative:margin;mso-height-relative:margin">
            <v:imagedata r:id="rId7" o:title="GAVI White"/>
          </v:shape>
        </w:pict>
      </w:r>
    </w:p>
    <w:p w:rsidR="00052899" w:rsidRDefault="00052899" w:rsidP="00052899">
      <w:pPr>
        <w:ind w:left="360"/>
        <w:jc w:val="center"/>
        <w:rPr>
          <w:rFonts w:cs="Arial"/>
        </w:rPr>
      </w:pPr>
    </w:p>
    <w:p w:rsidR="00052899" w:rsidRPr="00613E76" w:rsidRDefault="00052899" w:rsidP="00052899">
      <w:pPr>
        <w:ind w:left="360"/>
        <w:jc w:val="center"/>
        <w:rPr>
          <w:rFonts w:cs="Arial"/>
        </w:rPr>
      </w:pPr>
    </w:p>
    <w:p w:rsidR="00052899" w:rsidRPr="00613E76" w:rsidRDefault="00B97BDB" w:rsidP="00052899">
      <w:pPr>
        <w:rPr>
          <w:rFonts w:cs="Arial"/>
        </w:rPr>
      </w:pPr>
      <w:r w:rsidRPr="00B97BDB">
        <w:rPr>
          <w:rFonts w:cs="Arial"/>
          <w:noProof/>
        </w:rPr>
        <w:pict>
          <v:shapetype id="_x0000_t202" coordsize="21600,21600" o:spt="202" path="m,l,21600r21600,l21600,xe">
            <v:stroke joinstyle="miter"/>
            <v:path gradientshapeok="t" o:connecttype="rect"/>
          </v:shapetype>
          <v:shape id="Text Box 5" o:spid="_x0000_s1515" type="#_x0000_t202" style="position:absolute;margin-left:-45.95pt;margin-top:9.7pt;width:563.75pt;height:51.3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M0uA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" filled="f" stroked="f">
            <v:textbox style="mso-next-textbox:#Text Box 5">
              <w:txbxContent>
                <w:p w:rsidR="00BF35A8" w:rsidRPr="00F668FD" w:rsidRDefault="00BF35A8" w:rsidP="00052899">
                  <w:pPr>
                    <w:jc w:val="center"/>
                    <w:rPr>
                      <w:rFonts w:cs="Arial"/>
                      <w:b/>
                      <w:color w:val="173E49"/>
                      <w:sz w:val="36"/>
                      <w:szCs w:val="34"/>
                    </w:rPr>
                  </w:pPr>
                </w:p>
                <w:p w:rsidR="00BF35A8" w:rsidRPr="00F668FD" w:rsidRDefault="00BF35A8" w:rsidP="00052899">
                  <w:pPr>
                    <w:jc w:val="center"/>
                    <w:rPr>
                      <w:rFonts w:cs="Arial"/>
                      <w:b/>
                      <w:color w:val="173E49"/>
                      <w:sz w:val="36"/>
                      <w:szCs w:val="34"/>
                    </w:rPr>
                  </w:pPr>
                  <w:r>
                    <w:rPr>
                      <w:rFonts w:cs="Arial"/>
                      <w:b/>
                      <w:color w:val="173E49"/>
                      <w:sz w:val="36"/>
                      <w:szCs w:val="34"/>
                    </w:rPr>
                    <w:t>Health System</w:t>
                  </w:r>
                  <w:r w:rsidRPr="00F668FD">
                    <w:rPr>
                      <w:rFonts w:cs="Arial"/>
                      <w:b/>
                      <w:color w:val="173E49"/>
                      <w:sz w:val="36"/>
                      <w:szCs w:val="34"/>
                    </w:rPr>
                    <w:t xml:space="preserve"> Strengthening (HSS) </w:t>
                  </w:r>
                  <w:r>
                    <w:rPr>
                      <w:rFonts w:cs="Arial"/>
                      <w:b/>
                      <w:color w:val="173E49"/>
                      <w:sz w:val="36"/>
                      <w:szCs w:val="34"/>
                    </w:rPr>
                    <w:t xml:space="preserve">Cash </w:t>
                  </w:r>
                  <w:r w:rsidRPr="00F668FD">
                    <w:rPr>
                      <w:rFonts w:cs="Arial"/>
                      <w:b/>
                      <w:color w:val="173E49"/>
                      <w:sz w:val="36"/>
                      <w:szCs w:val="34"/>
                    </w:rPr>
                    <w:t>Support</w:t>
                  </w:r>
                </w:p>
                <w:p w:rsidR="00BF35A8" w:rsidRPr="007C0EE4" w:rsidRDefault="00BF35A8" w:rsidP="00052899">
                  <w:pPr>
                    <w:rPr>
                      <w:rFonts w:cs="Arial"/>
                      <w:b/>
                      <w:color w:val="215868"/>
                      <w:sz w:val="36"/>
                      <w:szCs w:val="34"/>
                    </w:rPr>
                  </w:pPr>
                </w:p>
                <w:p w:rsidR="00BF35A8" w:rsidRPr="007C0EE4" w:rsidRDefault="00BF35A8" w:rsidP="00052899">
                  <w:pPr>
                    <w:rPr>
                      <w:rFonts w:cs="Arial"/>
                      <w:color w:val="215868"/>
                      <w:sz w:val="32"/>
                    </w:rPr>
                  </w:pPr>
                </w:p>
              </w:txbxContent>
            </v:textbox>
          </v:shape>
        </w:pict>
      </w:r>
    </w:p>
    <w:p w:rsidR="00052899" w:rsidRPr="00613E76" w:rsidRDefault="00052899" w:rsidP="00052899">
      <w:pPr>
        <w:rPr>
          <w:rFonts w:cs="Arial"/>
        </w:rPr>
      </w:pPr>
    </w:p>
    <w:p w:rsidR="00052899" w:rsidRPr="00613E76" w:rsidRDefault="00052899" w:rsidP="00052899">
      <w:pPr>
        <w:rPr>
          <w:rFonts w:cs="Arial"/>
        </w:rPr>
      </w:pPr>
    </w:p>
    <w:p w:rsidR="00052899" w:rsidRPr="00613E76" w:rsidRDefault="00052899" w:rsidP="00052899">
      <w:pPr>
        <w:rPr>
          <w:rFonts w:cs="Arial"/>
        </w:rPr>
      </w:pPr>
    </w:p>
    <w:p w:rsidR="00052899" w:rsidRPr="00613E76" w:rsidRDefault="00052899" w:rsidP="00052899">
      <w:pPr>
        <w:rPr>
          <w:rFonts w:cs="Arial"/>
        </w:rPr>
      </w:pPr>
    </w:p>
    <w:p w:rsidR="00052899" w:rsidRPr="00613E76" w:rsidRDefault="00B97BDB" w:rsidP="00052899">
      <w:pPr>
        <w:rPr>
          <w:rFonts w:cs="Arial"/>
          <w:color w:val="000000"/>
          <w:sz w:val="24"/>
          <w:szCs w:val="24"/>
        </w:rPr>
      </w:pPr>
      <w:bookmarkStart w:id="0" w:name="_Toc278640069"/>
      <w:r w:rsidRPr="00B97BDB">
        <w:rPr>
          <w:rFonts w:cs="Arial"/>
          <w:noProof/>
        </w:rPr>
        <w:pict>
          <v:rect id="Rectangle 6" o:spid="_x0000_s1516" style="position:absolute;margin-left:-63.5pt;margin-top:11.75pt;width:592.85pt;height:23.1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" fillcolor="#006460" stroked="f"/>
        </w:pict>
      </w:r>
    </w:p>
    <w:p w:rsidR="00052899" w:rsidRPr="00613E76" w:rsidRDefault="00B97BDB" w:rsidP="00052899">
      <w:pPr>
        <w:rPr>
          <w:rFonts w:cs="Arial"/>
          <w:color w:val="000000"/>
          <w:sz w:val="24"/>
          <w:szCs w:val="24"/>
        </w:rPr>
      </w:pPr>
      <w:r w:rsidRPr="00B97BDB">
        <w:rPr>
          <w:rFonts w:cs="Arial"/>
          <w:noProof/>
        </w:rPr>
        <w:pict>
          <v:shape id="Text Box 7" o:spid="_x0000_s1517" type="#_x0000_t202" style="position:absolute;margin-left:-57.45pt;margin-top:.55pt;width:575.25pt;height:31.3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" filled="f" stroked="f">
            <v:textbox style="mso-next-textbox:#Text Box 7">
              <w:txbxContent>
                <w:p w:rsidR="00BF35A8" w:rsidRDefault="00BF35A8" w:rsidP="00052899">
                  <w:pPr>
                    <w:jc w:val="center"/>
                    <w:rPr>
                      <w:rFonts w:cs="Arial"/>
                      <w:b/>
                      <w:color w:val="FFFFFF"/>
                      <w:sz w:val="32"/>
                      <w:szCs w:val="34"/>
                    </w:rPr>
                  </w:pPr>
                  <w:r>
                    <w:rPr>
                      <w:rFonts w:cs="Arial"/>
                      <w:b/>
                      <w:color w:val="FFFFFF"/>
                      <w:sz w:val="32"/>
                      <w:szCs w:val="34"/>
                    </w:rPr>
                    <w:t>Application Package –</w:t>
                  </w:r>
                  <w:r w:rsidRPr="009F2F3F">
                    <w:rPr>
                      <w:rFonts w:cs="Arial"/>
                      <w:b/>
                      <w:color w:val="FFFFFF"/>
                      <w:sz w:val="32"/>
                      <w:szCs w:val="34"/>
                    </w:rPr>
                    <w:t xml:space="preserve">Proposal Form </w:t>
                  </w:r>
                </w:p>
                <w:p w:rsidR="00BF35A8" w:rsidRPr="007C0EE4" w:rsidRDefault="00BF35A8" w:rsidP="00052899">
                  <w:pPr>
                    <w:jc w:val="center"/>
                    <w:rPr>
                      <w:rFonts w:cs="Arial"/>
                      <w:b/>
                      <w:color w:val="FFFFFF"/>
                      <w:sz w:val="32"/>
                      <w:szCs w:val="34"/>
                    </w:rPr>
                  </w:pPr>
                </w:p>
              </w:txbxContent>
            </v:textbox>
          </v:shape>
        </w:pict>
      </w:r>
    </w:p>
    <w:p w:rsidR="00052899" w:rsidRPr="00613E76" w:rsidRDefault="00052899" w:rsidP="00052899">
      <w:pPr>
        <w:rPr>
          <w:rFonts w:cs="Arial"/>
          <w:color w:val="000000"/>
          <w:szCs w:val="24"/>
        </w:rPr>
      </w:pPr>
    </w:p>
    <w:p w:rsidR="00052899" w:rsidRPr="00613E76" w:rsidRDefault="00052899" w:rsidP="00052899">
      <w:pPr>
        <w:rPr>
          <w:rFonts w:cs="Arial"/>
          <w:color w:val="000000"/>
          <w:szCs w:val="24"/>
        </w:rPr>
      </w:pPr>
    </w:p>
    <w:p w:rsidR="00052899" w:rsidRDefault="00052899" w:rsidP="00052899">
      <w:pPr>
        <w:jc w:val="both"/>
        <w:rPr>
          <w:rFonts w:cs="Arial"/>
          <w:color w:val="000000"/>
          <w:szCs w:val="22"/>
        </w:rPr>
      </w:pPr>
    </w:p>
    <w:p w:rsidR="00AA6EE2" w:rsidRDefault="00052899" w:rsidP="00052899">
      <w:pPr>
        <w:jc w:val="both"/>
        <w:rPr>
          <w:rFonts w:cs="Arial"/>
          <w:color w:val="000000"/>
          <w:szCs w:val="22"/>
        </w:rPr>
      </w:pPr>
      <w:r w:rsidRPr="00613E76">
        <w:rPr>
          <w:rFonts w:cs="Arial"/>
          <w:color w:val="000000"/>
          <w:szCs w:val="22"/>
        </w:rPr>
        <w:t>This proposal form is for use by applicants seeking to request Health Systems Strengthening (HSS) cash support from the GAVI Alliance.  Countries are encouraged to participate in an iterative process with GAVI Alliance partners, including civil society organisations, in the development of HSS proposals prior to submission of this application for funding.</w:t>
      </w:r>
    </w:p>
    <w:p w:rsidR="00052899" w:rsidRPr="00613E76" w:rsidRDefault="00AA6EE2" w:rsidP="00052899">
      <w:pPr>
        <w:jc w:val="both"/>
        <w:rPr>
          <w:rFonts w:cs="Arial"/>
          <w:color w:val="000000"/>
          <w:szCs w:val="22"/>
        </w:rPr>
      </w:pPr>
      <w:r>
        <w:rPr>
          <w:rFonts w:cs="Arial"/>
          <w:color w:val="000000"/>
          <w:szCs w:val="22"/>
        </w:rPr>
        <w:br w:type="page"/>
      </w:r>
    </w:p>
    <w:p w:rsidR="00052899" w:rsidRPr="00613E76" w:rsidRDefault="00052899" w:rsidP="00052899">
      <w:pPr>
        <w:rPr>
          <w:rFonts w:cs="Arial"/>
          <w:color w:val="000000"/>
          <w:szCs w:val="22"/>
        </w:rPr>
      </w:pPr>
    </w:p>
    <w:tbl>
      <w:tblPr>
        <w:tblW w:w="510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3"/>
      </w:tblGrid>
      <w:tr w:rsidR="00052899" w:rsidRPr="00613E76" w:rsidTr="009236AD">
        <w:trPr>
          <w:trHeight w:val="407"/>
        </w:trPr>
        <w:tc>
          <w:tcPr>
            <w:tcW w:w="5000" w:type="pct"/>
            <w:shd w:val="clear" w:color="auto" w:fill="006460"/>
            <w:vAlign w:val="center"/>
          </w:tcPr>
          <w:p w:rsidR="00052899" w:rsidRPr="00BA6411" w:rsidRDefault="00052899" w:rsidP="00052899">
            <w:pPr>
              <w:pStyle w:val="Heading1"/>
              <w:rPr>
                <w:rFonts w:cs="Arial"/>
                <w:szCs w:val="22"/>
              </w:rPr>
            </w:pPr>
            <w:bookmarkStart w:id="1" w:name="_Toc357677779"/>
            <w:bookmarkStart w:id="2" w:name="_Toc377545189"/>
            <w:r w:rsidRPr="00BA6411">
              <w:rPr>
                <w:rFonts w:cs="Arial"/>
                <w:szCs w:val="22"/>
              </w:rPr>
              <w:t>TABLE OF CONTENTS</w:t>
            </w:r>
            <w:bookmarkEnd w:id="1"/>
            <w:bookmarkEnd w:id="2"/>
          </w:p>
        </w:tc>
      </w:tr>
    </w:tbl>
    <w:bookmarkEnd w:id="0"/>
    <w:p w:rsidR="00052899" w:rsidRPr="00BB1858" w:rsidRDefault="00B97BDB">
      <w:pPr>
        <w:pStyle w:val="TOC1"/>
        <w:tabs>
          <w:tab w:val="right" w:leader="dot" w:pos="9350"/>
        </w:tabs>
        <w:rPr>
          <w:rFonts w:ascii="Arial" w:hAnsi="Arial" w:cs="Arial"/>
          <w:b w:val="0"/>
          <w:bCs w:val="0"/>
          <w:caps w:val="0"/>
          <w:noProof/>
          <w:lang w:val="en-CA" w:eastAsia="en-CA"/>
        </w:rPr>
      </w:pPr>
      <w:r w:rsidRPr="00B97BDB">
        <w:rPr>
          <w:rFonts w:ascii="Arial" w:hAnsi="Arial" w:cs="Arial"/>
          <w:b w:val="0"/>
        </w:rPr>
        <w:fldChar w:fldCharType="begin"/>
      </w:r>
      <w:r w:rsidRPr="00B97BDB">
        <w:rPr>
          <w:rFonts w:ascii="Arial" w:hAnsi="Arial" w:cs="Arial"/>
          <w:b w:val="0"/>
        </w:rPr>
        <w:instrText xml:space="preserve"> TOC \o "1-3" \h \z \u </w:instrText>
      </w:r>
      <w:r w:rsidRPr="00B97BDB">
        <w:rPr>
          <w:rFonts w:ascii="Arial" w:hAnsi="Arial" w:cs="Arial"/>
          <w:b w:val="0"/>
        </w:rPr>
        <w:fldChar w:fldCharType="separate"/>
      </w:r>
      <w:hyperlink w:anchor="_Toc377545189" w:history="1">
        <w:r w:rsidRPr="00B97BDB">
          <w:rPr>
            <w:rStyle w:val="Hyperlink"/>
            <w:rFonts w:ascii="Arial" w:hAnsi="Arial" w:cs="Arial"/>
            <w:b w:val="0"/>
            <w:noProof/>
          </w:rPr>
          <w:t>TABLE OF CONTENTS</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_Toc377545189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2</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190" w:history="1">
        <w:r w:rsidRPr="00B97BDB">
          <w:rPr>
            <w:rStyle w:val="Hyperlink"/>
            <w:rFonts w:ascii="Arial" w:hAnsi="Arial" w:cs="Arial"/>
            <w:b w:val="0"/>
            <w:noProof/>
          </w:rPr>
          <w:t>PART A - SUMMARY OF SUPPORT REQUESTED AND APPLICANT INFORMATION</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_Toc377545190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3</w:t>
        </w:r>
        <w:r w:rsidRPr="00B97BDB">
          <w:rPr>
            <w:rFonts w:ascii="Arial" w:hAnsi="Arial" w:cs="Arial"/>
            <w:b w:val="0"/>
            <w:noProof/>
            <w:webHidden/>
          </w:rPr>
          <w:fldChar w:fldCharType="end"/>
        </w:r>
      </w:hyperlink>
    </w:p>
    <w:p w:rsidR="00052899" w:rsidRPr="00BB1858" w:rsidRDefault="00B97BDB">
      <w:pPr>
        <w:pStyle w:val="TOC2"/>
        <w:tabs>
          <w:tab w:val="right" w:leader="dot" w:pos="9350"/>
        </w:tabs>
        <w:rPr>
          <w:rStyle w:val="Hyperlink"/>
          <w:rFonts w:ascii="Arial" w:hAnsi="Arial" w:cs="Arial"/>
          <w:bCs/>
          <w:caps/>
          <w:smallCaps w:val="0"/>
          <w:noProof/>
        </w:rPr>
      </w:pPr>
      <w:hyperlink w:anchor="_Toc377545191" w:history="1">
        <w:r w:rsidRPr="00B97BDB">
          <w:rPr>
            <w:rStyle w:val="Hyperlink"/>
            <w:rFonts w:ascii="Arial" w:hAnsi="Arial" w:cs="Arial"/>
            <w:noProof/>
          </w:rPr>
          <w:t>1. Applicant Information</w:t>
        </w:r>
        <w:r w:rsidRPr="00B97BDB">
          <w:rPr>
            <w:rFonts w:ascii="Arial" w:hAnsi="Arial" w:cs="Arial"/>
            <w:noProof/>
            <w:webHidden/>
          </w:rPr>
          <w:tab/>
        </w:r>
        <w:r w:rsidRPr="00B97BDB">
          <w:rPr>
            <w:rFonts w:ascii="Arial" w:hAnsi="Arial" w:cs="Arial"/>
            <w:noProof/>
            <w:webHidden/>
          </w:rPr>
          <w:fldChar w:fldCharType="begin"/>
        </w:r>
        <w:r w:rsidRPr="00B97BDB">
          <w:rPr>
            <w:rFonts w:ascii="Arial" w:hAnsi="Arial" w:cs="Arial"/>
            <w:noProof/>
            <w:webHidden/>
          </w:rPr>
          <w:instrText xml:space="preserve"> PAGEREF _Toc377545191 \h </w:instrText>
        </w:r>
        <w:r w:rsidRPr="00B97BDB">
          <w:rPr>
            <w:rFonts w:ascii="Arial" w:hAnsi="Arial" w:cs="Arial"/>
            <w:noProof/>
            <w:webHidden/>
          </w:rPr>
        </w:r>
        <w:r w:rsidRPr="00B97BDB">
          <w:rPr>
            <w:rFonts w:ascii="Arial" w:hAnsi="Arial" w:cs="Arial"/>
            <w:noProof/>
            <w:webHidden/>
          </w:rPr>
          <w:fldChar w:fldCharType="separate"/>
        </w:r>
        <w:r w:rsidRPr="00B97BDB">
          <w:rPr>
            <w:rFonts w:ascii="Arial" w:hAnsi="Arial" w:cs="Arial"/>
            <w:noProof/>
            <w:webHidden/>
          </w:rPr>
          <w:t>3</w:t>
        </w:r>
        <w:r w:rsidRPr="00B97BDB">
          <w:rPr>
            <w:rFonts w:ascii="Arial" w:hAnsi="Arial" w:cs="Arial"/>
            <w:noProof/>
            <w:webHidden/>
          </w:rPr>
          <w:fldChar w:fldCharType="end"/>
        </w:r>
      </w:hyperlink>
    </w:p>
    <w:p w:rsidR="00052899" w:rsidRPr="00BB1858" w:rsidRDefault="00052899" w:rsidP="00052899">
      <w:pPr>
        <w:rPr>
          <w:rFonts w:cs="Arial"/>
          <w:noProof/>
          <w:sz w:val="20"/>
        </w:rPr>
      </w:pPr>
    </w:p>
    <w:p w:rsidR="00052899" w:rsidRPr="00BB1858" w:rsidRDefault="00B97BDB" w:rsidP="00052899">
      <w:pPr>
        <w:rPr>
          <w:rFonts w:cs="Arial"/>
          <w:noProof/>
          <w:sz w:val="20"/>
        </w:rPr>
      </w:pPr>
      <w:r w:rsidRPr="00B97BDB">
        <w:rPr>
          <w:rFonts w:cs="Arial"/>
          <w:noProof/>
          <w:sz w:val="20"/>
        </w:rPr>
        <w:t>2. The Proposal Development Process………………………………………………………………...</w:t>
      </w:r>
      <w:r w:rsidR="00AE409C">
        <w:rPr>
          <w:rFonts w:cs="Arial"/>
          <w:noProof/>
          <w:sz w:val="20"/>
        </w:rPr>
        <w:t>...............</w:t>
      </w:r>
      <w:r w:rsidRPr="00B97BDB">
        <w:rPr>
          <w:rFonts w:cs="Arial"/>
          <w:noProof/>
          <w:sz w:val="20"/>
        </w:rPr>
        <w:t>4</w:t>
      </w:r>
    </w:p>
    <w:p w:rsidR="00052899" w:rsidRPr="00BB1858" w:rsidRDefault="00052899" w:rsidP="00052899">
      <w:pPr>
        <w:rPr>
          <w:rFonts w:cs="Arial"/>
          <w:noProof/>
          <w:sz w:val="20"/>
        </w:rPr>
      </w:pPr>
    </w:p>
    <w:p w:rsidR="00052899" w:rsidRPr="00BB1858" w:rsidRDefault="00B97BDB" w:rsidP="00052899">
      <w:pPr>
        <w:rPr>
          <w:rFonts w:cs="Arial"/>
          <w:noProof/>
          <w:sz w:val="20"/>
        </w:rPr>
      </w:pPr>
      <w:r w:rsidRPr="00B97BDB">
        <w:rPr>
          <w:rFonts w:cs="Arial"/>
          <w:noProof/>
          <w:sz w:val="20"/>
        </w:rPr>
        <w:t>3. EXECUTIVE SUMMARY……………………………………………………………………………</w:t>
      </w:r>
      <w:r w:rsidR="00AE409C">
        <w:rPr>
          <w:rFonts w:cs="Arial"/>
          <w:noProof/>
          <w:sz w:val="20"/>
        </w:rPr>
        <w:t>……………</w:t>
      </w:r>
      <w:r w:rsidRPr="00B97BDB">
        <w:rPr>
          <w:rFonts w:cs="Arial"/>
          <w:noProof/>
          <w:sz w:val="20"/>
        </w:rPr>
        <w:t>7</w:t>
      </w:r>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207" w:history="1">
        <w:r w:rsidRPr="00B97BDB">
          <w:rPr>
            <w:rStyle w:val="Hyperlink"/>
            <w:rFonts w:ascii="Arial" w:eastAsia="Calibri" w:hAnsi="Arial" w:cs="Arial"/>
            <w:b w:val="0"/>
            <w:noProof/>
          </w:rPr>
          <w:t>4. ACRONYMS</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_Toc377545207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9</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208" w:history="1">
        <w:r w:rsidRPr="00B97BDB">
          <w:rPr>
            <w:rStyle w:val="Hyperlink"/>
            <w:rFonts w:ascii="Arial" w:hAnsi="Arial" w:cs="Arial"/>
            <w:b w:val="0"/>
            <w:noProof/>
          </w:rPr>
          <w:t>SITUATIONAL  ANALYSIS</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_Toc377545208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10</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209" w:history="1">
        <w:r w:rsidRPr="00B97BDB">
          <w:rPr>
            <w:rStyle w:val="Hyperlink"/>
            <w:rFonts w:ascii="Arial" w:hAnsi="Arial" w:cs="Arial"/>
            <w:b w:val="0"/>
            <w:noProof/>
          </w:rPr>
          <w:t>5. Key relevant health and health system statistics (3 pages Maximum)</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_Toc377545209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10</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293" w:history="1">
        <w:r w:rsidRPr="00B97BDB">
          <w:rPr>
            <w:rStyle w:val="Hyperlink"/>
            <w:rFonts w:ascii="Arial" w:hAnsi="Arial" w:cs="Arial"/>
            <w:b w:val="0"/>
            <w:noProof/>
          </w:rPr>
          <w:t>5. Key relevant health and health system statistics (3 pages Maximum)</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_Toc377545293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11</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380" w:history="1">
        <w:r w:rsidRPr="00B97BDB">
          <w:rPr>
            <w:rStyle w:val="Hyperlink"/>
            <w:rFonts w:ascii="Arial" w:hAnsi="Arial" w:cs="Arial"/>
            <w:b w:val="0"/>
            <w:noProof/>
          </w:rPr>
          <w:t>6. DESCRIPTION OF THE NATIONAL HEALTH SECTOR</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_Toc377545380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13</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381" w:history="1">
        <w:r w:rsidRPr="00B97BDB">
          <w:rPr>
            <w:rStyle w:val="Hyperlink"/>
            <w:rFonts w:ascii="Arial" w:hAnsi="Arial" w:cs="Arial"/>
            <w:b w:val="0"/>
            <w:noProof/>
          </w:rPr>
          <w:t>7.  NATIONAL HEALTH STRATEGY AND JOINT ASSESSMENT OF NATIONAL HEALTH STRATEGY (JANS)</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_Toc377545381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16</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382" w:history="1">
        <w:r w:rsidRPr="00B97BDB">
          <w:rPr>
            <w:rStyle w:val="Hyperlink"/>
            <w:rFonts w:ascii="Arial" w:hAnsi="Arial" w:cs="Arial"/>
            <w:b w:val="0"/>
            <w:noProof/>
          </w:rPr>
          <w:t>8. MONITORING AND EVALUATION PLAN FOR THE NATIONAL HEALTH PLAN</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_Toc377545382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17</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387" w:history="1">
        <w:r w:rsidRPr="00B97BDB">
          <w:rPr>
            <w:rStyle w:val="Hyperlink"/>
            <w:rFonts w:ascii="Arial" w:hAnsi="Arial" w:cs="Arial"/>
            <w:b w:val="0"/>
            <w:noProof/>
          </w:rPr>
          <w:t>9. HEALTH SYSTEM BOTTLENECKS TO ACHIEVING IMMUNISATION OUTCOMES</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_Toc377545387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18</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388" w:history="1">
        <w:r w:rsidRPr="00B97BDB">
          <w:rPr>
            <w:rStyle w:val="Hyperlink"/>
            <w:rFonts w:ascii="Arial" w:hAnsi="Arial" w:cs="Arial"/>
            <w:b w:val="0"/>
            <w:noProof/>
          </w:rPr>
          <w:t>10.  LESSONS LEARNED AND PAST EXPERIENCE</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_Toc377545388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23</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397" w:history="1">
        <w:r w:rsidRPr="00B97BDB">
          <w:rPr>
            <w:rStyle w:val="Hyperlink"/>
            <w:rFonts w:ascii="Arial" w:hAnsi="Arial" w:cs="Arial"/>
            <w:b w:val="0"/>
            <w:noProof/>
          </w:rPr>
          <w:t>PART D - PROPOSAL DETAILS</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_Toc377545397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25</w:t>
        </w:r>
        <w:r w:rsidRPr="00B97BDB">
          <w:rPr>
            <w:rFonts w:ascii="Arial" w:hAnsi="Arial" w:cs="Arial"/>
            <w:b w:val="0"/>
            <w:noProof/>
            <w:webHidden/>
          </w:rPr>
          <w:fldChar w:fldCharType="end"/>
        </w:r>
      </w:hyperlink>
    </w:p>
    <w:p w:rsidR="00052899" w:rsidRPr="00BB1858" w:rsidRDefault="00B97BDB">
      <w:pPr>
        <w:pStyle w:val="TOC2"/>
        <w:tabs>
          <w:tab w:val="right" w:leader="dot" w:pos="9350"/>
        </w:tabs>
        <w:rPr>
          <w:rFonts w:ascii="Arial" w:hAnsi="Arial" w:cs="Arial"/>
          <w:smallCaps w:val="0"/>
          <w:noProof/>
          <w:lang w:val="en-CA" w:eastAsia="en-CA"/>
        </w:rPr>
      </w:pPr>
      <w:hyperlink w:anchor="_Toc377545398" w:history="1">
        <w:r w:rsidRPr="00B97BDB">
          <w:rPr>
            <w:rStyle w:val="Hyperlink"/>
            <w:rFonts w:ascii="Arial" w:eastAsia="Arial Unicode MS" w:hAnsi="Arial" w:cs="Arial"/>
            <w:noProof/>
          </w:rPr>
          <w:t>11. OBJECTIVES OF THE PROPOSAL</w:t>
        </w:r>
        <w:r w:rsidRPr="00B97BDB">
          <w:rPr>
            <w:rFonts w:ascii="Arial" w:hAnsi="Arial" w:cs="Arial"/>
            <w:noProof/>
            <w:webHidden/>
          </w:rPr>
          <w:tab/>
        </w:r>
        <w:r w:rsidRPr="00B97BDB">
          <w:rPr>
            <w:rFonts w:ascii="Arial" w:hAnsi="Arial" w:cs="Arial"/>
            <w:noProof/>
            <w:webHidden/>
          </w:rPr>
          <w:fldChar w:fldCharType="begin"/>
        </w:r>
        <w:r w:rsidRPr="00B97BDB">
          <w:rPr>
            <w:rFonts w:ascii="Arial" w:hAnsi="Arial" w:cs="Arial"/>
            <w:noProof/>
            <w:webHidden/>
          </w:rPr>
          <w:instrText xml:space="preserve"> PAGEREF _Toc377545398 \h </w:instrText>
        </w:r>
        <w:r w:rsidRPr="00B97BDB">
          <w:rPr>
            <w:rFonts w:ascii="Arial" w:hAnsi="Arial" w:cs="Arial"/>
            <w:noProof/>
            <w:webHidden/>
          </w:rPr>
        </w:r>
        <w:r w:rsidRPr="00B97BDB">
          <w:rPr>
            <w:rFonts w:ascii="Arial" w:hAnsi="Arial" w:cs="Arial"/>
            <w:noProof/>
            <w:webHidden/>
          </w:rPr>
          <w:fldChar w:fldCharType="separate"/>
        </w:r>
        <w:r w:rsidRPr="00B97BDB">
          <w:rPr>
            <w:rFonts w:ascii="Arial" w:hAnsi="Arial" w:cs="Arial"/>
            <w:noProof/>
            <w:webHidden/>
          </w:rPr>
          <w:t>25</w:t>
        </w:r>
        <w:r w:rsidRPr="00B97BDB">
          <w:rPr>
            <w:rFonts w:ascii="Arial" w:hAnsi="Arial" w:cs="Arial"/>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400" w:history="1">
        <w:r w:rsidRPr="00B97BDB">
          <w:rPr>
            <w:rStyle w:val="Hyperlink"/>
            <w:rFonts w:ascii="Arial" w:hAnsi="Arial" w:cs="Arial"/>
            <w:b w:val="0"/>
            <w:noProof/>
          </w:rPr>
          <w:t>12. DESCRIPTION OF ACTIVITIES</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_Toc377545400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27</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401" w:history="1">
        <w:r w:rsidRPr="00B97BDB">
          <w:rPr>
            <w:rStyle w:val="Hyperlink"/>
            <w:rFonts w:ascii="Arial" w:hAnsi="Arial" w:cs="Arial"/>
            <w:b w:val="0"/>
            <w:noProof/>
          </w:rPr>
          <w:t>13. RESULTS CHAIN</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_Toc377545401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29</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402" w:history="1">
        <w:r w:rsidRPr="00B97BDB">
          <w:rPr>
            <w:rStyle w:val="Hyperlink"/>
            <w:rFonts w:ascii="Arial" w:hAnsi="Arial" w:cs="Arial"/>
            <w:b w:val="0"/>
            <w:noProof/>
          </w:rPr>
          <w:t>14. MONITORING &amp; EVALUATION FRAMEWORK</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_Toc377545402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34</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403" w:history="1">
        <w:r w:rsidRPr="00B97BDB">
          <w:rPr>
            <w:rStyle w:val="Hyperlink"/>
            <w:rFonts w:ascii="Arial" w:hAnsi="Arial" w:cs="Arial"/>
            <w:b w:val="0"/>
            <w:noProof/>
          </w:rPr>
          <w:t>PART E – BUDGET, ANALYSIS AND WORKPLAN</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_Toc377545403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36</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404" w:history="1">
        <w:r w:rsidRPr="00B97BDB">
          <w:rPr>
            <w:rStyle w:val="Hyperlink"/>
            <w:rFonts w:ascii="Arial" w:hAnsi="Arial" w:cs="Arial"/>
            <w:b w:val="0"/>
            <w:noProof/>
          </w:rPr>
          <w:t>15. DETAILED BUDGET AND WORKPLAN NARRATIVE</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_Toc377545404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36</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405" w:history="1">
        <w:r w:rsidRPr="00B97BDB">
          <w:rPr>
            <w:rStyle w:val="Hyperlink"/>
            <w:rFonts w:ascii="Arial" w:hAnsi="Arial" w:cs="Arial"/>
            <w:b w:val="0"/>
            <w:noProof/>
          </w:rPr>
          <w:t>16. Gap Analysis &amp; Complementarity</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_Toc377545405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39</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406" w:history="1">
        <w:r w:rsidRPr="00B97BDB">
          <w:rPr>
            <w:rStyle w:val="Hyperlink"/>
            <w:rFonts w:ascii="Arial" w:hAnsi="Arial" w:cs="Arial"/>
            <w:b w:val="0"/>
            <w:noProof/>
          </w:rPr>
          <w:t>17. Sustainability</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_Toc377545406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41</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407" w:history="1">
        <w:r w:rsidRPr="00B97BDB">
          <w:rPr>
            <w:rStyle w:val="Hyperlink"/>
            <w:rFonts w:ascii="Arial" w:hAnsi="Arial" w:cs="Arial"/>
            <w:b w:val="0"/>
            <w:noProof/>
          </w:rPr>
          <w:t>PART F – IMPLEMENTATION ARRANGEMENTS AND RISK MITIGATION</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_Toc377545407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42</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408" w:history="1">
        <w:r w:rsidRPr="00B97BDB">
          <w:rPr>
            <w:rStyle w:val="Hyperlink"/>
            <w:rFonts w:ascii="Arial" w:hAnsi="Arial" w:cs="Arial"/>
            <w:b w:val="0"/>
            <w:noProof/>
          </w:rPr>
          <w:t>18. Implementation Arrangements</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_Toc377545408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42</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409" w:history="1">
        <w:r w:rsidRPr="00B97BDB">
          <w:rPr>
            <w:rStyle w:val="Hyperlink"/>
            <w:rFonts w:ascii="Arial" w:hAnsi="Arial" w:cs="Arial"/>
            <w:b w:val="0"/>
            <w:noProof/>
          </w:rPr>
          <w:t>19. Involvement of CSOs</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_Toc377545409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44</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410" w:history="1">
        <w:r w:rsidRPr="00B97BDB">
          <w:rPr>
            <w:rStyle w:val="Hyperlink"/>
            <w:rFonts w:ascii="Arial" w:hAnsi="Arial" w:cs="Arial"/>
            <w:b w:val="0"/>
            <w:noProof/>
          </w:rPr>
          <w:t>20. Technical Assistance</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_Toc377545410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45</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411" w:history="1">
        <w:r w:rsidRPr="00B97BDB">
          <w:rPr>
            <w:rStyle w:val="Hyperlink"/>
            <w:rFonts w:ascii="Arial" w:hAnsi="Arial" w:cs="Arial"/>
            <w:b w:val="0"/>
            <w:noProof/>
          </w:rPr>
          <w:t>21. Risks and Mitigation Measures</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_Toc377545411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46</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412" w:history="1">
        <w:r w:rsidRPr="00B97BDB">
          <w:rPr>
            <w:rStyle w:val="Hyperlink"/>
            <w:rFonts w:ascii="Arial" w:hAnsi="Arial" w:cs="Arial"/>
            <w:b w:val="0"/>
            <w:noProof/>
          </w:rPr>
          <w:t>22. Financial Management and Procurement Arrangements</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_Toc377545412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49</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413" w:history="1">
        <w:r w:rsidRPr="00B97BDB">
          <w:rPr>
            <w:rStyle w:val="Hyperlink"/>
            <w:rFonts w:ascii="Arial" w:hAnsi="Arial" w:cs="Arial"/>
            <w:b w:val="0"/>
            <w:noProof/>
          </w:rPr>
          <w:t>Annex 1: Roles and responsibilities of key partners (HSCC members and others</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_Toc377545413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53</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414" w:history="1">
        <w:r w:rsidRPr="00B97BDB">
          <w:rPr>
            <w:rStyle w:val="Hyperlink"/>
            <w:rFonts w:ascii="Arial" w:hAnsi="Arial" w:cs="Arial"/>
            <w:b w:val="0"/>
            <w:noProof/>
          </w:rPr>
          <w:t>References</w:t>
        </w:r>
        <w:r w:rsidR="00AE409C">
          <w:rPr>
            <w:rStyle w:val="Hyperlink"/>
            <w:rFonts w:ascii="Arial" w:hAnsi="Arial" w:cs="Arial"/>
            <w:b w:val="0"/>
            <w:noProof/>
          </w:rPr>
          <w:t xml:space="preserve"> of prioritised bottlenecks</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_Toc377545414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55</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415" w:history="1">
        <w:r w:rsidRPr="00B97BDB">
          <w:rPr>
            <w:rStyle w:val="Hyperlink"/>
            <w:rFonts w:ascii="Arial" w:hAnsi="Arial" w:cs="Arial"/>
            <w:b w:val="0"/>
            <w:noProof/>
          </w:rPr>
          <w:t>Annex 2: Trend of sector wide indicators)</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_Toc377545415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63</w:t>
        </w:r>
        <w:r w:rsidRPr="00B97BDB">
          <w:rPr>
            <w:rFonts w:ascii="Arial" w:hAnsi="Arial" w:cs="Arial"/>
            <w:b w:val="0"/>
            <w:noProof/>
            <w:webHidden/>
          </w:rPr>
          <w:fldChar w:fldCharType="end"/>
        </w:r>
      </w:hyperlink>
    </w:p>
    <w:p w:rsidR="00052899" w:rsidRPr="00BB1858" w:rsidRDefault="00B97BDB">
      <w:pPr>
        <w:pStyle w:val="TOC1"/>
        <w:tabs>
          <w:tab w:val="right" w:leader="dot" w:pos="9350"/>
        </w:tabs>
        <w:rPr>
          <w:rFonts w:ascii="Arial" w:hAnsi="Arial" w:cs="Arial"/>
          <w:b w:val="0"/>
          <w:bCs w:val="0"/>
          <w:caps w:val="0"/>
          <w:noProof/>
          <w:lang w:val="en-CA" w:eastAsia="en-CA"/>
        </w:rPr>
      </w:pPr>
      <w:hyperlink w:anchor="_Toc377545417" w:history="1">
        <w:r w:rsidRPr="00B97BDB">
          <w:rPr>
            <w:rStyle w:val="Hyperlink"/>
            <w:rFonts w:ascii="Arial" w:hAnsi="Arial" w:cs="Arial"/>
            <w:b w:val="0"/>
            <w:noProof/>
            <w:shd w:val="clear" w:color="auto" w:fill="008080"/>
          </w:rPr>
          <w:t>SUMMARY OF A COMPLETE APPLICATION</w:t>
        </w:r>
        <w:r w:rsidRPr="00B97BDB">
          <w:rPr>
            <w:rFonts w:ascii="Arial" w:hAnsi="Arial" w:cs="Arial"/>
            <w:b w:val="0"/>
            <w:noProof/>
            <w:webHidden/>
          </w:rPr>
          <w:tab/>
        </w:r>
        <w:r w:rsidRPr="00B97BDB">
          <w:rPr>
            <w:rFonts w:ascii="Arial" w:hAnsi="Arial" w:cs="Arial"/>
            <w:b w:val="0"/>
            <w:noProof/>
            <w:webHidden/>
          </w:rPr>
          <w:fldChar w:fldCharType="begin"/>
        </w:r>
        <w:r w:rsidRPr="00B97BDB">
          <w:rPr>
            <w:rFonts w:ascii="Arial" w:hAnsi="Arial" w:cs="Arial"/>
            <w:b w:val="0"/>
            <w:noProof/>
            <w:webHidden/>
          </w:rPr>
          <w:instrText xml:space="preserve"> PAGEREF _Toc377545417 \h </w:instrText>
        </w:r>
        <w:r w:rsidRPr="00B97BDB">
          <w:rPr>
            <w:rFonts w:ascii="Arial" w:hAnsi="Arial" w:cs="Arial"/>
            <w:b w:val="0"/>
            <w:noProof/>
            <w:webHidden/>
          </w:rPr>
        </w:r>
        <w:r w:rsidRPr="00B97BDB">
          <w:rPr>
            <w:rFonts w:ascii="Arial" w:hAnsi="Arial" w:cs="Arial"/>
            <w:b w:val="0"/>
            <w:noProof/>
            <w:webHidden/>
          </w:rPr>
          <w:fldChar w:fldCharType="separate"/>
        </w:r>
        <w:r w:rsidRPr="00B97BDB">
          <w:rPr>
            <w:rFonts w:ascii="Arial" w:hAnsi="Arial" w:cs="Arial"/>
            <w:b w:val="0"/>
            <w:noProof/>
            <w:webHidden/>
          </w:rPr>
          <w:t>68</w:t>
        </w:r>
        <w:r w:rsidRPr="00B97BDB">
          <w:rPr>
            <w:rFonts w:ascii="Arial" w:hAnsi="Arial" w:cs="Arial"/>
            <w:b w:val="0"/>
            <w:noProof/>
            <w:webHidden/>
          </w:rPr>
          <w:fldChar w:fldCharType="end"/>
        </w:r>
      </w:hyperlink>
    </w:p>
    <w:p w:rsidR="00052899" w:rsidRPr="00BB1858" w:rsidRDefault="00B97BDB">
      <w:pPr>
        <w:rPr>
          <w:rFonts w:cs="Arial"/>
          <w:sz w:val="20"/>
        </w:rPr>
      </w:pPr>
      <w:r w:rsidRPr="00B97BDB">
        <w:rPr>
          <w:rFonts w:cs="Arial"/>
          <w:sz w:val="20"/>
        </w:rPr>
        <w:fldChar w:fldCharType="end"/>
      </w:r>
    </w:p>
    <w:p w:rsidR="00052899" w:rsidRPr="000A7AFB" w:rsidRDefault="00052899" w:rsidP="00F916AC">
      <w:pPr>
        <w:rPr>
          <w:b/>
          <w:sz w:val="24"/>
          <w:lang w:eastAsia="en-US"/>
        </w:rPr>
      </w:pPr>
      <w:bookmarkStart w:id="3" w:name="_Toc372099682"/>
      <w:r>
        <w:rPr>
          <w:b/>
          <w:bCs/>
        </w:rPr>
        <w:br w:type="page"/>
      </w:r>
    </w:p>
    <w:p w:rsidR="00052899" w:rsidRPr="000A7AFB" w:rsidRDefault="00052899" w:rsidP="00052899">
      <w:pPr>
        <w:autoSpaceDE w:val="0"/>
        <w:autoSpaceDN w:val="0"/>
        <w:rPr>
          <w:b/>
          <w:sz w:val="24"/>
        </w:rPr>
      </w:pPr>
    </w:p>
    <w:p w:rsidR="00052899" w:rsidRPr="000A7AFB" w:rsidRDefault="00052899" w:rsidP="00052899">
      <w:pPr>
        <w:autoSpaceDE w:val="0"/>
        <w:autoSpaceDN w:val="0"/>
        <w:rPr>
          <w:b/>
          <w:sz w:val="24"/>
        </w:rPr>
      </w:pPr>
    </w:p>
    <w:p w:rsidR="00052899" w:rsidRDefault="000528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00"/>
        <w:gridCol w:w="6376"/>
      </w:tblGrid>
      <w:tr w:rsidR="00052899" w:rsidRPr="00B40A7C">
        <w:tc>
          <w:tcPr>
            <w:tcW w:w="5000" w:type="pct"/>
            <w:gridSpan w:val="2"/>
            <w:shd w:val="clear" w:color="auto" w:fill="006666"/>
            <w:vAlign w:val="center"/>
          </w:tcPr>
          <w:p w:rsidR="00052899" w:rsidRDefault="00052899">
            <w:pPr>
              <w:pStyle w:val="Heading1"/>
            </w:pPr>
            <w:bookmarkStart w:id="4" w:name="_Toc377545190"/>
            <w:r w:rsidRPr="00291E76">
              <w:t>PART A - SUMMARY OF SUPPORT REQUESTED AND APPLICANT INFORMATION</w:t>
            </w:r>
            <w:bookmarkEnd w:id="4"/>
          </w:p>
          <w:p w:rsidR="00052899" w:rsidRPr="009E3797" w:rsidRDefault="00052899" w:rsidP="00052899"/>
        </w:tc>
      </w:tr>
      <w:tr w:rsidR="00052899" w:rsidRPr="00B40A7C">
        <w:tc>
          <w:tcPr>
            <w:tcW w:w="5000" w:type="pct"/>
            <w:gridSpan w:val="2"/>
            <w:shd w:val="clear" w:color="auto" w:fill="006666"/>
            <w:vAlign w:val="center"/>
          </w:tcPr>
          <w:p w:rsidR="00052899" w:rsidRPr="00B40A7C" w:rsidRDefault="00052899" w:rsidP="00052899">
            <w:pPr>
              <w:pStyle w:val="Heading2"/>
              <w:jc w:val="both"/>
              <w:rPr>
                <w:rFonts w:ascii="Arial" w:hAnsi="Arial" w:cs="Arial"/>
                <w:color w:val="FFFFFF"/>
                <w:sz w:val="22"/>
                <w:szCs w:val="22"/>
              </w:rPr>
            </w:pPr>
            <w:bookmarkStart w:id="5" w:name="_Toc377026002"/>
            <w:bookmarkStart w:id="6" w:name="_Toc377545191"/>
            <w:r w:rsidRPr="00B40A7C">
              <w:rPr>
                <w:rFonts w:ascii="Arial" w:hAnsi="Arial" w:cs="Arial"/>
                <w:color w:val="FFFFFF"/>
                <w:sz w:val="22"/>
                <w:szCs w:val="22"/>
              </w:rPr>
              <w:t>1. Applicant Information</w:t>
            </w:r>
            <w:bookmarkEnd w:id="3"/>
            <w:bookmarkEnd w:id="5"/>
            <w:bookmarkEnd w:id="6"/>
          </w:p>
        </w:tc>
      </w:tr>
      <w:tr w:rsidR="00052899" w:rsidRPr="00B40A7C">
        <w:tc>
          <w:tcPr>
            <w:tcW w:w="1671" w:type="pct"/>
            <w:shd w:val="clear" w:color="auto" w:fill="006460"/>
            <w:vAlign w:val="center"/>
          </w:tcPr>
          <w:p w:rsidR="00052899" w:rsidRPr="00B40A7C" w:rsidRDefault="00052899" w:rsidP="00052899">
            <w:pPr>
              <w:jc w:val="both"/>
              <w:rPr>
                <w:rFonts w:cs="Arial"/>
                <w:b/>
                <w:color w:val="FFFFFF"/>
                <w:szCs w:val="22"/>
              </w:rPr>
            </w:pPr>
            <w:r w:rsidRPr="00B40A7C">
              <w:rPr>
                <w:rFonts w:cs="Arial"/>
                <w:b/>
                <w:color w:val="FFFFFF"/>
                <w:szCs w:val="22"/>
              </w:rPr>
              <w:t>Applicant:</w:t>
            </w:r>
          </w:p>
        </w:tc>
        <w:tc>
          <w:tcPr>
            <w:tcW w:w="3329" w:type="pct"/>
            <w:shd w:val="clear" w:color="auto" w:fill="FFFFFF"/>
          </w:tcPr>
          <w:p w:rsidR="00052899" w:rsidRPr="00B40A7C" w:rsidRDefault="00052899" w:rsidP="00052899">
            <w:pPr>
              <w:pStyle w:val="Body1"/>
              <w:spacing w:before="120" w:after="120"/>
              <w:jc w:val="both"/>
              <w:rPr>
                <w:rFonts w:cs="Arial"/>
                <w:szCs w:val="22"/>
              </w:rPr>
            </w:pPr>
            <w:bookmarkStart w:id="7" w:name="_Toc369498325"/>
            <w:bookmarkStart w:id="8" w:name="_Toc377026003"/>
            <w:bookmarkStart w:id="9" w:name="_Toc377543599"/>
            <w:bookmarkStart w:id="10" w:name="_Toc377545192"/>
            <w:r w:rsidRPr="00B40A7C">
              <w:rPr>
                <w:rFonts w:cs="Arial"/>
                <w:szCs w:val="22"/>
              </w:rPr>
              <w:t>The Ministry of Health (MoH) of the Republic of Ghana</w:t>
            </w:r>
            <w:bookmarkEnd w:id="7"/>
            <w:bookmarkEnd w:id="8"/>
            <w:bookmarkEnd w:id="9"/>
            <w:bookmarkEnd w:id="10"/>
          </w:p>
        </w:tc>
      </w:tr>
      <w:tr w:rsidR="00052899" w:rsidRPr="00B40A7C">
        <w:tc>
          <w:tcPr>
            <w:tcW w:w="1671" w:type="pct"/>
            <w:shd w:val="clear" w:color="auto" w:fill="006460"/>
            <w:vAlign w:val="center"/>
          </w:tcPr>
          <w:p w:rsidR="00052899" w:rsidRPr="00B40A7C" w:rsidRDefault="00052899" w:rsidP="00052899">
            <w:pPr>
              <w:jc w:val="both"/>
              <w:rPr>
                <w:rFonts w:cs="Arial"/>
                <w:b/>
                <w:color w:val="FFFFFF"/>
                <w:szCs w:val="22"/>
              </w:rPr>
            </w:pPr>
            <w:r w:rsidRPr="00B40A7C">
              <w:rPr>
                <w:rFonts w:cs="Arial"/>
                <w:b/>
                <w:color w:val="FFFFFF"/>
                <w:szCs w:val="22"/>
              </w:rPr>
              <w:t>Country:</w:t>
            </w:r>
          </w:p>
        </w:tc>
        <w:tc>
          <w:tcPr>
            <w:tcW w:w="3329" w:type="pct"/>
            <w:shd w:val="clear" w:color="auto" w:fill="FFFFFF"/>
          </w:tcPr>
          <w:p w:rsidR="00052899" w:rsidRPr="00B40A7C" w:rsidRDefault="00052899" w:rsidP="00052899">
            <w:pPr>
              <w:pStyle w:val="Body1"/>
              <w:spacing w:before="120" w:after="120"/>
              <w:jc w:val="both"/>
              <w:rPr>
                <w:rFonts w:cs="Arial"/>
                <w:szCs w:val="22"/>
              </w:rPr>
            </w:pPr>
            <w:bookmarkStart w:id="11" w:name="_Toc369498327"/>
            <w:bookmarkStart w:id="12" w:name="_Toc377026004"/>
            <w:bookmarkStart w:id="13" w:name="_Toc377543600"/>
            <w:bookmarkStart w:id="14" w:name="_Toc377545193"/>
            <w:r w:rsidRPr="00B40A7C">
              <w:rPr>
                <w:rFonts w:cs="Arial"/>
                <w:szCs w:val="22"/>
              </w:rPr>
              <w:t>Ghana</w:t>
            </w:r>
            <w:bookmarkEnd w:id="11"/>
            <w:bookmarkEnd w:id="12"/>
            <w:bookmarkEnd w:id="13"/>
            <w:bookmarkEnd w:id="14"/>
          </w:p>
        </w:tc>
      </w:tr>
      <w:tr w:rsidR="00052899" w:rsidRPr="00B40A7C">
        <w:tc>
          <w:tcPr>
            <w:tcW w:w="1671" w:type="pct"/>
            <w:shd w:val="clear" w:color="auto" w:fill="006460"/>
            <w:vAlign w:val="center"/>
          </w:tcPr>
          <w:p w:rsidR="00052899" w:rsidRPr="00B40A7C" w:rsidRDefault="00052899" w:rsidP="00052899">
            <w:pPr>
              <w:jc w:val="both"/>
              <w:rPr>
                <w:rFonts w:cs="Arial"/>
                <w:b/>
                <w:color w:val="FFFFFF"/>
                <w:szCs w:val="22"/>
              </w:rPr>
            </w:pPr>
            <w:r w:rsidRPr="00B40A7C">
              <w:rPr>
                <w:rFonts w:cs="Arial"/>
                <w:b/>
                <w:color w:val="FFFFFF"/>
                <w:szCs w:val="22"/>
              </w:rPr>
              <w:t>Proposal title:</w:t>
            </w:r>
          </w:p>
        </w:tc>
        <w:tc>
          <w:tcPr>
            <w:tcW w:w="3329" w:type="pct"/>
            <w:shd w:val="clear" w:color="auto" w:fill="FFFFFF"/>
          </w:tcPr>
          <w:p w:rsidR="00052899" w:rsidRPr="00B40A7C" w:rsidRDefault="00052899" w:rsidP="00052899">
            <w:pPr>
              <w:pStyle w:val="Body1"/>
              <w:spacing w:before="120" w:after="120"/>
              <w:jc w:val="both"/>
              <w:rPr>
                <w:rFonts w:cs="Arial"/>
                <w:szCs w:val="22"/>
              </w:rPr>
            </w:pPr>
            <w:bookmarkStart w:id="15" w:name="_Toc369498329"/>
            <w:bookmarkStart w:id="16" w:name="_Toc377026005"/>
            <w:bookmarkStart w:id="17" w:name="_Toc377543601"/>
            <w:bookmarkStart w:id="18" w:name="_Toc377545194"/>
            <w:r w:rsidRPr="00B40A7C">
              <w:rPr>
                <w:rFonts w:cs="Arial"/>
                <w:szCs w:val="22"/>
              </w:rPr>
              <w:t xml:space="preserve">The Health Sector of Ghana Health System Proposal to Global Alliance for Vaccine and </w:t>
            </w:r>
            <w:bookmarkEnd w:id="15"/>
            <w:r w:rsidRPr="00B40A7C">
              <w:rPr>
                <w:rFonts w:cs="Arial"/>
                <w:szCs w:val="22"/>
              </w:rPr>
              <w:t>Immunisation</w:t>
            </w:r>
            <w:bookmarkEnd w:id="16"/>
            <w:bookmarkEnd w:id="17"/>
            <w:bookmarkEnd w:id="18"/>
          </w:p>
        </w:tc>
      </w:tr>
      <w:tr w:rsidR="00052899" w:rsidRPr="00B40A7C">
        <w:tc>
          <w:tcPr>
            <w:tcW w:w="1671" w:type="pct"/>
            <w:shd w:val="clear" w:color="auto" w:fill="006460"/>
            <w:vAlign w:val="center"/>
          </w:tcPr>
          <w:p w:rsidR="00052899" w:rsidRPr="00B40A7C" w:rsidRDefault="00052899" w:rsidP="00052899">
            <w:pPr>
              <w:jc w:val="both"/>
              <w:rPr>
                <w:rFonts w:cs="Arial"/>
                <w:b/>
                <w:color w:val="FFFFFF"/>
                <w:szCs w:val="22"/>
              </w:rPr>
            </w:pPr>
            <w:r w:rsidRPr="00B40A7C">
              <w:rPr>
                <w:rFonts w:cs="Arial"/>
                <w:b/>
                <w:color w:val="FFFFFF"/>
                <w:szCs w:val="22"/>
              </w:rPr>
              <w:t>Proposed start date:</w:t>
            </w:r>
          </w:p>
        </w:tc>
        <w:tc>
          <w:tcPr>
            <w:tcW w:w="3329" w:type="pct"/>
            <w:shd w:val="clear" w:color="auto" w:fill="FFFFFF"/>
          </w:tcPr>
          <w:p w:rsidR="00052899" w:rsidRPr="00B40A7C" w:rsidRDefault="00052899" w:rsidP="00052899">
            <w:pPr>
              <w:pStyle w:val="Body1"/>
              <w:spacing w:before="120" w:after="120"/>
              <w:jc w:val="both"/>
              <w:rPr>
                <w:rFonts w:cs="Arial"/>
                <w:szCs w:val="22"/>
              </w:rPr>
            </w:pPr>
            <w:bookmarkStart w:id="19" w:name="_Toc369498331"/>
            <w:bookmarkStart w:id="20" w:name="_Toc377026006"/>
            <w:bookmarkStart w:id="21" w:name="_Toc377543602"/>
            <w:bookmarkStart w:id="22" w:name="_Toc377545195"/>
            <w:r w:rsidRPr="00B40A7C">
              <w:rPr>
                <w:rFonts w:cs="Arial"/>
                <w:szCs w:val="22"/>
              </w:rPr>
              <w:t>July/2014</w:t>
            </w:r>
            <w:bookmarkEnd w:id="19"/>
            <w:bookmarkEnd w:id="20"/>
            <w:bookmarkEnd w:id="21"/>
            <w:bookmarkEnd w:id="22"/>
          </w:p>
        </w:tc>
      </w:tr>
      <w:tr w:rsidR="00052899" w:rsidRPr="00B40A7C">
        <w:tc>
          <w:tcPr>
            <w:tcW w:w="1671" w:type="pct"/>
            <w:shd w:val="clear" w:color="auto" w:fill="006460"/>
            <w:vAlign w:val="center"/>
          </w:tcPr>
          <w:p w:rsidR="00052899" w:rsidRPr="00B40A7C" w:rsidRDefault="00052899" w:rsidP="00052899">
            <w:pPr>
              <w:jc w:val="both"/>
              <w:rPr>
                <w:rFonts w:cs="Arial"/>
                <w:b/>
                <w:color w:val="FFFFFF"/>
                <w:szCs w:val="22"/>
              </w:rPr>
            </w:pPr>
            <w:r w:rsidRPr="00B40A7C">
              <w:rPr>
                <w:rFonts w:cs="Arial"/>
                <w:b/>
                <w:color w:val="FFFFFF"/>
                <w:szCs w:val="22"/>
              </w:rPr>
              <w:t>Duration of support requested:</w:t>
            </w:r>
          </w:p>
        </w:tc>
        <w:tc>
          <w:tcPr>
            <w:tcW w:w="3329" w:type="pct"/>
            <w:shd w:val="clear" w:color="auto" w:fill="FFFFFF"/>
          </w:tcPr>
          <w:p w:rsidR="00052899" w:rsidRPr="00B40A7C" w:rsidRDefault="00052899" w:rsidP="00052899">
            <w:pPr>
              <w:pStyle w:val="Body1"/>
              <w:spacing w:before="120" w:after="120"/>
              <w:jc w:val="both"/>
              <w:rPr>
                <w:rFonts w:cs="Arial"/>
                <w:szCs w:val="22"/>
              </w:rPr>
            </w:pPr>
            <w:bookmarkStart w:id="23" w:name="_Toc369498333"/>
            <w:bookmarkStart w:id="24" w:name="_Toc377026007"/>
            <w:bookmarkStart w:id="25" w:name="_Toc377543603"/>
            <w:bookmarkStart w:id="26" w:name="_Toc377545196"/>
            <w:r w:rsidRPr="00B40A7C">
              <w:rPr>
                <w:rFonts w:cs="Arial"/>
                <w:szCs w:val="22"/>
              </w:rPr>
              <w:t>Five (5) Years</w:t>
            </w:r>
            <w:bookmarkEnd w:id="23"/>
            <w:bookmarkEnd w:id="24"/>
            <w:bookmarkEnd w:id="25"/>
            <w:bookmarkEnd w:id="26"/>
          </w:p>
        </w:tc>
      </w:tr>
      <w:tr w:rsidR="00052899" w:rsidRPr="00B40A7C">
        <w:trPr>
          <w:trHeight w:val="513"/>
        </w:trPr>
        <w:tc>
          <w:tcPr>
            <w:tcW w:w="1671" w:type="pct"/>
            <w:shd w:val="clear" w:color="auto" w:fill="006460"/>
            <w:vAlign w:val="center"/>
          </w:tcPr>
          <w:p w:rsidR="00052899" w:rsidRPr="00B40A7C" w:rsidRDefault="00052899" w:rsidP="00052899">
            <w:pPr>
              <w:jc w:val="both"/>
              <w:rPr>
                <w:rFonts w:cs="Arial"/>
                <w:b/>
                <w:color w:val="FFFFFF"/>
                <w:szCs w:val="22"/>
              </w:rPr>
            </w:pPr>
            <w:r w:rsidRPr="00B40A7C">
              <w:rPr>
                <w:rFonts w:cs="Arial"/>
                <w:b/>
                <w:color w:val="FFFFFF"/>
                <w:szCs w:val="22"/>
              </w:rPr>
              <w:t>Total funding requested from GAVI:</w:t>
            </w:r>
          </w:p>
        </w:tc>
        <w:tc>
          <w:tcPr>
            <w:tcW w:w="3329" w:type="pct"/>
            <w:shd w:val="clear" w:color="auto" w:fill="auto"/>
          </w:tcPr>
          <w:p w:rsidR="00052899" w:rsidRPr="00B40A7C" w:rsidRDefault="00642AAD" w:rsidP="00052899">
            <w:pPr>
              <w:pStyle w:val="Body1"/>
              <w:spacing w:before="120"/>
              <w:jc w:val="both"/>
              <w:rPr>
                <w:rFonts w:cs="Arial"/>
                <w:szCs w:val="22"/>
              </w:rPr>
            </w:pPr>
            <w:bookmarkStart w:id="27" w:name="_Toc377026008"/>
            <w:bookmarkStart w:id="28" w:name="_Toc377543604"/>
            <w:bookmarkStart w:id="29" w:name="_Toc377545197"/>
            <w:r>
              <w:rPr>
                <w:rFonts w:cs="Arial"/>
                <w:szCs w:val="22"/>
              </w:rPr>
              <w:t>US$</w:t>
            </w:r>
            <w:r w:rsidR="00F42DC9" w:rsidRPr="007C0A11">
              <w:rPr>
                <w:rFonts w:cs="Arial"/>
                <w:szCs w:val="22"/>
                <w:lang w:val="en-CA"/>
              </w:rPr>
              <w:t>18,059,296</w:t>
            </w:r>
            <w:bookmarkEnd w:id="27"/>
            <w:bookmarkEnd w:id="28"/>
            <w:bookmarkEnd w:id="29"/>
          </w:p>
        </w:tc>
      </w:tr>
      <w:tr w:rsidR="00052899" w:rsidRPr="00B40A7C">
        <w:trPr>
          <w:trHeight w:val="513"/>
        </w:trPr>
        <w:tc>
          <w:tcPr>
            <w:tcW w:w="5000" w:type="pct"/>
            <w:gridSpan w:val="2"/>
            <w:shd w:val="clear" w:color="auto" w:fill="006460"/>
            <w:vAlign w:val="center"/>
          </w:tcPr>
          <w:p w:rsidR="00052899" w:rsidRPr="00B40A7C" w:rsidRDefault="00052899" w:rsidP="00052899">
            <w:pPr>
              <w:spacing w:before="120"/>
              <w:jc w:val="both"/>
              <w:rPr>
                <w:rFonts w:cs="Arial"/>
                <w:b/>
                <w:i/>
                <w:color w:val="BFBFBF"/>
                <w:szCs w:val="22"/>
              </w:rPr>
            </w:pPr>
            <w:r w:rsidRPr="00B40A7C">
              <w:rPr>
                <w:rFonts w:cs="Arial"/>
                <w:b/>
                <w:color w:val="FFFFFF"/>
                <w:szCs w:val="22"/>
              </w:rPr>
              <w:t>Contact Details</w:t>
            </w:r>
          </w:p>
        </w:tc>
      </w:tr>
      <w:tr w:rsidR="00052899" w:rsidRPr="00B40A7C">
        <w:trPr>
          <w:trHeight w:val="513"/>
        </w:trPr>
        <w:tc>
          <w:tcPr>
            <w:tcW w:w="1671" w:type="pct"/>
            <w:shd w:val="clear" w:color="auto" w:fill="006460"/>
            <w:vAlign w:val="center"/>
          </w:tcPr>
          <w:p w:rsidR="00052899" w:rsidRPr="00B40A7C" w:rsidRDefault="00052899" w:rsidP="00052899">
            <w:pPr>
              <w:jc w:val="both"/>
              <w:rPr>
                <w:rFonts w:cs="Arial"/>
                <w:b/>
                <w:color w:val="FFFFFF"/>
                <w:szCs w:val="22"/>
              </w:rPr>
            </w:pPr>
            <w:r w:rsidRPr="00B40A7C">
              <w:rPr>
                <w:rFonts w:cs="Arial"/>
                <w:b/>
                <w:color w:val="FFFFFF"/>
                <w:szCs w:val="22"/>
              </w:rPr>
              <w:t>Name</w:t>
            </w:r>
          </w:p>
        </w:tc>
        <w:tc>
          <w:tcPr>
            <w:tcW w:w="3329" w:type="pct"/>
            <w:shd w:val="clear" w:color="auto" w:fill="auto"/>
          </w:tcPr>
          <w:p w:rsidR="00052899" w:rsidRPr="00B40A7C" w:rsidRDefault="00052899" w:rsidP="00052899">
            <w:pPr>
              <w:pStyle w:val="Body1"/>
              <w:spacing w:before="120"/>
              <w:jc w:val="both"/>
              <w:rPr>
                <w:rFonts w:cs="Arial"/>
                <w:color w:val="000101"/>
                <w:szCs w:val="22"/>
                <w:u w:color="000101"/>
              </w:rPr>
            </w:pPr>
            <w:bookmarkStart w:id="30" w:name="_Toc369498338"/>
            <w:bookmarkStart w:id="31" w:name="_Toc377026009"/>
            <w:bookmarkStart w:id="32" w:name="_Toc377543605"/>
            <w:bookmarkStart w:id="33" w:name="_Toc377545198"/>
            <w:r w:rsidRPr="00B40A7C">
              <w:rPr>
                <w:rFonts w:cs="Arial"/>
                <w:color w:val="000101"/>
                <w:szCs w:val="22"/>
                <w:u w:color="000101"/>
              </w:rPr>
              <w:t xml:space="preserve">Dr. </w:t>
            </w:r>
            <w:r w:rsidRPr="00185D81">
              <w:rPr>
                <w:rFonts w:cs="Arial"/>
                <w:kern w:val="28"/>
                <w:szCs w:val="22"/>
              </w:rPr>
              <w:t>Afisah Zakariah</w:t>
            </w:r>
            <w:bookmarkEnd w:id="30"/>
            <w:bookmarkEnd w:id="31"/>
            <w:bookmarkEnd w:id="32"/>
            <w:bookmarkEnd w:id="33"/>
          </w:p>
        </w:tc>
      </w:tr>
      <w:tr w:rsidR="00052899" w:rsidRPr="00B40A7C">
        <w:trPr>
          <w:trHeight w:val="513"/>
        </w:trPr>
        <w:tc>
          <w:tcPr>
            <w:tcW w:w="1671" w:type="pct"/>
            <w:shd w:val="clear" w:color="auto" w:fill="006460"/>
            <w:vAlign w:val="center"/>
          </w:tcPr>
          <w:p w:rsidR="00052899" w:rsidRPr="00B40A7C" w:rsidRDefault="00052899" w:rsidP="00052899">
            <w:pPr>
              <w:jc w:val="both"/>
              <w:rPr>
                <w:rFonts w:cs="Arial"/>
                <w:b/>
                <w:color w:val="FFFFFF"/>
                <w:szCs w:val="22"/>
              </w:rPr>
            </w:pPr>
            <w:r w:rsidRPr="00B40A7C">
              <w:rPr>
                <w:rFonts w:cs="Arial"/>
                <w:b/>
                <w:color w:val="FFFFFF"/>
                <w:szCs w:val="22"/>
              </w:rPr>
              <w:t>Organisation and title</w:t>
            </w:r>
          </w:p>
        </w:tc>
        <w:tc>
          <w:tcPr>
            <w:tcW w:w="3329" w:type="pct"/>
            <w:shd w:val="clear" w:color="auto" w:fill="auto"/>
          </w:tcPr>
          <w:p w:rsidR="00052899" w:rsidRDefault="00052899">
            <w:pPr>
              <w:pStyle w:val="Body1"/>
              <w:spacing w:before="120"/>
              <w:jc w:val="both"/>
              <w:rPr>
                <w:rFonts w:cs="Arial"/>
                <w:szCs w:val="22"/>
                <w:lang w:val="en-GB" w:eastAsia="en-GB"/>
              </w:rPr>
            </w:pPr>
            <w:bookmarkStart w:id="34" w:name="_Toc377026010"/>
            <w:bookmarkStart w:id="35" w:name="_Toc369498340"/>
            <w:bookmarkStart w:id="36" w:name="_Toc377543606"/>
            <w:bookmarkStart w:id="37" w:name="_Toc377545199"/>
            <w:r>
              <w:rPr>
                <w:rFonts w:cs="Arial"/>
                <w:szCs w:val="22"/>
              </w:rPr>
              <w:t xml:space="preserve">Ministry of Health, Director </w:t>
            </w:r>
            <w:bookmarkEnd w:id="34"/>
            <w:bookmarkEnd w:id="35"/>
            <w:bookmarkEnd w:id="36"/>
            <w:bookmarkEnd w:id="37"/>
            <w:r>
              <w:rPr>
                <w:rFonts w:cs="Arial"/>
                <w:szCs w:val="22"/>
              </w:rPr>
              <w:t>Policy Planning Monitoring and Evaluation Division</w:t>
            </w:r>
          </w:p>
        </w:tc>
      </w:tr>
      <w:tr w:rsidR="00052899" w:rsidRPr="00B40A7C">
        <w:trPr>
          <w:trHeight w:val="513"/>
        </w:trPr>
        <w:tc>
          <w:tcPr>
            <w:tcW w:w="1671" w:type="pct"/>
            <w:shd w:val="clear" w:color="auto" w:fill="006460"/>
            <w:vAlign w:val="center"/>
          </w:tcPr>
          <w:p w:rsidR="00052899" w:rsidRPr="00B40A7C" w:rsidRDefault="00052899" w:rsidP="00052899">
            <w:pPr>
              <w:widowControl w:val="0"/>
              <w:spacing w:before="120" w:after="120"/>
              <w:jc w:val="both"/>
              <w:rPr>
                <w:rFonts w:eastAsia="SimSun" w:cs="Arial"/>
                <w:b/>
                <w:color w:val="FFFFFF"/>
                <w:szCs w:val="22"/>
                <w:lang w:eastAsia="zh-CN"/>
              </w:rPr>
            </w:pPr>
            <w:r w:rsidRPr="00B40A7C">
              <w:rPr>
                <w:rFonts w:cs="Arial"/>
                <w:b/>
                <w:color w:val="FFFFFF"/>
                <w:szCs w:val="22"/>
              </w:rPr>
              <w:t>Mailing address</w:t>
            </w:r>
          </w:p>
        </w:tc>
        <w:tc>
          <w:tcPr>
            <w:tcW w:w="3329" w:type="pct"/>
            <w:shd w:val="clear" w:color="auto" w:fill="auto"/>
          </w:tcPr>
          <w:p w:rsidR="00052899" w:rsidRPr="00B40A7C" w:rsidRDefault="00052899" w:rsidP="00052899">
            <w:pPr>
              <w:pStyle w:val="Body1"/>
              <w:tabs>
                <w:tab w:val="left" w:pos="1185"/>
                <w:tab w:val="center" w:pos="3056"/>
              </w:tabs>
              <w:spacing w:before="120"/>
              <w:jc w:val="both"/>
              <w:rPr>
                <w:rFonts w:cs="Arial"/>
                <w:szCs w:val="22"/>
                <w:lang w:eastAsia="en-GB"/>
              </w:rPr>
            </w:pPr>
            <w:bookmarkStart w:id="38" w:name="_Toc377026011"/>
            <w:bookmarkStart w:id="39" w:name="_Toc377543607"/>
            <w:bookmarkStart w:id="40" w:name="_Toc377545200"/>
            <w:bookmarkStart w:id="41" w:name="_Toc369498342"/>
            <w:r>
              <w:rPr>
                <w:rFonts w:cs="Arial"/>
                <w:szCs w:val="22"/>
              </w:rPr>
              <w:t xml:space="preserve">Ministry of Health </w:t>
            </w:r>
            <w:bookmarkEnd w:id="38"/>
            <w:bookmarkEnd w:id="39"/>
            <w:bookmarkEnd w:id="40"/>
            <w:bookmarkEnd w:id="41"/>
            <w:r>
              <w:rPr>
                <w:rFonts w:cs="Arial"/>
                <w:szCs w:val="22"/>
              </w:rPr>
              <w:t>MB 44, Ministries, Accra</w:t>
            </w:r>
          </w:p>
        </w:tc>
      </w:tr>
      <w:tr w:rsidR="00052899" w:rsidRPr="00B40A7C">
        <w:trPr>
          <w:trHeight w:val="513"/>
        </w:trPr>
        <w:tc>
          <w:tcPr>
            <w:tcW w:w="1671" w:type="pct"/>
            <w:shd w:val="clear" w:color="auto" w:fill="006460"/>
            <w:vAlign w:val="center"/>
          </w:tcPr>
          <w:p w:rsidR="00052899" w:rsidRPr="00B40A7C" w:rsidRDefault="00052899" w:rsidP="00052899">
            <w:pPr>
              <w:widowControl w:val="0"/>
              <w:spacing w:before="120" w:after="120"/>
              <w:jc w:val="both"/>
              <w:rPr>
                <w:rFonts w:eastAsia="SimSun" w:cs="Arial"/>
                <w:b/>
                <w:color w:val="FFFFFF"/>
                <w:szCs w:val="22"/>
                <w:lang w:eastAsia="zh-CN"/>
              </w:rPr>
            </w:pPr>
            <w:r w:rsidRPr="00B40A7C">
              <w:rPr>
                <w:rFonts w:cs="Arial"/>
                <w:b/>
                <w:color w:val="FFFFFF"/>
                <w:szCs w:val="22"/>
              </w:rPr>
              <w:t>Telephone</w:t>
            </w:r>
          </w:p>
        </w:tc>
        <w:tc>
          <w:tcPr>
            <w:tcW w:w="3329" w:type="pct"/>
            <w:shd w:val="clear" w:color="auto" w:fill="auto"/>
          </w:tcPr>
          <w:p w:rsidR="00052899" w:rsidRDefault="00052899">
            <w:pPr>
              <w:jc w:val="both"/>
              <w:rPr>
                <w:rFonts w:cs="Arial"/>
                <w:szCs w:val="22"/>
              </w:rPr>
            </w:pPr>
            <w:r w:rsidRPr="00B40A7C">
              <w:rPr>
                <w:rFonts w:cs="Arial"/>
                <w:szCs w:val="22"/>
              </w:rPr>
              <w:t>+233-</w:t>
            </w:r>
            <w:r>
              <w:rPr>
                <w:rFonts w:cs="Arial"/>
                <w:szCs w:val="22"/>
              </w:rPr>
              <w:t>243540606</w:t>
            </w:r>
          </w:p>
        </w:tc>
      </w:tr>
      <w:tr w:rsidR="00052899" w:rsidRPr="00B40A7C">
        <w:trPr>
          <w:trHeight w:val="513"/>
        </w:trPr>
        <w:tc>
          <w:tcPr>
            <w:tcW w:w="1671" w:type="pct"/>
            <w:shd w:val="clear" w:color="auto" w:fill="006460"/>
            <w:vAlign w:val="center"/>
          </w:tcPr>
          <w:p w:rsidR="00052899" w:rsidRPr="00B40A7C" w:rsidRDefault="00052899" w:rsidP="00052899">
            <w:pPr>
              <w:widowControl w:val="0"/>
              <w:spacing w:before="120" w:after="120"/>
              <w:jc w:val="both"/>
              <w:rPr>
                <w:rFonts w:eastAsia="SimSun" w:cs="Arial"/>
                <w:b/>
                <w:color w:val="FFFFFF"/>
                <w:szCs w:val="22"/>
                <w:lang w:eastAsia="zh-CN"/>
              </w:rPr>
            </w:pPr>
            <w:r w:rsidRPr="00B40A7C">
              <w:rPr>
                <w:rFonts w:cs="Arial"/>
                <w:b/>
                <w:color w:val="FFFFFF"/>
                <w:szCs w:val="22"/>
              </w:rPr>
              <w:t>Fax</w:t>
            </w:r>
          </w:p>
        </w:tc>
        <w:tc>
          <w:tcPr>
            <w:tcW w:w="3329" w:type="pct"/>
            <w:shd w:val="clear" w:color="auto" w:fill="auto"/>
          </w:tcPr>
          <w:p w:rsidR="00052899" w:rsidRDefault="00052899">
            <w:pPr>
              <w:jc w:val="both"/>
              <w:rPr>
                <w:rFonts w:cs="Arial"/>
                <w:szCs w:val="22"/>
              </w:rPr>
            </w:pPr>
            <w:r w:rsidRPr="00B40A7C">
              <w:rPr>
                <w:rFonts w:cs="Arial"/>
                <w:szCs w:val="22"/>
              </w:rPr>
              <w:t>+233-</w:t>
            </w:r>
            <w:r>
              <w:rPr>
                <w:rFonts w:cs="Arial"/>
                <w:szCs w:val="22"/>
              </w:rPr>
              <w:t>302663810</w:t>
            </w:r>
          </w:p>
        </w:tc>
      </w:tr>
      <w:tr w:rsidR="00052899" w:rsidRPr="00B40A7C">
        <w:trPr>
          <w:trHeight w:val="513"/>
        </w:trPr>
        <w:tc>
          <w:tcPr>
            <w:tcW w:w="1671" w:type="pct"/>
            <w:shd w:val="clear" w:color="auto" w:fill="006460"/>
            <w:vAlign w:val="center"/>
          </w:tcPr>
          <w:p w:rsidR="00052899" w:rsidRPr="00B40A7C" w:rsidRDefault="00052899" w:rsidP="00052899">
            <w:pPr>
              <w:widowControl w:val="0"/>
              <w:spacing w:before="120" w:after="120"/>
              <w:jc w:val="both"/>
              <w:rPr>
                <w:rFonts w:eastAsia="SimSun" w:cs="Arial"/>
                <w:b/>
                <w:color w:val="FFFFFF"/>
                <w:szCs w:val="22"/>
                <w:lang w:eastAsia="zh-CN"/>
              </w:rPr>
            </w:pPr>
            <w:r w:rsidRPr="00B40A7C">
              <w:rPr>
                <w:rFonts w:cs="Arial"/>
                <w:b/>
                <w:color w:val="FFFFFF"/>
                <w:szCs w:val="22"/>
              </w:rPr>
              <w:t>E-mail addresses</w:t>
            </w:r>
          </w:p>
        </w:tc>
        <w:bookmarkStart w:id="42" w:name="_Toc377026012"/>
        <w:bookmarkStart w:id="43" w:name="_Toc377543608"/>
        <w:bookmarkStart w:id="44" w:name="_Toc377545201"/>
        <w:tc>
          <w:tcPr>
            <w:tcW w:w="3329" w:type="pct"/>
            <w:shd w:val="clear" w:color="auto" w:fill="auto"/>
          </w:tcPr>
          <w:p w:rsidR="00052899" w:rsidRPr="00B40A7C" w:rsidRDefault="00B97BDB" w:rsidP="00052899">
            <w:pPr>
              <w:pStyle w:val="Body1"/>
              <w:spacing w:before="120"/>
              <w:jc w:val="both"/>
              <w:rPr>
                <w:rFonts w:cs="Arial"/>
                <w:szCs w:val="22"/>
              </w:rPr>
            </w:pPr>
            <w:r>
              <w:rPr>
                <w:rFonts w:cs="Arial"/>
                <w:szCs w:val="22"/>
              </w:rPr>
              <w:fldChar w:fldCharType="begin"/>
            </w:r>
            <w:r w:rsidR="00052899">
              <w:rPr>
                <w:rFonts w:cs="Arial"/>
                <w:szCs w:val="22"/>
              </w:rPr>
              <w:instrText xml:space="preserve"> HYPERLINK "mailto:afisah.zakariah@moh.gov.gh" </w:instrText>
            </w:r>
            <w:r>
              <w:rPr>
                <w:rFonts w:cs="Arial"/>
                <w:szCs w:val="22"/>
              </w:rPr>
              <w:fldChar w:fldCharType="separate"/>
            </w:r>
            <w:r w:rsidR="00052899" w:rsidRPr="006F497A">
              <w:rPr>
                <w:rStyle w:val="Hyperlink"/>
                <w:rFonts w:cs="Arial"/>
                <w:szCs w:val="22"/>
              </w:rPr>
              <w:t>afisah.zakariah@moh.gov.gh</w:t>
            </w:r>
            <w:r>
              <w:rPr>
                <w:rFonts w:cs="Arial"/>
                <w:szCs w:val="22"/>
              </w:rPr>
              <w:fldChar w:fldCharType="end"/>
            </w:r>
            <w:r w:rsidR="00052899">
              <w:rPr>
                <w:rFonts w:cs="Arial"/>
                <w:szCs w:val="22"/>
              </w:rPr>
              <w:t xml:space="preserve">, Afiyakzak@yahoo.com, </w:t>
            </w:r>
            <w:bookmarkEnd w:id="42"/>
            <w:bookmarkEnd w:id="43"/>
            <w:bookmarkEnd w:id="44"/>
          </w:p>
        </w:tc>
      </w:tr>
    </w:tbl>
    <w:p w:rsidR="00052899" w:rsidRPr="00B40A7C" w:rsidRDefault="00052899" w:rsidP="00052899">
      <w:pPr>
        <w:spacing w:after="200" w:line="276" w:lineRule="auto"/>
        <w:jc w:val="both"/>
        <w:rPr>
          <w:rFonts w:cs="Arial"/>
          <w:szCs w:val="22"/>
        </w:rPr>
      </w:pPr>
      <w:r>
        <w:rPr>
          <w:rFonts w:cs="Arial"/>
          <w:szCs w:val="22"/>
        </w:rPr>
        <w:br w:type="page"/>
      </w:r>
    </w:p>
    <w:p w:rsidR="00052899" w:rsidRPr="00B40A7C" w:rsidRDefault="00052899" w:rsidP="00052899">
      <w:pPr>
        <w:jc w:val="both"/>
        <w:rPr>
          <w:rFonts w:cs="Arial"/>
          <w:szCs w:val="22"/>
        </w:rPr>
      </w:pPr>
    </w:p>
    <w:tbl>
      <w:tblPr>
        <w:tblW w:w="5000" w:type="pct"/>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9576"/>
      </w:tblGrid>
      <w:tr w:rsidR="00052899" w:rsidRPr="00B40A7C" w:rsidTr="00771FDC">
        <w:trPr>
          <w:trHeight w:val="383"/>
        </w:trPr>
        <w:tc>
          <w:tcPr>
            <w:tcW w:w="5000" w:type="pct"/>
            <w:shd w:val="clear" w:color="auto" w:fill="006666"/>
          </w:tcPr>
          <w:p w:rsidR="00000000" w:rsidRDefault="00052899">
            <w:pPr>
              <w:pStyle w:val="Heading1"/>
              <w:rPr>
                <w:b w:val="0"/>
                <w:lang w:eastAsia="en-CA"/>
              </w:rPr>
            </w:pPr>
            <w:r w:rsidRPr="00291E76">
              <w:t xml:space="preserve">2. THE PROPOSAL DEVELOPMENT PROCESS </w:t>
            </w:r>
          </w:p>
        </w:tc>
      </w:tr>
      <w:tr w:rsidR="00052899" w:rsidRPr="00B40A7C">
        <w:trPr>
          <w:trHeight w:val="278"/>
        </w:trPr>
        <w:tc>
          <w:tcPr>
            <w:tcW w:w="5000" w:type="pct"/>
            <w:shd w:val="clear" w:color="auto" w:fill="FFFFFF"/>
          </w:tcPr>
          <w:p w:rsidR="00052899" w:rsidRPr="00B40A7C" w:rsidRDefault="00052899" w:rsidP="00052899">
            <w:pPr>
              <w:widowControl w:val="0"/>
              <w:autoSpaceDE w:val="0"/>
              <w:autoSpaceDN w:val="0"/>
              <w:adjustRightInd w:val="0"/>
              <w:jc w:val="both"/>
              <w:rPr>
                <w:rFonts w:cs="Arial"/>
                <w:szCs w:val="22"/>
                <w:lang w:eastAsia="en-CA"/>
              </w:rPr>
            </w:pPr>
            <w:r w:rsidRPr="00B40A7C">
              <w:rPr>
                <w:rFonts w:cs="Arial"/>
                <w:szCs w:val="22"/>
                <w:lang w:eastAsia="en-CA"/>
              </w:rPr>
              <w:t xml:space="preserve">The Ministry of Health (MoH) indicated its desire to apply for the next tranche of GAVI/HSS funding in 2012 during the discussion on the newly introduced Health System Funding Platform (HSFP) </w:t>
            </w:r>
            <w:r>
              <w:rPr>
                <w:rFonts w:cs="Arial"/>
                <w:szCs w:val="22"/>
                <w:lang w:eastAsia="en-CA"/>
              </w:rPr>
              <w:t xml:space="preserve">which did not materialise </w:t>
            </w:r>
            <w:r w:rsidRPr="00B40A7C">
              <w:rPr>
                <w:rFonts w:cs="Arial"/>
                <w:szCs w:val="22"/>
                <w:lang w:eastAsia="en-CA"/>
              </w:rPr>
              <w:t xml:space="preserve">and other modalities by GAVI and Global Fund for AIDS, Tuberculosis and Malaria (GFATM). This intention was further discussed prior to the 2012 APR submission to GAVI. </w:t>
            </w:r>
          </w:p>
          <w:p w:rsidR="00052899" w:rsidRPr="00B40A7C" w:rsidRDefault="00052899" w:rsidP="00052899">
            <w:pPr>
              <w:widowControl w:val="0"/>
              <w:autoSpaceDE w:val="0"/>
              <w:autoSpaceDN w:val="0"/>
              <w:adjustRightInd w:val="0"/>
              <w:jc w:val="both"/>
              <w:rPr>
                <w:rFonts w:cs="Arial"/>
                <w:szCs w:val="22"/>
                <w:lang w:eastAsia="en-CA"/>
              </w:rPr>
            </w:pPr>
          </w:p>
          <w:p w:rsidR="00052899" w:rsidRPr="00B40A7C" w:rsidRDefault="00052899" w:rsidP="00A64785">
            <w:pPr>
              <w:widowControl w:val="0"/>
              <w:autoSpaceDE w:val="0"/>
              <w:autoSpaceDN w:val="0"/>
              <w:adjustRightInd w:val="0"/>
              <w:jc w:val="both"/>
              <w:rPr>
                <w:rFonts w:cs="Arial"/>
                <w:szCs w:val="22"/>
                <w:lang w:eastAsia="en-CA"/>
              </w:rPr>
            </w:pPr>
            <w:r w:rsidRPr="00B40A7C">
              <w:rPr>
                <w:rFonts w:cs="Arial"/>
                <w:szCs w:val="22"/>
                <w:lang w:eastAsia="en-CA"/>
              </w:rPr>
              <w:t>The development of the GAVI</w:t>
            </w:r>
            <w:r w:rsidR="002B2F73">
              <w:rPr>
                <w:rFonts w:cs="Arial"/>
                <w:szCs w:val="22"/>
                <w:lang w:eastAsia="en-CA"/>
              </w:rPr>
              <w:t>/</w:t>
            </w:r>
            <w:r w:rsidRPr="00B40A7C">
              <w:rPr>
                <w:rFonts w:cs="Arial"/>
                <w:szCs w:val="22"/>
                <w:lang w:eastAsia="en-CA"/>
              </w:rPr>
              <w:t>HSS proposal was discussed at a number of health sector forums. This included Health Sector Working Group</w:t>
            </w:r>
            <w:r w:rsidRPr="00B40A7C">
              <w:rPr>
                <w:rStyle w:val="FootnoteReference"/>
                <w:rFonts w:cs="Arial"/>
                <w:szCs w:val="22"/>
                <w:lang w:eastAsia="en-CA"/>
              </w:rPr>
              <w:footnoteReference w:id="2"/>
            </w:r>
            <w:r w:rsidRPr="00B40A7C">
              <w:rPr>
                <w:rFonts w:cs="Arial"/>
                <w:szCs w:val="22"/>
                <w:lang w:eastAsia="en-CA"/>
              </w:rPr>
              <w:t xml:space="preserve"> (HS</w:t>
            </w:r>
            <w:r w:rsidR="00A64785">
              <w:rPr>
                <w:rFonts w:cs="Arial"/>
                <w:szCs w:val="22"/>
                <w:lang w:eastAsia="en-CA"/>
              </w:rPr>
              <w:t>WG</w:t>
            </w:r>
            <w:r w:rsidRPr="00B40A7C">
              <w:rPr>
                <w:rFonts w:cs="Arial"/>
                <w:szCs w:val="22"/>
                <w:lang w:eastAsia="en-CA"/>
              </w:rPr>
              <w:t xml:space="preserve">) monthly meetings and GHS Senior Managers (Regional and Headquarter Directors) Meeting of May 2013. Senior managers in turn briefed their peripheral level heads (216 District Directors of Health Service) during their 2013 annual conference to get their buy-in and better participation in consolidating the priorities. The proposal development period (synthesis stage) took advantage of the annual review period of the health sector where there were Regional and District Performance Hearings at all ten administrative regions and District Health administration levels. </w:t>
            </w:r>
          </w:p>
          <w:p w:rsidR="00052899" w:rsidRPr="00B40A7C" w:rsidRDefault="00052899" w:rsidP="00052899">
            <w:pPr>
              <w:widowControl w:val="0"/>
              <w:autoSpaceDE w:val="0"/>
              <w:autoSpaceDN w:val="0"/>
              <w:adjustRightInd w:val="0"/>
              <w:jc w:val="both"/>
              <w:rPr>
                <w:rFonts w:cs="Arial"/>
                <w:szCs w:val="22"/>
                <w:lang w:eastAsia="en-CA"/>
              </w:rPr>
            </w:pPr>
            <w:r w:rsidRPr="00B40A7C">
              <w:rPr>
                <w:rFonts w:cs="Arial"/>
                <w:szCs w:val="22"/>
                <w:lang w:eastAsia="en-CA"/>
              </w:rPr>
              <w:t> </w:t>
            </w:r>
          </w:p>
          <w:p w:rsidR="00052899" w:rsidRPr="00B40A7C" w:rsidRDefault="00052899" w:rsidP="00052899">
            <w:pPr>
              <w:widowControl w:val="0"/>
              <w:autoSpaceDE w:val="0"/>
              <w:autoSpaceDN w:val="0"/>
              <w:adjustRightInd w:val="0"/>
              <w:jc w:val="both"/>
              <w:rPr>
                <w:rFonts w:cs="Arial"/>
                <w:szCs w:val="22"/>
                <w:lang w:eastAsia="en-CA"/>
              </w:rPr>
            </w:pPr>
            <w:r w:rsidRPr="00B40A7C">
              <w:rPr>
                <w:rFonts w:cs="Arial"/>
                <w:szCs w:val="22"/>
                <w:lang w:eastAsia="en-CA"/>
              </w:rPr>
              <w:t>The formalization of the proposal development process was consolidated at the Health Sector Working Group (HSCC) meeting in April 2013. At that meeting the HSCC was informed of the government’s intention to apply for GAVI/HSS Cash Support. Members were informed that a technical working group (TWG) would be formed and representation was expected from all stakeholder interest groups, especially Development Partners (DPs) and Ghana Coalition of NGOs in Health (GCNH).  </w:t>
            </w:r>
          </w:p>
          <w:p w:rsidR="00052899" w:rsidRPr="00B40A7C" w:rsidRDefault="00052899" w:rsidP="00052899">
            <w:pPr>
              <w:widowControl w:val="0"/>
              <w:autoSpaceDE w:val="0"/>
              <w:autoSpaceDN w:val="0"/>
              <w:adjustRightInd w:val="0"/>
              <w:jc w:val="both"/>
              <w:rPr>
                <w:rFonts w:cs="Arial"/>
                <w:szCs w:val="22"/>
                <w:lang w:eastAsia="en-CA"/>
              </w:rPr>
            </w:pPr>
            <w:r w:rsidRPr="00B40A7C">
              <w:rPr>
                <w:rFonts w:cs="Arial"/>
                <w:szCs w:val="22"/>
                <w:lang w:eastAsia="en-CA"/>
              </w:rPr>
              <w:t> </w:t>
            </w:r>
          </w:p>
          <w:p w:rsidR="00052899" w:rsidRPr="00B40A7C" w:rsidRDefault="00052899" w:rsidP="00052899">
            <w:pPr>
              <w:spacing w:before="120" w:after="120"/>
              <w:jc w:val="both"/>
              <w:rPr>
                <w:rFonts w:cs="Arial"/>
                <w:szCs w:val="22"/>
                <w:lang w:eastAsia="en-CA"/>
              </w:rPr>
            </w:pPr>
            <w:r w:rsidRPr="00B40A7C">
              <w:rPr>
                <w:rFonts w:cs="Arial"/>
                <w:szCs w:val="22"/>
                <w:lang w:eastAsia="en-CA"/>
              </w:rPr>
              <w:t xml:space="preserve">The proposal development technical working group (TWG) was chaired by the Chief Director of the </w:t>
            </w:r>
            <w:r w:rsidR="00472AFA">
              <w:rPr>
                <w:rFonts w:cs="Arial"/>
                <w:szCs w:val="22"/>
                <w:lang w:eastAsia="en-CA"/>
              </w:rPr>
              <w:t>MoH</w:t>
            </w:r>
            <w:r w:rsidR="002B2F73">
              <w:rPr>
                <w:rFonts w:cs="Arial"/>
                <w:szCs w:val="22"/>
                <w:lang w:eastAsia="en-CA"/>
              </w:rPr>
              <w:t xml:space="preserve"> </w:t>
            </w:r>
            <w:r w:rsidRPr="00B40A7C">
              <w:rPr>
                <w:rFonts w:cs="Arial"/>
                <w:szCs w:val="22"/>
                <w:lang w:eastAsia="en-CA"/>
              </w:rPr>
              <w:t>and coordinated by the Policy Planning Monitoring and Evaluation Division (PPMED) of MoH. The membership of the TWG includes representatives from the following divisions of MoH-</w:t>
            </w:r>
            <w:r w:rsidR="00A64785">
              <w:rPr>
                <w:rFonts w:cs="Arial"/>
                <w:szCs w:val="22"/>
                <w:lang w:eastAsia="en-CA"/>
              </w:rPr>
              <w:t xml:space="preserve"> </w:t>
            </w:r>
            <w:r w:rsidRPr="00B40A7C">
              <w:rPr>
                <w:rFonts w:cs="Arial"/>
                <w:szCs w:val="22"/>
                <w:lang w:eastAsia="en-CA"/>
              </w:rPr>
              <w:t>PPME, HRHD, Finance, RSIM; GHS</w:t>
            </w:r>
            <w:r>
              <w:rPr>
                <w:rFonts w:cs="Arial"/>
                <w:szCs w:val="22"/>
                <w:lang w:eastAsia="en-CA"/>
              </w:rPr>
              <w:t>-</w:t>
            </w:r>
            <w:r w:rsidR="00A64785">
              <w:rPr>
                <w:rFonts w:cs="Arial"/>
                <w:szCs w:val="22"/>
                <w:lang w:eastAsia="en-CA"/>
              </w:rPr>
              <w:t xml:space="preserve"> </w:t>
            </w:r>
            <w:r w:rsidRPr="00B40A7C">
              <w:rPr>
                <w:rFonts w:cs="Arial"/>
                <w:szCs w:val="22"/>
                <w:lang w:eastAsia="en-CA"/>
              </w:rPr>
              <w:t>PPME, Finance, and EPI;</w:t>
            </w:r>
            <w:r>
              <w:rPr>
                <w:rFonts w:cs="Arial"/>
                <w:szCs w:val="22"/>
                <w:lang w:eastAsia="en-CA"/>
              </w:rPr>
              <w:t xml:space="preserve"> </w:t>
            </w:r>
            <w:r w:rsidRPr="00B40A7C">
              <w:rPr>
                <w:rFonts w:cs="Arial"/>
                <w:szCs w:val="22"/>
                <w:lang w:eastAsia="en-CA"/>
              </w:rPr>
              <w:t xml:space="preserve">Christian Health Association of Ghana (CHAG), GCNH, </w:t>
            </w:r>
            <w:r w:rsidR="00A64785">
              <w:rPr>
                <w:rFonts w:cs="Arial"/>
                <w:szCs w:val="22"/>
                <w:lang w:eastAsia="en-CA"/>
              </w:rPr>
              <w:t xml:space="preserve">and </w:t>
            </w:r>
            <w:r w:rsidRPr="00B40A7C">
              <w:rPr>
                <w:rFonts w:cs="Arial"/>
                <w:szCs w:val="22"/>
                <w:lang w:eastAsia="en-CA"/>
              </w:rPr>
              <w:t>DPs representatives (WHO and UNICEF). A two-member team from GAVI Secretariat participated in the inaugural meeting of the TWG in July 2013 and shared the new proposal format for the HSS Cash Support.</w:t>
            </w:r>
          </w:p>
          <w:p w:rsidR="00052899" w:rsidRPr="00B40A7C" w:rsidRDefault="00052899" w:rsidP="00052899">
            <w:pPr>
              <w:widowControl w:val="0"/>
              <w:autoSpaceDE w:val="0"/>
              <w:autoSpaceDN w:val="0"/>
              <w:adjustRightInd w:val="0"/>
              <w:jc w:val="both"/>
              <w:rPr>
                <w:rFonts w:cs="Arial"/>
                <w:szCs w:val="22"/>
                <w:lang w:eastAsia="en-CA"/>
              </w:rPr>
            </w:pPr>
            <w:r w:rsidRPr="00B40A7C">
              <w:rPr>
                <w:rFonts w:cs="Arial"/>
                <w:szCs w:val="22"/>
                <w:lang w:eastAsia="en-CA"/>
              </w:rPr>
              <w:t> </w:t>
            </w:r>
          </w:p>
          <w:p w:rsidR="00052899" w:rsidRPr="00B40A7C" w:rsidRDefault="00052899" w:rsidP="00052899">
            <w:pPr>
              <w:widowControl w:val="0"/>
              <w:autoSpaceDE w:val="0"/>
              <w:autoSpaceDN w:val="0"/>
              <w:adjustRightInd w:val="0"/>
              <w:jc w:val="both"/>
              <w:rPr>
                <w:rFonts w:cs="Arial"/>
                <w:szCs w:val="22"/>
                <w:lang w:eastAsia="en-CA"/>
              </w:rPr>
            </w:pPr>
            <w:r w:rsidRPr="00B40A7C">
              <w:rPr>
                <w:rFonts w:cs="Arial"/>
                <w:szCs w:val="22"/>
                <w:lang w:eastAsia="en-CA"/>
              </w:rPr>
              <w:t xml:space="preserve">Progress on the proposal was reported during the weekly </w:t>
            </w:r>
            <w:r w:rsidR="00472AFA">
              <w:rPr>
                <w:rFonts w:cs="Arial"/>
                <w:szCs w:val="22"/>
                <w:lang w:eastAsia="en-CA"/>
              </w:rPr>
              <w:t>MOH</w:t>
            </w:r>
            <w:r w:rsidR="00771FDC">
              <w:rPr>
                <w:rFonts w:cs="Arial"/>
                <w:szCs w:val="22"/>
                <w:lang w:eastAsia="en-CA"/>
              </w:rPr>
              <w:t xml:space="preserve"> </w:t>
            </w:r>
            <w:r w:rsidRPr="00B40A7C">
              <w:rPr>
                <w:rFonts w:cs="Arial"/>
                <w:szCs w:val="22"/>
                <w:lang w:eastAsia="en-CA"/>
              </w:rPr>
              <w:t xml:space="preserve">and GHS Directors and PPME divisional meetings respectively. Updates were also provided at EPI weekly meetings and at HSCC monthly meetings in June to December 2013 for comments and inputs. </w:t>
            </w:r>
          </w:p>
          <w:p w:rsidR="00052899" w:rsidRPr="00B40A7C" w:rsidRDefault="00052899" w:rsidP="00052899">
            <w:pPr>
              <w:widowControl w:val="0"/>
              <w:autoSpaceDE w:val="0"/>
              <w:autoSpaceDN w:val="0"/>
              <w:adjustRightInd w:val="0"/>
              <w:jc w:val="both"/>
              <w:rPr>
                <w:rFonts w:cs="Arial"/>
                <w:szCs w:val="22"/>
                <w:lang w:eastAsia="en-CA"/>
              </w:rPr>
            </w:pPr>
          </w:p>
          <w:p w:rsidR="00052899" w:rsidRPr="00B40A7C" w:rsidRDefault="00052899" w:rsidP="00052899">
            <w:pPr>
              <w:widowControl w:val="0"/>
              <w:autoSpaceDE w:val="0"/>
              <w:autoSpaceDN w:val="0"/>
              <w:adjustRightInd w:val="0"/>
              <w:jc w:val="both"/>
              <w:rPr>
                <w:rFonts w:cs="Arial"/>
                <w:szCs w:val="22"/>
                <w:lang w:eastAsia="en-CA"/>
              </w:rPr>
            </w:pPr>
            <w:r w:rsidRPr="00B40A7C">
              <w:rPr>
                <w:rFonts w:cs="Arial"/>
                <w:szCs w:val="22"/>
                <w:lang w:eastAsia="en-CA"/>
              </w:rPr>
              <w:t xml:space="preserve">GCNH represents NGOs and participated in all events and meetings for the development of the proposal. GCNH was represented by its Vice National Chairperson and National coordinator at each of the HSCC and ICC meetings. Private Health Association of Ghana which is an umbrella group for private health sector is </w:t>
            </w:r>
            <w:r w:rsidR="00A64785">
              <w:rPr>
                <w:rFonts w:cs="Arial"/>
                <w:szCs w:val="22"/>
                <w:lang w:eastAsia="en-CA"/>
              </w:rPr>
              <w:t xml:space="preserve">also </w:t>
            </w:r>
            <w:r w:rsidRPr="00B40A7C">
              <w:rPr>
                <w:rFonts w:cs="Arial"/>
                <w:szCs w:val="22"/>
                <w:lang w:eastAsia="en-CA"/>
              </w:rPr>
              <w:t>represented on the HSCC and also participated in all deliberations including those of the proposal development. </w:t>
            </w:r>
          </w:p>
          <w:p w:rsidR="00052899" w:rsidRPr="00B40A7C" w:rsidRDefault="00052899" w:rsidP="00052899">
            <w:pPr>
              <w:widowControl w:val="0"/>
              <w:autoSpaceDE w:val="0"/>
              <w:autoSpaceDN w:val="0"/>
              <w:adjustRightInd w:val="0"/>
              <w:jc w:val="both"/>
              <w:rPr>
                <w:rFonts w:cs="Arial"/>
                <w:szCs w:val="22"/>
                <w:lang w:eastAsia="en-CA"/>
              </w:rPr>
            </w:pPr>
          </w:p>
          <w:p w:rsidR="00052899" w:rsidRPr="00B40A7C" w:rsidRDefault="00052899" w:rsidP="00052899">
            <w:pPr>
              <w:widowControl w:val="0"/>
              <w:autoSpaceDE w:val="0"/>
              <w:autoSpaceDN w:val="0"/>
              <w:adjustRightInd w:val="0"/>
              <w:jc w:val="both"/>
              <w:rPr>
                <w:rFonts w:cs="Arial"/>
                <w:szCs w:val="22"/>
                <w:lang w:eastAsia="en-CA"/>
              </w:rPr>
            </w:pPr>
            <w:r w:rsidRPr="00B40A7C">
              <w:rPr>
                <w:rFonts w:cs="Arial"/>
                <w:szCs w:val="22"/>
                <w:lang w:eastAsia="en-CA"/>
              </w:rPr>
              <w:t xml:space="preserve">Two officers (EPI and Health Economist) from WHO and Health Officer from UNICEF participated in the proposal development. WHO being the Deputy Lead for Development Partners (DPs) also shared progress reports on the development process with DPs. WHO provided technical assistance to address comments from GAVI Secretariat for re-submission. </w:t>
            </w:r>
          </w:p>
          <w:p w:rsidR="00052899" w:rsidRPr="00B40A7C" w:rsidRDefault="00052899" w:rsidP="00052899">
            <w:pPr>
              <w:widowControl w:val="0"/>
              <w:autoSpaceDE w:val="0"/>
              <w:autoSpaceDN w:val="0"/>
              <w:adjustRightInd w:val="0"/>
              <w:spacing w:after="40"/>
              <w:jc w:val="both"/>
              <w:rPr>
                <w:rFonts w:cs="Arial"/>
                <w:szCs w:val="22"/>
                <w:lang w:eastAsia="en-CA"/>
              </w:rPr>
            </w:pPr>
          </w:p>
          <w:p w:rsidR="00052899" w:rsidRPr="00B40A7C" w:rsidRDefault="00052899" w:rsidP="00052899">
            <w:pPr>
              <w:spacing w:before="120" w:after="120"/>
              <w:jc w:val="both"/>
              <w:rPr>
                <w:rFonts w:cs="Arial"/>
                <w:szCs w:val="22"/>
                <w:lang w:eastAsia="en-CA"/>
              </w:rPr>
            </w:pPr>
            <w:r w:rsidRPr="00B40A7C">
              <w:rPr>
                <w:rFonts w:cs="Arial"/>
                <w:szCs w:val="22"/>
                <w:lang w:eastAsia="en-CA"/>
              </w:rPr>
              <w:lastRenderedPageBreak/>
              <w:t>The proposal development took six months from June to December 2013. The process commenced with the consultations and desk reviews (APR 2012, HSMTDP 2010-2013 review report, cYMP 2010-2014 etc). The proposal development period coincided with the preparatory work for the development of the Ghana Shared Growth and Development Agenda 2014-2017 which is the National Medium Term Development Plan and the next Health Sector Medium Term Development Plan (HSMTDP II) 2014-2017. These helped in the synthesis of the bottlenecks and priorities identified in this proposal.</w:t>
            </w:r>
          </w:p>
          <w:p w:rsidR="0032557F" w:rsidRPr="00B40A7C" w:rsidRDefault="00052899" w:rsidP="00052899">
            <w:pPr>
              <w:spacing w:before="120" w:after="120"/>
              <w:jc w:val="both"/>
              <w:rPr>
                <w:rFonts w:cs="Arial"/>
                <w:szCs w:val="22"/>
                <w:lang w:eastAsia="en-CA"/>
              </w:rPr>
            </w:pPr>
            <w:r w:rsidRPr="00B40A7C">
              <w:rPr>
                <w:rFonts w:cs="Arial"/>
                <w:szCs w:val="22"/>
                <w:lang w:eastAsia="en-CA"/>
              </w:rPr>
              <w:t xml:space="preserve">The most challenging element during the proposal development was the difficulty in managing the several priorities.  Most </w:t>
            </w:r>
            <w:r w:rsidR="00472AFA">
              <w:rPr>
                <w:rFonts w:cs="Arial"/>
                <w:szCs w:val="22"/>
                <w:lang w:eastAsia="en-CA"/>
              </w:rPr>
              <w:t>MOH</w:t>
            </w:r>
            <w:r w:rsidR="002B2F73">
              <w:rPr>
                <w:rFonts w:cs="Arial"/>
                <w:szCs w:val="22"/>
                <w:lang w:eastAsia="en-CA"/>
              </w:rPr>
              <w:t xml:space="preserve"> </w:t>
            </w:r>
            <w:r w:rsidRPr="00B40A7C">
              <w:rPr>
                <w:rFonts w:cs="Arial"/>
                <w:szCs w:val="22"/>
                <w:lang w:eastAsia="en-CA"/>
              </w:rPr>
              <w:t xml:space="preserve">and GHS divisions at national, regional and district levels, and </w:t>
            </w:r>
            <w:r w:rsidR="00A64785">
              <w:rPr>
                <w:rFonts w:cs="Arial"/>
                <w:szCs w:val="22"/>
                <w:lang w:eastAsia="en-CA"/>
              </w:rPr>
              <w:t>GCNH</w:t>
            </w:r>
            <w:r w:rsidRPr="00B40A7C">
              <w:rPr>
                <w:rFonts w:cs="Arial"/>
                <w:szCs w:val="22"/>
                <w:lang w:eastAsia="en-CA"/>
              </w:rPr>
              <w:t xml:space="preserve"> submitted several and varied priorities. This challenge was mitigated by further review of regions, districts and divisional performance reports. Another challenge was ensuring better alignment with existing and potential future programmes and projects. To resolve this issue, the TWG engaged all coordinators of existing and potential future HSS projects and programmes in order to discuss details of the activities to ensure harmonisation, alignment, coherence and integration.</w:t>
            </w:r>
          </w:p>
          <w:p w:rsidR="00052899" w:rsidRPr="00B40A7C" w:rsidRDefault="00052899" w:rsidP="00052899">
            <w:pPr>
              <w:spacing w:before="120" w:after="120"/>
              <w:jc w:val="both"/>
              <w:rPr>
                <w:rFonts w:cs="Arial"/>
                <w:szCs w:val="22"/>
                <w:lang w:eastAsia="en-CA"/>
              </w:rPr>
            </w:pPr>
          </w:p>
          <w:p w:rsidR="00052899" w:rsidRPr="00B40A7C" w:rsidRDefault="00052899" w:rsidP="00052899">
            <w:pPr>
              <w:widowControl w:val="0"/>
              <w:autoSpaceDE w:val="0"/>
              <w:autoSpaceDN w:val="0"/>
              <w:adjustRightInd w:val="0"/>
              <w:ind w:left="540" w:hanging="540"/>
              <w:jc w:val="both"/>
              <w:rPr>
                <w:rFonts w:cs="Arial"/>
                <w:szCs w:val="22"/>
                <w:lang w:eastAsia="en-CA"/>
              </w:rPr>
            </w:pPr>
            <w:r w:rsidRPr="00B40A7C">
              <w:rPr>
                <w:rFonts w:cs="Arial"/>
                <w:bCs/>
                <w:szCs w:val="22"/>
                <w:lang w:eastAsia="en-CA"/>
              </w:rPr>
              <w:t xml:space="preserve">Roles and responsibilities of key partners (HSCC members and others)- Refer to Annex 1 </w:t>
            </w:r>
          </w:p>
          <w:p w:rsidR="00052899" w:rsidRPr="00B40A7C" w:rsidRDefault="00052899" w:rsidP="00052899">
            <w:pPr>
              <w:spacing w:before="120" w:after="120"/>
              <w:jc w:val="both"/>
              <w:rPr>
                <w:rFonts w:cs="Arial"/>
                <w:szCs w:val="22"/>
                <w:lang w:eastAsia="en-CA"/>
              </w:rPr>
            </w:pPr>
          </w:p>
          <w:p w:rsidR="00052899" w:rsidRPr="00B40A7C" w:rsidRDefault="00052899" w:rsidP="00052899">
            <w:pPr>
              <w:spacing w:before="120" w:after="120"/>
              <w:jc w:val="both"/>
              <w:rPr>
                <w:rFonts w:cs="Arial"/>
                <w:szCs w:val="22"/>
                <w:lang w:eastAsia="en-CA"/>
              </w:rPr>
            </w:pPr>
          </w:p>
          <w:p w:rsidR="00052899" w:rsidRPr="00B40A7C" w:rsidDel="00B724DA" w:rsidRDefault="00052899" w:rsidP="00052899">
            <w:pPr>
              <w:widowControl w:val="0"/>
              <w:autoSpaceDE w:val="0"/>
              <w:autoSpaceDN w:val="0"/>
              <w:adjustRightInd w:val="0"/>
              <w:ind w:left="540" w:hanging="540"/>
              <w:jc w:val="both"/>
              <w:rPr>
                <w:rFonts w:cs="Arial"/>
                <w:szCs w:val="22"/>
                <w:lang w:eastAsia="en-CA"/>
              </w:rPr>
            </w:pPr>
          </w:p>
          <w:p w:rsidR="00052899" w:rsidRPr="00B40A7C" w:rsidDel="00B724DA" w:rsidRDefault="00052899" w:rsidP="00052899">
            <w:pPr>
              <w:widowControl w:val="0"/>
              <w:autoSpaceDE w:val="0"/>
              <w:autoSpaceDN w:val="0"/>
              <w:adjustRightInd w:val="0"/>
              <w:jc w:val="both"/>
              <w:rPr>
                <w:rFonts w:cs="Arial"/>
                <w:szCs w:val="22"/>
                <w:lang w:eastAsia="en-CA"/>
              </w:rPr>
            </w:pPr>
          </w:p>
          <w:p w:rsidR="00052899" w:rsidRPr="00B40A7C" w:rsidRDefault="00052899" w:rsidP="00052899">
            <w:pPr>
              <w:spacing w:before="120" w:after="120"/>
              <w:jc w:val="both"/>
              <w:rPr>
                <w:rFonts w:cs="Arial"/>
                <w:szCs w:val="22"/>
                <w:highlight w:val="yellow"/>
              </w:rPr>
            </w:pPr>
            <w:r w:rsidRPr="00B40A7C">
              <w:rPr>
                <w:rFonts w:cs="Arial"/>
                <w:szCs w:val="22"/>
                <w:lang w:eastAsia="en-CA"/>
              </w:rPr>
              <w:t> </w:t>
            </w:r>
          </w:p>
        </w:tc>
      </w:tr>
    </w:tbl>
    <w:p w:rsidR="00052899" w:rsidRPr="00B40A7C" w:rsidRDefault="00052899" w:rsidP="00052899">
      <w:pPr>
        <w:jc w:val="both"/>
        <w:rPr>
          <w:rFonts w:cs="Arial"/>
          <w:szCs w:val="22"/>
        </w:rPr>
      </w:pPr>
    </w:p>
    <w:p w:rsidR="00052899" w:rsidRPr="00B40A7C" w:rsidRDefault="00052899" w:rsidP="00052899">
      <w:pPr>
        <w:spacing w:after="200" w:line="276" w:lineRule="auto"/>
        <w:jc w:val="both"/>
        <w:rPr>
          <w:rFonts w:cs="Arial"/>
          <w:szCs w:val="22"/>
        </w:rPr>
      </w:pPr>
      <w:r w:rsidRPr="00B40A7C">
        <w:rPr>
          <w:rFonts w:cs="Arial"/>
          <w:szCs w:val="22"/>
        </w:rPr>
        <w:br w:type="page"/>
      </w:r>
    </w:p>
    <w:tbl>
      <w:tblPr>
        <w:tblpPr w:leftFromText="180" w:rightFromText="180" w:vertAnchor="text" w:horzAnchor="page" w:tblpX="977" w:tblpY="-61"/>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CC"/>
        <w:tblLayout w:type="fixed"/>
        <w:tblLook w:val="01E0"/>
      </w:tblPr>
      <w:tblGrid>
        <w:gridCol w:w="10277"/>
      </w:tblGrid>
      <w:tr w:rsidR="00052899" w:rsidRPr="00B40A7C">
        <w:trPr>
          <w:trHeight w:val="544"/>
        </w:trPr>
        <w:tc>
          <w:tcPr>
            <w:tcW w:w="10277" w:type="dxa"/>
            <w:shd w:val="clear" w:color="auto" w:fill="006460"/>
          </w:tcPr>
          <w:p w:rsidR="00052899" w:rsidRPr="00B40A7C" w:rsidRDefault="00052899" w:rsidP="00052899">
            <w:pPr>
              <w:spacing w:before="120" w:after="120"/>
              <w:jc w:val="both"/>
              <w:rPr>
                <w:rFonts w:cs="Arial"/>
                <w:b/>
                <w:color w:val="FFFFFF"/>
                <w:szCs w:val="22"/>
              </w:rPr>
            </w:pPr>
            <w:r w:rsidRPr="00B40A7C">
              <w:rPr>
                <w:rFonts w:cs="Arial"/>
                <w:b/>
                <w:color w:val="FFFFFF"/>
                <w:szCs w:val="22"/>
              </w:rPr>
              <w:t xml:space="preserve">Signatures: Government endorsement </w:t>
            </w:r>
          </w:p>
        </w:tc>
      </w:tr>
      <w:tr w:rsidR="00052899" w:rsidRPr="00B40A7C">
        <w:trPr>
          <w:trHeight w:val="3017"/>
        </w:trPr>
        <w:tc>
          <w:tcPr>
            <w:tcW w:w="10277" w:type="dxa"/>
            <w:shd w:val="clear" w:color="auto" w:fill="FFFFFF"/>
          </w:tcPr>
          <w:p w:rsidR="00052899" w:rsidRPr="00B40A7C" w:rsidRDefault="00052899" w:rsidP="00052899">
            <w:pPr>
              <w:spacing w:before="120"/>
              <w:jc w:val="both"/>
              <w:rPr>
                <w:rFonts w:cs="Arial"/>
                <w:kern w:val="28"/>
                <w:szCs w:val="22"/>
                <w:lang w:val="en-US"/>
              </w:rPr>
            </w:pPr>
            <w:r w:rsidRPr="00B40A7C">
              <w:rPr>
                <w:rFonts w:cs="Arial"/>
                <w:kern w:val="28"/>
                <w:szCs w:val="22"/>
                <w:lang w:val="en-US"/>
              </w:rPr>
              <w:t>Please note that this application will not be reviewed or approved by GAVI without the signatures of both the Ministers of Health &amp; Finance and their delegated authority</w:t>
            </w:r>
          </w:p>
          <w:p w:rsidR="00052899" w:rsidRPr="00B40A7C" w:rsidRDefault="00052899" w:rsidP="00052899">
            <w:pPr>
              <w:pStyle w:val="Body1"/>
              <w:spacing w:before="120"/>
              <w:jc w:val="both"/>
              <w:rPr>
                <w:rFonts w:cs="Arial"/>
                <w:kern w:val="28"/>
                <w:szCs w:val="22"/>
              </w:rPr>
            </w:pPr>
            <w:bookmarkStart w:id="45" w:name="_Toc369498349"/>
            <w:bookmarkStart w:id="46" w:name="_Toc377026014"/>
            <w:bookmarkStart w:id="47" w:name="_Toc377543610"/>
            <w:bookmarkStart w:id="48" w:name="_Toc377545203"/>
            <w:r w:rsidRPr="00B40A7C">
              <w:rPr>
                <w:rFonts w:cs="Arial"/>
                <w:kern w:val="28"/>
                <w:szCs w:val="22"/>
              </w:rPr>
              <w:t>Minister of Health                                                              Minister of Finance:</w:t>
            </w:r>
            <w:bookmarkStart w:id="49" w:name="_Toc369498350"/>
            <w:bookmarkEnd w:id="45"/>
            <w:bookmarkEnd w:id="46"/>
            <w:bookmarkEnd w:id="47"/>
            <w:bookmarkEnd w:id="48"/>
          </w:p>
          <w:p w:rsidR="00052899" w:rsidRPr="00B40A7C" w:rsidRDefault="00052899" w:rsidP="00052899">
            <w:pPr>
              <w:pStyle w:val="Body1"/>
              <w:spacing w:before="120"/>
              <w:jc w:val="both"/>
              <w:rPr>
                <w:rFonts w:cs="Arial"/>
                <w:kern w:val="28"/>
                <w:szCs w:val="22"/>
              </w:rPr>
            </w:pPr>
            <w:bookmarkStart w:id="50" w:name="_Toc377026015"/>
            <w:bookmarkStart w:id="51" w:name="_Toc377543611"/>
            <w:bookmarkStart w:id="52" w:name="_Toc377545204"/>
            <w:r w:rsidRPr="00B40A7C">
              <w:rPr>
                <w:rFonts w:cs="Arial"/>
                <w:kern w:val="28"/>
                <w:szCs w:val="22"/>
              </w:rPr>
              <w:t xml:space="preserve">Name:  </w:t>
            </w:r>
            <w:r>
              <w:rPr>
                <w:rFonts w:cs="Arial"/>
                <w:szCs w:val="22"/>
              </w:rPr>
              <w:t xml:space="preserve">Hon. </w:t>
            </w:r>
            <w:r w:rsidRPr="00B40A7C">
              <w:rPr>
                <w:rFonts w:cs="Arial"/>
                <w:szCs w:val="22"/>
              </w:rPr>
              <w:t>Hanny-Sherry ARYITEY</w:t>
            </w:r>
            <w:r w:rsidRPr="00B40A7C">
              <w:rPr>
                <w:rFonts w:cs="Arial"/>
                <w:kern w:val="28"/>
                <w:szCs w:val="22"/>
              </w:rPr>
              <w:t xml:space="preserve">                               Name:</w:t>
            </w:r>
            <w:r>
              <w:rPr>
                <w:rFonts w:cs="Arial"/>
                <w:kern w:val="28"/>
                <w:szCs w:val="22"/>
              </w:rPr>
              <w:t xml:space="preserve"> </w:t>
            </w:r>
            <w:r>
              <w:rPr>
                <w:rFonts w:cs="Arial"/>
                <w:szCs w:val="22"/>
              </w:rPr>
              <w:t xml:space="preserve">Hon. </w:t>
            </w:r>
            <w:r w:rsidRPr="00B40A7C">
              <w:rPr>
                <w:rFonts w:cs="Arial"/>
                <w:szCs w:val="22"/>
              </w:rPr>
              <w:t>Seth Emmanuel TEKPER</w:t>
            </w:r>
            <w:bookmarkEnd w:id="49"/>
            <w:bookmarkEnd w:id="50"/>
            <w:bookmarkEnd w:id="51"/>
            <w:bookmarkEnd w:id="52"/>
          </w:p>
          <w:p w:rsidR="00052899" w:rsidRPr="00B40A7C" w:rsidRDefault="00052899" w:rsidP="00052899">
            <w:pPr>
              <w:pStyle w:val="Body1"/>
              <w:spacing w:before="120"/>
              <w:jc w:val="both"/>
              <w:rPr>
                <w:rFonts w:cs="Arial"/>
                <w:kern w:val="28"/>
                <w:szCs w:val="22"/>
              </w:rPr>
            </w:pPr>
            <w:bookmarkStart w:id="53" w:name="_Toc369498351"/>
            <w:bookmarkStart w:id="54" w:name="_Toc377026016"/>
            <w:bookmarkStart w:id="55" w:name="_Toc377543612"/>
            <w:bookmarkStart w:id="56" w:name="_Toc377545205"/>
            <w:r w:rsidRPr="00B40A7C">
              <w:rPr>
                <w:rFonts w:cs="Arial"/>
                <w:kern w:val="28"/>
                <w:szCs w:val="22"/>
              </w:rPr>
              <w:t>Signature:                                                                         Signature:</w:t>
            </w:r>
            <w:bookmarkEnd w:id="53"/>
            <w:bookmarkEnd w:id="54"/>
            <w:bookmarkEnd w:id="55"/>
            <w:bookmarkEnd w:id="56"/>
          </w:p>
          <w:p w:rsidR="00052899" w:rsidRPr="00B40A7C" w:rsidRDefault="00052899" w:rsidP="00052899">
            <w:pPr>
              <w:pStyle w:val="Body1"/>
              <w:spacing w:before="120"/>
              <w:jc w:val="both"/>
              <w:rPr>
                <w:rFonts w:cs="Arial"/>
                <w:kern w:val="28"/>
                <w:szCs w:val="22"/>
              </w:rPr>
            </w:pPr>
          </w:p>
          <w:p w:rsidR="00052899" w:rsidRDefault="00052899" w:rsidP="00052899">
            <w:pPr>
              <w:jc w:val="both"/>
              <w:rPr>
                <w:rFonts w:cs="Arial"/>
                <w:kern w:val="28"/>
                <w:szCs w:val="22"/>
              </w:rPr>
            </w:pPr>
            <w:bookmarkStart w:id="57" w:name="_Toc369498352"/>
            <w:r w:rsidRPr="009E3797">
              <w:rPr>
                <w:rFonts w:cs="Arial"/>
                <w:kern w:val="28"/>
                <w:szCs w:val="22"/>
              </w:rPr>
              <w:t xml:space="preserve">Date:      </w:t>
            </w:r>
            <w:r>
              <w:rPr>
                <w:rFonts w:cs="Arial"/>
                <w:kern w:val="28"/>
                <w:szCs w:val="22"/>
              </w:rPr>
              <w:t xml:space="preserve">______________________                          </w:t>
            </w:r>
            <w:r w:rsidRPr="009E3797">
              <w:rPr>
                <w:rFonts w:cs="Arial"/>
                <w:kern w:val="28"/>
                <w:szCs w:val="22"/>
              </w:rPr>
              <w:t xml:space="preserve">Date:     </w:t>
            </w:r>
            <w:r>
              <w:rPr>
                <w:rFonts w:cs="Arial"/>
                <w:kern w:val="28"/>
                <w:szCs w:val="22"/>
              </w:rPr>
              <w:t>____________________________</w:t>
            </w:r>
            <w:bookmarkEnd w:id="57"/>
          </w:p>
          <w:p w:rsidR="00052899" w:rsidRDefault="00052899" w:rsidP="00052899">
            <w:pPr>
              <w:jc w:val="both"/>
              <w:rPr>
                <w:rFonts w:cs="Arial"/>
                <w:kern w:val="28"/>
                <w:szCs w:val="22"/>
              </w:rPr>
            </w:pPr>
          </w:p>
          <w:p w:rsidR="00052899" w:rsidRPr="00291E76" w:rsidRDefault="00052899" w:rsidP="00052899">
            <w:pPr>
              <w:jc w:val="both"/>
              <w:rPr>
                <w:rFonts w:cs="Arial"/>
                <w:kern w:val="28"/>
                <w:szCs w:val="22"/>
              </w:rPr>
            </w:pPr>
            <w:r>
              <w:rPr>
                <w:rFonts w:cs="Arial"/>
                <w:kern w:val="28"/>
                <w:szCs w:val="22"/>
              </w:rPr>
              <w:t xml:space="preserve">Tel: +233-302665323  Fax: +233-302663810     Tel: </w:t>
            </w:r>
            <w:r w:rsidRPr="00291E76">
              <w:rPr>
                <w:rFonts w:cs="Arial"/>
                <w:kern w:val="28"/>
                <w:szCs w:val="22"/>
              </w:rPr>
              <w:t xml:space="preserve"> +233</w:t>
            </w:r>
            <w:r>
              <w:rPr>
                <w:rFonts w:cs="Arial"/>
                <w:kern w:val="28"/>
                <w:szCs w:val="22"/>
              </w:rPr>
              <w:t>-</w:t>
            </w:r>
            <w:r w:rsidRPr="00291E76">
              <w:rPr>
                <w:rFonts w:cs="Arial"/>
                <w:kern w:val="28"/>
                <w:szCs w:val="22"/>
              </w:rPr>
              <w:t>302665132</w:t>
            </w:r>
            <w:r>
              <w:rPr>
                <w:rFonts w:cs="Arial"/>
                <w:kern w:val="28"/>
                <w:szCs w:val="22"/>
              </w:rPr>
              <w:t xml:space="preserve"> Fax:……………………………                                </w:t>
            </w:r>
          </w:p>
        </w:tc>
      </w:tr>
    </w:tbl>
    <w:p w:rsidR="00052899" w:rsidRPr="00B40A7C" w:rsidRDefault="00052899" w:rsidP="00052899">
      <w:pPr>
        <w:spacing w:after="200" w:line="276" w:lineRule="auto"/>
        <w:jc w:val="both"/>
        <w:rPr>
          <w:rFonts w:cs="Arial"/>
          <w:szCs w:val="22"/>
        </w:rPr>
      </w:pPr>
    </w:p>
    <w:tbl>
      <w:tblPr>
        <w:tblpPr w:leftFromText="180" w:rightFromText="180" w:vertAnchor="text" w:horzAnchor="page" w:tblpX="977" w:tblpY="-61"/>
        <w:tblW w:w="10314"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99CCCC"/>
        <w:tblLayout w:type="fixed"/>
        <w:tblLook w:val="01E0"/>
      </w:tblPr>
      <w:tblGrid>
        <w:gridCol w:w="1242"/>
        <w:gridCol w:w="3119"/>
        <w:gridCol w:w="1827"/>
        <w:gridCol w:w="2063"/>
        <w:gridCol w:w="2063"/>
      </w:tblGrid>
      <w:tr w:rsidR="00052899" w:rsidRPr="00B40A7C">
        <w:tc>
          <w:tcPr>
            <w:tcW w:w="10314" w:type="dxa"/>
            <w:gridSpan w:val="5"/>
            <w:shd w:val="clear" w:color="auto" w:fill="006460"/>
          </w:tcPr>
          <w:p w:rsidR="00052899" w:rsidRPr="00B40A7C" w:rsidRDefault="00052899" w:rsidP="00052899">
            <w:pPr>
              <w:spacing w:before="120" w:after="120"/>
              <w:jc w:val="both"/>
              <w:rPr>
                <w:rFonts w:cs="Arial"/>
                <w:b/>
                <w:color w:val="FFFFFF"/>
                <w:szCs w:val="22"/>
              </w:rPr>
            </w:pPr>
            <w:r w:rsidRPr="00B40A7C">
              <w:rPr>
                <w:rFonts w:cs="Arial"/>
                <w:b/>
                <w:color w:val="FFFFFF"/>
                <w:szCs w:val="22"/>
              </w:rPr>
              <w:t xml:space="preserve">Signatures: Health Sector Coordinating Committee endorsement </w:t>
            </w:r>
          </w:p>
        </w:tc>
      </w:tr>
      <w:tr w:rsidR="00052899" w:rsidRPr="00B40A7C">
        <w:trPr>
          <w:trHeight w:val="761"/>
        </w:trPr>
        <w:tc>
          <w:tcPr>
            <w:tcW w:w="10314" w:type="dxa"/>
            <w:gridSpan w:val="5"/>
            <w:shd w:val="clear" w:color="auto" w:fill="FFFFFF"/>
          </w:tcPr>
          <w:p w:rsidR="00052899" w:rsidRPr="00B40A7C" w:rsidRDefault="00052899" w:rsidP="00052899">
            <w:pPr>
              <w:jc w:val="both"/>
              <w:rPr>
                <w:rFonts w:cs="Arial"/>
                <w:kern w:val="28"/>
                <w:szCs w:val="22"/>
                <w:lang w:val="en-US"/>
              </w:rPr>
            </w:pPr>
          </w:p>
          <w:p w:rsidR="00052899" w:rsidRPr="00B40A7C" w:rsidRDefault="00052899" w:rsidP="00052899">
            <w:pPr>
              <w:jc w:val="both"/>
              <w:rPr>
                <w:rFonts w:cs="Arial"/>
                <w:kern w:val="28"/>
                <w:szCs w:val="22"/>
                <w:lang w:val="en-US"/>
              </w:rPr>
            </w:pPr>
            <w:r w:rsidRPr="00B40A7C">
              <w:rPr>
                <w:rFonts w:cs="Arial"/>
                <w:kern w:val="28"/>
                <w:szCs w:val="22"/>
                <w:lang w:val="en-US"/>
              </w:rPr>
              <w:t xml:space="preserve">We the members of the HSCC, or equivalent committee met on the </w:t>
            </w:r>
            <w:r>
              <w:rPr>
                <w:rFonts w:cs="Arial"/>
                <w:kern w:val="28"/>
                <w:szCs w:val="22"/>
                <w:lang w:val="en-US"/>
              </w:rPr>
              <w:t>________________</w:t>
            </w:r>
            <w:r w:rsidRPr="00B40A7C">
              <w:rPr>
                <w:rFonts w:cs="Arial"/>
                <w:kern w:val="28"/>
                <w:szCs w:val="22"/>
                <w:lang w:val="en-US"/>
              </w:rPr>
              <w:t xml:space="preserve"> (date) to review this proposal. At that meeting we endorsed this proposal on the basis of the supporting documentation which is attached. The minutes of the meeting endorsing this proposal are attached to this application. </w:t>
            </w:r>
          </w:p>
          <w:p w:rsidR="00052899" w:rsidRPr="00B40A7C" w:rsidRDefault="00052899" w:rsidP="00052899">
            <w:pPr>
              <w:jc w:val="both"/>
              <w:rPr>
                <w:rFonts w:cs="Arial"/>
                <w:kern w:val="28"/>
                <w:szCs w:val="22"/>
                <w:lang w:val="en-US"/>
              </w:rPr>
            </w:pPr>
          </w:p>
        </w:tc>
      </w:tr>
      <w:tr w:rsidR="00052899" w:rsidRPr="00B40A7C">
        <w:trPr>
          <w:trHeight w:val="761"/>
        </w:trPr>
        <w:tc>
          <w:tcPr>
            <w:tcW w:w="1242" w:type="dxa"/>
            <w:shd w:val="clear" w:color="auto" w:fill="FFFFFF"/>
          </w:tcPr>
          <w:p w:rsidR="00052899" w:rsidRPr="00B40A7C" w:rsidRDefault="00052899" w:rsidP="00052899">
            <w:pPr>
              <w:jc w:val="both"/>
              <w:rPr>
                <w:rFonts w:cs="Arial"/>
                <w:kern w:val="28"/>
                <w:szCs w:val="22"/>
                <w:lang w:val="en-US"/>
              </w:rPr>
            </w:pPr>
            <w:r w:rsidRPr="00B40A7C">
              <w:rPr>
                <w:rFonts w:cs="Arial"/>
                <w:kern w:val="28"/>
                <w:szCs w:val="22"/>
                <w:lang w:val="en-US"/>
              </w:rPr>
              <w:t>Please list all ICC members</w:t>
            </w:r>
          </w:p>
        </w:tc>
        <w:tc>
          <w:tcPr>
            <w:tcW w:w="3119" w:type="dxa"/>
            <w:shd w:val="clear" w:color="auto" w:fill="FFFFFF"/>
          </w:tcPr>
          <w:p w:rsidR="00052899" w:rsidRPr="00B40A7C" w:rsidRDefault="00052899" w:rsidP="00052899">
            <w:pPr>
              <w:jc w:val="both"/>
              <w:rPr>
                <w:rFonts w:cs="Arial"/>
                <w:kern w:val="28"/>
                <w:szCs w:val="22"/>
                <w:lang w:val="en-US"/>
              </w:rPr>
            </w:pPr>
          </w:p>
          <w:p w:rsidR="00052899" w:rsidRPr="00B40A7C" w:rsidRDefault="00052899" w:rsidP="00052899">
            <w:pPr>
              <w:jc w:val="both"/>
              <w:rPr>
                <w:rFonts w:cs="Arial"/>
                <w:color w:val="FF0000"/>
                <w:szCs w:val="22"/>
                <w:lang w:val="en-US"/>
              </w:rPr>
            </w:pPr>
            <w:r w:rsidRPr="00B40A7C">
              <w:rPr>
                <w:rFonts w:cs="Arial"/>
                <w:kern w:val="28"/>
                <w:szCs w:val="22"/>
                <w:lang w:val="en-US"/>
              </w:rPr>
              <w:t>Title / Organisation</w:t>
            </w:r>
          </w:p>
        </w:tc>
        <w:tc>
          <w:tcPr>
            <w:tcW w:w="1827" w:type="dxa"/>
            <w:shd w:val="clear" w:color="auto" w:fill="FFFFFF"/>
          </w:tcPr>
          <w:p w:rsidR="00052899" w:rsidRPr="00B40A7C" w:rsidRDefault="00052899" w:rsidP="00052899">
            <w:pPr>
              <w:jc w:val="both"/>
              <w:rPr>
                <w:rFonts w:cs="Arial"/>
                <w:color w:val="FF0000"/>
                <w:szCs w:val="22"/>
                <w:lang w:val="en-US"/>
              </w:rPr>
            </w:pPr>
          </w:p>
          <w:p w:rsidR="00052899" w:rsidRPr="00B40A7C" w:rsidRDefault="00052899" w:rsidP="00052899">
            <w:pPr>
              <w:jc w:val="both"/>
              <w:rPr>
                <w:rFonts w:cs="Arial"/>
                <w:color w:val="FF0000"/>
                <w:szCs w:val="22"/>
                <w:lang w:val="en-US"/>
              </w:rPr>
            </w:pPr>
            <w:r w:rsidRPr="00B40A7C">
              <w:rPr>
                <w:rFonts w:cs="Arial"/>
                <w:kern w:val="28"/>
                <w:szCs w:val="22"/>
                <w:lang w:val="en-US"/>
              </w:rPr>
              <w:t>Name</w:t>
            </w:r>
          </w:p>
        </w:tc>
        <w:tc>
          <w:tcPr>
            <w:tcW w:w="2063" w:type="dxa"/>
            <w:shd w:val="clear" w:color="auto" w:fill="FFFFFF"/>
          </w:tcPr>
          <w:p w:rsidR="00052899" w:rsidRPr="00B40A7C" w:rsidRDefault="00052899" w:rsidP="00052899">
            <w:pPr>
              <w:jc w:val="both"/>
              <w:rPr>
                <w:rFonts w:cs="Arial"/>
                <w:color w:val="FF0000"/>
                <w:szCs w:val="22"/>
                <w:lang w:val="en-US"/>
              </w:rPr>
            </w:pPr>
            <w:r w:rsidRPr="00B40A7C">
              <w:rPr>
                <w:rFonts w:cs="Arial"/>
                <w:kern w:val="28"/>
                <w:szCs w:val="22"/>
                <w:lang w:val="en-US"/>
              </w:rPr>
              <w:t>Please sign below to indicate the attendance at the meeting where the proposal was endorsed</w:t>
            </w:r>
          </w:p>
        </w:tc>
        <w:tc>
          <w:tcPr>
            <w:tcW w:w="2063" w:type="dxa"/>
            <w:shd w:val="clear" w:color="auto" w:fill="FFFFFF"/>
          </w:tcPr>
          <w:p w:rsidR="00052899" w:rsidRPr="00B40A7C" w:rsidRDefault="00052899" w:rsidP="00052899">
            <w:pPr>
              <w:jc w:val="both"/>
              <w:rPr>
                <w:rFonts w:cs="Arial"/>
                <w:color w:val="FF0000"/>
                <w:szCs w:val="22"/>
                <w:lang w:val="en-US"/>
              </w:rPr>
            </w:pPr>
            <w:r w:rsidRPr="00B40A7C">
              <w:rPr>
                <w:rFonts w:cs="Arial"/>
                <w:kern w:val="28"/>
                <w:szCs w:val="22"/>
                <w:lang w:val="en-US"/>
              </w:rPr>
              <w:t>Please sign below to indicate the endorsement of the minutes where the proposal</w:t>
            </w:r>
            <w:r>
              <w:rPr>
                <w:rFonts w:cs="Arial"/>
                <w:kern w:val="28"/>
                <w:szCs w:val="22"/>
                <w:lang w:val="en-US"/>
              </w:rPr>
              <w:t xml:space="preserve"> </w:t>
            </w:r>
            <w:r w:rsidRPr="00B40A7C">
              <w:rPr>
                <w:rFonts w:cs="Arial"/>
                <w:kern w:val="28"/>
                <w:szCs w:val="22"/>
                <w:lang w:val="en-US"/>
              </w:rPr>
              <w:t>was</w:t>
            </w:r>
            <w:r>
              <w:rPr>
                <w:rFonts w:cs="Arial"/>
                <w:kern w:val="28"/>
                <w:szCs w:val="22"/>
                <w:lang w:val="en-US"/>
              </w:rPr>
              <w:t xml:space="preserve"> </w:t>
            </w:r>
            <w:r w:rsidRPr="00B40A7C">
              <w:rPr>
                <w:rFonts w:cs="Arial"/>
                <w:kern w:val="28"/>
                <w:szCs w:val="22"/>
                <w:lang w:val="en-US"/>
              </w:rPr>
              <w:t>discussed</w:t>
            </w:r>
          </w:p>
        </w:tc>
      </w:tr>
      <w:tr w:rsidR="00052899" w:rsidRPr="00B40A7C">
        <w:trPr>
          <w:trHeight w:val="497"/>
        </w:trPr>
        <w:tc>
          <w:tcPr>
            <w:tcW w:w="1242" w:type="dxa"/>
            <w:shd w:val="clear" w:color="auto" w:fill="FFFFFF"/>
          </w:tcPr>
          <w:p w:rsidR="00052899" w:rsidRPr="00B40A7C" w:rsidRDefault="00052899" w:rsidP="00052899">
            <w:pPr>
              <w:jc w:val="both"/>
              <w:rPr>
                <w:rFonts w:cs="Arial"/>
                <w:kern w:val="28"/>
                <w:szCs w:val="22"/>
                <w:lang w:val="en-US"/>
              </w:rPr>
            </w:pPr>
            <w:r w:rsidRPr="00B40A7C">
              <w:rPr>
                <w:rFonts w:cs="Arial"/>
                <w:kern w:val="28"/>
                <w:szCs w:val="22"/>
                <w:lang w:val="en-US"/>
              </w:rPr>
              <w:t>Chair</w:t>
            </w:r>
          </w:p>
        </w:tc>
        <w:tc>
          <w:tcPr>
            <w:tcW w:w="3119" w:type="dxa"/>
            <w:shd w:val="clear" w:color="auto" w:fill="FFFFFF"/>
          </w:tcPr>
          <w:p w:rsidR="00052899" w:rsidRPr="00B40A7C" w:rsidRDefault="00052899" w:rsidP="00052899">
            <w:pPr>
              <w:jc w:val="both"/>
              <w:rPr>
                <w:rFonts w:cs="Arial"/>
                <w:kern w:val="28"/>
                <w:szCs w:val="22"/>
                <w:lang w:val="en-US"/>
              </w:rPr>
            </w:pPr>
            <w:r w:rsidRPr="00B40A7C">
              <w:rPr>
                <w:rFonts w:cs="Arial"/>
                <w:kern w:val="28"/>
                <w:szCs w:val="22"/>
                <w:lang w:val="en-US"/>
              </w:rPr>
              <w:t>Chief Director/MOH</w:t>
            </w:r>
          </w:p>
        </w:tc>
        <w:tc>
          <w:tcPr>
            <w:tcW w:w="1827" w:type="dxa"/>
            <w:shd w:val="clear" w:color="auto" w:fill="FFFFFF"/>
          </w:tcPr>
          <w:p w:rsidR="00052899" w:rsidRPr="00B40A7C" w:rsidRDefault="00052899" w:rsidP="00052899">
            <w:pPr>
              <w:jc w:val="both"/>
              <w:rPr>
                <w:rFonts w:cs="Arial"/>
                <w:kern w:val="28"/>
                <w:szCs w:val="22"/>
                <w:lang w:val="en-US"/>
              </w:rPr>
            </w:pPr>
            <w:r w:rsidRPr="00B40A7C">
              <w:rPr>
                <w:rFonts w:cs="Arial"/>
                <w:kern w:val="28"/>
                <w:szCs w:val="22"/>
                <w:lang w:val="en-US"/>
              </w:rPr>
              <w:t>Salamatu Abdul Salaam</w:t>
            </w:r>
          </w:p>
        </w:tc>
        <w:tc>
          <w:tcPr>
            <w:tcW w:w="2063" w:type="dxa"/>
            <w:shd w:val="clear" w:color="auto" w:fill="FFFFFF"/>
          </w:tcPr>
          <w:p w:rsidR="00052899" w:rsidRPr="00B40A7C" w:rsidRDefault="00052899" w:rsidP="00052899">
            <w:pPr>
              <w:jc w:val="both"/>
              <w:rPr>
                <w:rFonts w:cs="Arial"/>
                <w:kern w:val="28"/>
                <w:szCs w:val="22"/>
                <w:lang w:val="en-US"/>
              </w:rPr>
            </w:pPr>
          </w:p>
        </w:tc>
        <w:tc>
          <w:tcPr>
            <w:tcW w:w="2063" w:type="dxa"/>
            <w:shd w:val="clear" w:color="auto" w:fill="FFFFFF"/>
          </w:tcPr>
          <w:p w:rsidR="00052899" w:rsidRPr="00B40A7C" w:rsidRDefault="00052899" w:rsidP="00052899">
            <w:pPr>
              <w:jc w:val="both"/>
              <w:rPr>
                <w:rFonts w:cs="Arial"/>
                <w:kern w:val="28"/>
                <w:szCs w:val="22"/>
                <w:lang w:val="en-US"/>
              </w:rPr>
            </w:pPr>
          </w:p>
        </w:tc>
      </w:tr>
      <w:tr w:rsidR="00052899" w:rsidRPr="00B40A7C">
        <w:trPr>
          <w:trHeight w:val="497"/>
        </w:trPr>
        <w:tc>
          <w:tcPr>
            <w:tcW w:w="1242" w:type="dxa"/>
            <w:shd w:val="clear" w:color="auto" w:fill="FFFFFF"/>
          </w:tcPr>
          <w:p w:rsidR="00052899" w:rsidRPr="00B40A7C" w:rsidRDefault="00052899" w:rsidP="00052899">
            <w:pPr>
              <w:jc w:val="both"/>
              <w:rPr>
                <w:rFonts w:cs="Arial"/>
                <w:kern w:val="28"/>
                <w:szCs w:val="22"/>
                <w:lang w:val="en-US"/>
              </w:rPr>
            </w:pPr>
            <w:r w:rsidRPr="00B40A7C">
              <w:rPr>
                <w:rFonts w:cs="Arial"/>
                <w:kern w:val="28"/>
                <w:szCs w:val="22"/>
                <w:lang w:val="en-US"/>
              </w:rPr>
              <w:t>Secretary</w:t>
            </w:r>
          </w:p>
        </w:tc>
        <w:tc>
          <w:tcPr>
            <w:tcW w:w="3119" w:type="dxa"/>
            <w:shd w:val="clear" w:color="auto" w:fill="FFFFFF"/>
          </w:tcPr>
          <w:p w:rsidR="00052899" w:rsidRPr="00B40A7C" w:rsidRDefault="00052899" w:rsidP="00052899">
            <w:pPr>
              <w:jc w:val="both"/>
              <w:rPr>
                <w:rFonts w:cs="Arial"/>
                <w:kern w:val="28"/>
                <w:szCs w:val="22"/>
                <w:lang w:val="en-US"/>
              </w:rPr>
            </w:pPr>
            <w:r w:rsidRPr="00B40A7C">
              <w:rPr>
                <w:rFonts w:cs="Arial"/>
                <w:kern w:val="28"/>
                <w:szCs w:val="22"/>
                <w:lang w:val="en-US"/>
              </w:rPr>
              <w:t>Director PPME/MOH</w:t>
            </w:r>
          </w:p>
        </w:tc>
        <w:tc>
          <w:tcPr>
            <w:tcW w:w="1827" w:type="dxa"/>
            <w:shd w:val="clear" w:color="auto" w:fill="FFFFFF"/>
          </w:tcPr>
          <w:p w:rsidR="00052899" w:rsidRPr="00B40A7C" w:rsidRDefault="00052899" w:rsidP="00052899">
            <w:pPr>
              <w:jc w:val="both"/>
              <w:rPr>
                <w:rFonts w:cs="Arial"/>
                <w:kern w:val="28"/>
                <w:szCs w:val="22"/>
                <w:lang w:val="en-US"/>
              </w:rPr>
            </w:pPr>
            <w:r w:rsidRPr="00185D81">
              <w:rPr>
                <w:rFonts w:cs="Arial"/>
                <w:kern w:val="28"/>
                <w:szCs w:val="22"/>
                <w:lang w:val="en-US"/>
              </w:rPr>
              <w:t>Dr. Afisah Zakariah</w:t>
            </w:r>
          </w:p>
        </w:tc>
        <w:tc>
          <w:tcPr>
            <w:tcW w:w="2063" w:type="dxa"/>
            <w:shd w:val="clear" w:color="auto" w:fill="FFFFFF"/>
          </w:tcPr>
          <w:p w:rsidR="00052899" w:rsidRPr="00B40A7C" w:rsidRDefault="00052899" w:rsidP="00052899">
            <w:pPr>
              <w:jc w:val="both"/>
              <w:rPr>
                <w:rFonts w:cs="Arial"/>
                <w:kern w:val="28"/>
                <w:szCs w:val="22"/>
                <w:lang w:val="en-US"/>
              </w:rPr>
            </w:pPr>
          </w:p>
        </w:tc>
        <w:tc>
          <w:tcPr>
            <w:tcW w:w="2063" w:type="dxa"/>
            <w:shd w:val="clear" w:color="auto" w:fill="FFFFFF"/>
          </w:tcPr>
          <w:p w:rsidR="00052899" w:rsidRPr="00B40A7C" w:rsidRDefault="00052899" w:rsidP="00052899">
            <w:pPr>
              <w:jc w:val="both"/>
              <w:rPr>
                <w:rFonts w:cs="Arial"/>
                <w:kern w:val="28"/>
                <w:szCs w:val="22"/>
                <w:lang w:val="en-US"/>
              </w:rPr>
            </w:pPr>
          </w:p>
        </w:tc>
      </w:tr>
      <w:tr w:rsidR="00052899" w:rsidRPr="00B40A7C">
        <w:trPr>
          <w:trHeight w:val="497"/>
        </w:trPr>
        <w:tc>
          <w:tcPr>
            <w:tcW w:w="1242" w:type="dxa"/>
            <w:vMerge w:val="restart"/>
            <w:shd w:val="clear" w:color="auto" w:fill="FFFFFF"/>
          </w:tcPr>
          <w:p w:rsidR="00052899" w:rsidRPr="00B40A7C" w:rsidRDefault="00052899" w:rsidP="00052899">
            <w:pPr>
              <w:jc w:val="both"/>
              <w:rPr>
                <w:rFonts w:cs="Arial"/>
                <w:kern w:val="28"/>
                <w:szCs w:val="22"/>
                <w:lang w:val="en-US"/>
              </w:rPr>
            </w:pPr>
          </w:p>
          <w:p w:rsidR="00052899" w:rsidRPr="00B40A7C" w:rsidRDefault="00052899" w:rsidP="00052899">
            <w:pPr>
              <w:jc w:val="both"/>
              <w:rPr>
                <w:rFonts w:cs="Arial"/>
                <w:kern w:val="28"/>
                <w:szCs w:val="22"/>
                <w:lang w:val="en-US"/>
              </w:rPr>
            </w:pPr>
          </w:p>
          <w:p w:rsidR="00052899" w:rsidRPr="00B40A7C" w:rsidRDefault="00052899" w:rsidP="00052899">
            <w:pPr>
              <w:jc w:val="both"/>
              <w:rPr>
                <w:rFonts w:cs="Arial"/>
                <w:kern w:val="28"/>
                <w:szCs w:val="22"/>
                <w:lang w:val="en-US"/>
              </w:rPr>
            </w:pPr>
            <w:r w:rsidRPr="00B40A7C">
              <w:rPr>
                <w:rFonts w:cs="Arial"/>
                <w:kern w:val="28"/>
                <w:szCs w:val="22"/>
                <w:lang w:val="en-US"/>
              </w:rPr>
              <w:t>Members</w:t>
            </w:r>
          </w:p>
        </w:tc>
        <w:tc>
          <w:tcPr>
            <w:tcW w:w="3119" w:type="dxa"/>
            <w:shd w:val="clear" w:color="auto" w:fill="FFFFFF"/>
          </w:tcPr>
          <w:p w:rsidR="00052899" w:rsidRPr="00B40A7C" w:rsidRDefault="00052899" w:rsidP="00052899">
            <w:pPr>
              <w:jc w:val="both"/>
              <w:rPr>
                <w:rFonts w:cs="Arial"/>
                <w:kern w:val="28"/>
                <w:szCs w:val="22"/>
                <w:lang w:val="en-US"/>
              </w:rPr>
            </w:pPr>
            <w:r w:rsidRPr="00B40A7C">
              <w:rPr>
                <w:rFonts w:cs="Arial"/>
                <w:kern w:val="28"/>
                <w:szCs w:val="22"/>
                <w:lang w:val="en-US"/>
              </w:rPr>
              <w:t>Senior Health Advisor/DFID</w:t>
            </w:r>
          </w:p>
          <w:p w:rsidR="00052899" w:rsidRPr="00B40A7C" w:rsidRDefault="00052899" w:rsidP="00052899">
            <w:pPr>
              <w:jc w:val="both"/>
              <w:rPr>
                <w:rFonts w:cs="Arial"/>
                <w:kern w:val="28"/>
                <w:szCs w:val="22"/>
                <w:lang w:val="en-US"/>
              </w:rPr>
            </w:pPr>
            <w:r w:rsidRPr="00B40A7C">
              <w:rPr>
                <w:rFonts w:cs="Arial"/>
                <w:kern w:val="28"/>
                <w:szCs w:val="22"/>
                <w:lang w:val="en-US"/>
              </w:rPr>
              <w:t>Lead, Health Development Partners</w:t>
            </w:r>
          </w:p>
        </w:tc>
        <w:tc>
          <w:tcPr>
            <w:tcW w:w="1827" w:type="dxa"/>
            <w:shd w:val="clear" w:color="auto" w:fill="FFFFFF"/>
          </w:tcPr>
          <w:p w:rsidR="00052899" w:rsidRPr="00B40A7C" w:rsidRDefault="00052899" w:rsidP="00052899">
            <w:pPr>
              <w:jc w:val="both"/>
              <w:rPr>
                <w:rFonts w:cs="Arial"/>
                <w:kern w:val="28"/>
                <w:szCs w:val="22"/>
                <w:lang w:val="en-US"/>
              </w:rPr>
            </w:pPr>
            <w:r w:rsidRPr="00B40A7C">
              <w:rPr>
                <w:rFonts w:cs="Arial"/>
                <w:kern w:val="28"/>
                <w:szCs w:val="22"/>
                <w:lang w:val="en-US"/>
              </w:rPr>
              <w:t>Susan Elden</w:t>
            </w:r>
          </w:p>
        </w:tc>
        <w:tc>
          <w:tcPr>
            <w:tcW w:w="2063" w:type="dxa"/>
            <w:shd w:val="clear" w:color="auto" w:fill="FFFFFF"/>
          </w:tcPr>
          <w:p w:rsidR="00052899" w:rsidRPr="00B40A7C" w:rsidRDefault="00052899" w:rsidP="00052899">
            <w:pPr>
              <w:jc w:val="both"/>
              <w:rPr>
                <w:rFonts w:cs="Arial"/>
                <w:kern w:val="28"/>
                <w:szCs w:val="22"/>
                <w:lang w:val="en-US"/>
              </w:rPr>
            </w:pPr>
          </w:p>
        </w:tc>
        <w:tc>
          <w:tcPr>
            <w:tcW w:w="2063" w:type="dxa"/>
            <w:shd w:val="clear" w:color="auto" w:fill="FFFFFF"/>
          </w:tcPr>
          <w:p w:rsidR="00052899" w:rsidRPr="00B40A7C" w:rsidRDefault="00052899" w:rsidP="00052899">
            <w:pPr>
              <w:jc w:val="both"/>
              <w:rPr>
                <w:rFonts w:cs="Arial"/>
                <w:kern w:val="28"/>
                <w:szCs w:val="22"/>
                <w:lang w:val="en-US"/>
              </w:rPr>
            </w:pPr>
          </w:p>
        </w:tc>
      </w:tr>
      <w:tr w:rsidR="00052899" w:rsidRPr="00B40A7C">
        <w:trPr>
          <w:trHeight w:val="497"/>
        </w:trPr>
        <w:tc>
          <w:tcPr>
            <w:tcW w:w="1242" w:type="dxa"/>
            <w:vMerge/>
            <w:shd w:val="clear" w:color="auto" w:fill="FFFFFF"/>
          </w:tcPr>
          <w:p w:rsidR="00052899" w:rsidRPr="00B40A7C" w:rsidRDefault="00052899" w:rsidP="00052899">
            <w:pPr>
              <w:jc w:val="both"/>
              <w:rPr>
                <w:rFonts w:cs="Arial"/>
                <w:kern w:val="28"/>
                <w:szCs w:val="22"/>
                <w:lang w:val="en-US"/>
              </w:rPr>
            </w:pPr>
          </w:p>
        </w:tc>
        <w:tc>
          <w:tcPr>
            <w:tcW w:w="3119" w:type="dxa"/>
            <w:shd w:val="clear" w:color="auto" w:fill="FFFFFF"/>
          </w:tcPr>
          <w:p w:rsidR="00052899" w:rsidRPr="00B40A7C" w:rsidRDefault="00052899" w:rsidP="00052899">
            <w:pPr>
              <w:jc w:val="both"/>
              <w:rPr>
                <w:rFonts w:cs="Arial"/>
                <w:kern w:val="28"/>
                <w:szCs w:val="22"/>
                <w:lang w:val="en-US"/>
              </w:rPr>
            </w:pPr>
            <w:r w:rsidRPr="00B40A7C">
              <w:rPr>
                <w:rFonts w:cs="Arial"/>
                <w:kern w:val="28"/>
                <w:szCs w:val="22"/>
                <w:lang w:val="en-US"/>
              </w:rPr>
              <w:t>Officer In Charge/WHO</w:t>
            </w:r>
          </w:p>
          <w:p w:rsidR="00052899" w:rsidRPr="00B40A7C" w:rsidRDefault="00052899" w:rsidP="00052899">
            <w:pPr>
              <w:jc w:val="both"/>
              <w:rPr>
                <w:rFonts w:cs="Arial"/>
                <w:kern w:val="28"/>
                <w:szCs w:val="22"/>
                <w:lang w:val="en-US"/>
              </w:rPr>
            </w:pPr>
            <w:r w:rsidRPr="00B40A7C">
              <w:rPr>
                <w:rFonts w:cs="Arial"/>
                <w:kern w:val="28"/>
                <w:szCs w:val="22"/>
                <w:lang w:val="en-US"/>
              </w:rPr>
              <w:t>Deputy Lead, Health Development Partners</w:t>
            </w:r>
          </w:p>
        </w:tc>
        <w:tc>
          <w:tcPr>
            <w:tcW w:w="1827" w:type="dxa"/>
            <w:shd w:val="clear" w:color="auto" w:fill="FFFFFF"/>
          </w:tcPr>
          <w:p w:rsidR="00052899" w:rsidRPr="00B40A7C" w:rsidRDefault="00052899" w:rsidP="00052899">
            <w:pPr>
              <w:jc w:val="both"/>
              <w:rPr>
                <w:rFonts w:cs="Arial"/>
                <w:kern w:val="28"/>
                <w:szCs w:val="22"/>
                <w:lang w:val="en-US"/>
              </w:rPr>
            </w:pPr>
            <w:r w:rsidRPr="00B40A7C">
              <w:rPr>
                <w:rFonts w:cs="Arial"/>
                <w:kern w:val="28"/>
                <w:szCs w:val="22"/>
                <w:lang w:val="en-US"/>
              </w:rPr>
              <w:t>Dr. Patrick Kabore</w:t>
            </w:r>
          </w:p>
        </w:tc>
        <w:tc>
          <w:tcPr>
            <w:tcW w:w="2063" w:type="dxa"/>
            <w:shd w:val="clear" w:color="auto" w:fill="FFFFFF"/>
          </w:tcPr>
          <w:p w:rsidR="00052899" w:rsidRPr="00B40A7C" w:rsidRDefault="00052899" w:rsidP="00052899">
            <w:pPr>
              <w:jc w:val="both"/>
              <w:rPr>
                <w:rFonts w:cs="Arial"/>
                <w:kern w:val="28"/>
                <w:szCs w:val="22"/>
                <w:lang w:val="en-US"/>
              </w:rPr>
            </w:pPr>
          </w:p>
        </w:tc>
        <w:tc>
          <w:tcPr>
            <w:tcW w:w="2063" w:type="dxa"/>
            <w:shd w:val="clear" w:color="auto" w:fill="FFFFFF"/>
          </w:tcPr>
          <w:p w:rsidR="00052899" w:rsidRPr="00B40A7C" w:rsidRDefault="00052899" w:rsidP="00052899">
            <w:pPr>
              <w:jc w:val="both"/>
              <w:rPr>
                <w:rFonts w:cs="Arial"/>
                <w:kern w:val="28"/>
                <w:szCs w:val="22"/>
                <w:lang w:val="en-US"/>
              </w:rPr>
            </w:pPr>
          </w:p>
        </w:tc>
      </w:tr>
      <w:tr w:rsidR="00052899" w:rsidRPr="00B40A7C">
        <w:trPr>
          <w:trHeight w:val="497"/>
        </w:trPr>
        <w:tc>
          <w:tcPr>
            <w:tcW w:w="1242" w:type="dxa"/>
            <w:vMerge/>
            <w:shd w:val="clear" w:color="auto" w:fill="FFFFFF"/>
          </w:tcPr>
          <w:p w:rsidR="00052899" w:rsidRPr="00B40A7C" w:rsidRDefault="00052899" w:rsidP="00052899">
            <w:pPr>
              <w:jc w:val="both"/>
              <w:rPr>
                <w:rFonts w:cs="Arial"/>
                <w:kern w:val="28"/>
                <w:szCs w:val="22"/>
                <w:lang w:val="en-US"/>
              </w:rPr>
            </w:pPr>
          </w:p>
        </w:tc>
        <w:tc>
          <w:tcPr>
            <w:tcW w:w="3119" w:type="dxa"/>
            <w:shd w:val="clear" w:color="auto" w:fill="FFFFFF"/>
          </w:tcPr>
          <w:p w:rsidR="00052899" w:rsidRPr="00B40A7C" w:rsidRDefault="00052899" w:rsidP="00052899">
            <w:pPr>
              <w:jc w:val="both"/>
              <w:rPr>
                <w:rFonts w:cs="Arial"/>
                <w:kern w:val="28"/>
                <w:szCs w:val="22"/>
                <w:lang w:val="en-US"/>
              </w:rPr>
            </w:pPr>
            <w:r w:rsidRPr="00B40A7C">
              <w:rPr>
                <w:rFonts w:cs="Arial"/>
                <w:kern w:val="28"/>
                <w:szCs w:val="22"/>
                <w:lang w:val="en-US"/>
              </w:rPr>
              <w:t>Vice National Chairperson, Ghana Coalition of NGOs in Health</w:t>
            </w:r>
          </w:p>
        </w:tc>
        <w:tc>
          <w:tcPr>
            <w:tcW w:w="1827" w:type="dxa"/>
            <w:shd w:val="clear" w:color="auto" w:fill="FFFFFF"/>
          </w:tcPr>
          <w:p w:rsidR="00052899" w:rsidRPr="00B40A7C" w:rsidRDefault="00052899" w:rsidP="00052899">
            <w:pPr>
              <w:jc w:val="both"/>
              <w:rPr>
                <w:rFonts w:cs="Arial"/>
                <w:kern w:val="28"/>
                <w:szCs w:val="22"/>
                <w:lang w:val="en-US"/>
              </w:rPr>
            </w:pPr>
            <w:r w:rsidRPr="00B40A7C">
              <w:rPr>
                <w:rFonts w:cs="Arial"/>
                <w:kern w:val="28"/>
                <w:szCs w:val="22"/>
                <w:lang w:val="en-US"/>
              </w:rPr>
              <w:t>Cecilia Lodonu Senoo</w:t>
            </w:r>
          </w:p>
          <w:p w:rsidR="00052899" w:rsidRPr="00B40A7C" w:rsidRDefault="00052899" w:rsidP="00052899">
            <w:pPr>
              <w:jc w:val="both"/>
              <w:rPr>
                <w:rFonts w:cs="Arial"/>
                <w:kern w:val="28"/>
                <w:szCs w:val="22"/>
                <w:lang w:val="en-US"/>
              </w:rPr>
            </w:pPr>
          </w:p>
        </w:tc>
        <w:tc>
          <w:tcPr>
            <w:tcW w:w="2063" w:type="dxa"/>
            <w:shd w:val="clear" w:color="auto" w:fill="FFFFFF"/>
          </w:tcPr>
          <w:p w:rsidR="00052899" w:rsidRPr="00B40A7C" w:rsidRDefault="00052899" w:rsidP="00052899">
            <w:pPr>
              <w:jc w:val="both"/>
              <w:rPr>
                <w:rFonts w:cs="Arial"/>
                <w:kern w:val="28"/>
                <w:szCs w:val="22"/>
                <w:lang w:val="en-US"/>
              </w:rPr>
            </w:pPr>
          </w:p>
        </w:tc>
        <w:tc>
          <w:tcPr>
            <w:tcW w:w="2063" w:type="dxa"/>
            <w:shd w:val="clear" w:color="auto" w:fill="FFFFFF"/>
          </w:tcPr>
          <w:p w:rsidR="00052899" w:rsidRPr="00B40A7C" w:rsidRDefault="00052899" w:rsidP="00052899">
            <w:pPr>
              <w:jc w:val="both"/>
              <w:rPr>
                <w:rFonts w:cs="Arial"/>
                <w:kern w:val="28"/>
                <w:szCs w:val="22"/>
                <w:lang w:val="en-US"/>
              </w:rPr>
            </w:pPr>
          </w:p>
        </w:tc>
      </w:tr>
    </w:tbl>
    <w:p w:rsidR="00052899" w:rsidRPr="00B40A7C" w:rsidRDefault="00052899" w:rsidP="00052899">
      <w:pPr>
        <w:rPr>
          <w:vanish/>
          <w:szCs w:val="22"/>
        </w:rPr>
      </w:pPr>
    </w:p>
    <w:tbl>
      <w:tblPr>
        <w:tblW w:w="5449" w:type="pct"/>
        <w:tblInd w:w="-567" w:type="dxa"/>
        <w:tblCellMar>
          <w:left w:w="0" w:type="dxa"/>
          <w:right w:w="0" w:type="dxa"/>
        </w:tblCellMar>
        <w:tblLook w:val="0000"/>
      </w:tblPr>
      <w:tblGrid>
        <w:gridCol w:w="10201"/>
      </w:tblGrid>
      <w:tr w:rsidR="00052899" w:rsidRPr="00B40A7C">
        <w:trPr>
          <w:trHeight w:val="1002"/>
        </w:trPr>
        <w:tc>
          <w:tcPr>
            <w:tcW w:w="5000" w:type="pct"/>
          </w:tcPr>
          <w:p w:rsidR="00052899" w:rsidRDefault="00052899" w:rsidP="00052899">
            <w:pPr>
              <w:pStyle w:val="EmptyLayoutCell"/>
              <w:jc w:val="both"/>
              <w:rPr>
                <w:rFonts w:ascii="Arial" w:hAnsi="Arial" w:cs="Arial"/>
                <w:sz w:val="22"/>
                <w:szCs w:val="22"/>
              </w:rPr>
            </w:pPr>
          </w:p>
          <w:p w:rsidR="00052899" w:rsidRPr="00B40A7C" w:rsidRDefault="00052899" w:rsidP="00052899">
            <w:pPr>
              <w:pStyle w:val="EmptyLayoutCell"/>
              <w:ind w:left="284"/>
              <w:jc w:val="both"/>
              <w:rPr>
                <w:rFonts w:ascii="Arial" w:hAnsi="Arial" w:cs="Arial"/>
                <w:sz w:val="22"/>
                <w:szCs w:val="22"/>
              </w:rPr>
            </w:pPr>
            <w:r w:rsidRPr="00B40A7C">
              <w:rPr>
                <w:rFonts w:ascii="Arial" w:hAnsi="Arial" w:cs="Arial"/>
                <w:sz w:val="22"/>
                <w:szCs w:val="22"/>
              </w:rPr>
              <w:t>Please tick the relevant box to indicate whether</w:t>
            </w:r>
            <w:r>
              <w:rPr>
                <w:rFonts w:ascii="Arial" w:hAnsi="Arial" w:cs="Arial"/>
                <w:sz w:val="22"/>
                <w:szCs w:val="22"/>
              </w:rPr>
              <w:t xml:space="preserve"> </w:t>
            </w:r>
            <w:r w:rsidRPr="00B40A7C">
              <w:rPr>
                <w:rFonts w:ascii="Arial" w:hAnsi="Arial" w:cs="Arial"/>
                <w:sz w:val="22"/>
                <w:szCs w:val="22"/>
              </w:rPr>
              <w:t xml:space="preserve">the signatories above include representation from a broader CSO platform:                     Yes </w:t>
            </w:r>
            <w:r w:rsidRPr="00B40A7C">
              <w:rPr>
                <w:rFonts w:ascii="Arial" w:hAnsi="Arial" w:cs="Arial"/>
                <w:sz w:val="22"/>
                <w:szCs w:val="22"/>
              </w:rPr>
              <w:sym w:font="Symbol" w:char="F0D6"/>
            </w:r>
            <w:r w:rsidRPr="00B40A7C">
              <w:rPr>
                <w:rFonts w:ascii="Arial" w:hAnsi="Arial" w:cs="Arial"/>
                <w:sz w:val="22"/>
                <w:szCs w:val="22"/>
              </w:rPr>
              <w:t xml:space="preserve">        No </w:t>
            </w:r>
            <w:r w:rsidRPr="00B40A7C">
              <w:rPr>
                <w:rFonts w:ascii="Arial" w:hAnsi="Arial" w:cs="Arial"/>
                <w:sz w:val="22"/>
                <w:szCs w:val="22"/>
              </w:rPr>
              <w:sym w:font="Wingdings" w:char="F0A8"/>
            </w:r>
          </w:p>
          <w:p w:rsidR="00052899" w:rsidRPr="00B40A7C" w:rsidRDefault="00B97BDB" w:rsidP="00052899">
            <w:pPr>
              <w:pStyle w:val="EmptyLayoutCell"/>
              <w:jc w:val="both"/>
              <w:rPr>
                <w:rFonts w:ascii="Arial" w:hAnsi="Arial" w:cs="Arial"/>
                <w:sz w:val="22"/>
                <w:szCs w:val="22"/>
              </w:rPr>
            </w:pPr>
            <w:r w:rsidRPr="00B97BDB">
              <w:rPr>
                <w:rFonts w:cs="Arial"/>
                <w:noProof/>
                <w:szCs w:val="22"/>
              </w:rPr>
              <w:pict>
                <v:shape id="Text Box 2" o:spid="_x0000_s1440" type="#_x0000_t202" style="position:absolute;left:0;text-align:left;margin-left:5.7pt;margin-top:5pt;width:526.75pt;height:38.15pt;z-index:251625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
                    <w:txbxContent>
                      <w:p w:rsidR="00BF35A8" w:rsidRPr="00634A2E" w:rsidRDefault="00BF35A8" w:rsidP="00052899">
                        <w:pPr>
                          <w:pBdr>
                            <w:top w:val="single" w:sz="4" w:space="1" w:color="auto"/>
                          </w:pBdr>
                          <w:rPr>
                            <w:rFonts w:cs="Arial"/>
                            <w:szCs w:val="22"/>
                          </w:rPr>
                        </w:pPr>
                        <w:r w:rsidRPr="00634A2E">
                          <w:rPr>
                            <w:rFonts w:cs="Arial"/>
                            <w:szCs w:val="22"/>
                          </w:rPr>
                          <w:t xml:space="preserve">Individual members of the HSCC may wish to send informal comments to: </w:t>
                        </w:r>
                        <w:hyperlink r:id="rId8" w:history="1">
                          <w:r w:rsidRPr="00634A2E">
                            <w:rPr>
                              <w:rStyle w:val="Hyperlink"/>
                              <w:rFonts w:cs="Arial"/>
                              <w:szCs w:val="22"/>
                            </w:rPr>
                            <w:t>gavihss@gavialliance.org</w:t>
                          </w:r>
                        </w:hyperlink>
                      </w:p>
                      <w:p w:rsidR="00BF35A8" w:rsidRPr="00634A2E" w:rsidRDefault="00BF35A8" w:rsidP="00052899">
                        <w:pPr>
                          <w:rPr>
                            <w:rFonts w:cs="Arial"/>
                            <w:szCs w:val="22"/>
                          </w:rPr>
                        </w:pPr>
                        <w:r w:rsidRPr="00634A2E">
                          <w:rPr>
                            <w:rFonts w:cs="Arial"/>
                            <w:szCs w:val="22"/>
                          </w:rPr>
                          <w:t>All comments will be treated confidentially.</w:t>
                        </w:r>
                      </w:p>
                    </w:txbxContent>
                  </v:textbox>
                </v:shape>
              </w:pict>
            </w:r>
          </w:p>
        </w:tc>
      </w:tr>
    </w:tbl>
    <w:p w:rsidR="00052899" w:rsidRPr="00B40A7C" w:rsidRDefault="00052899" w:rsidP="00052899">
      <w:pPr>
        <w:spacing w:after="200" w:line="276" w:lineRule="auto"/>
        <w:jc w:val="both"/>
        <w:rPr>
          <w:rFonts w:cs="Arial"/>
          <w:szCs w:val="22"/>
        </w:rPr>
      </w:pPr>
    </w:p>
    <w:tbl>
      <w:tblPr>
        <w:tblW w:w="5092"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52"/>
      </w:tblGrid>
      <w:tr w:rsidR="00052899" w:rsidRPr="004940D4">
        <w:tc>
          <w:tcPr>
            <w:tcW w:w="5000" w:type="pct"/>
            <w:shd w:val="clear" w:color="auto" w:fill="008080"/>
          </w:tcPr>
          <w:p w:rsidR="00052899" w:rsidRPr="004940D4" w:rsidRDefault="00052899" w:rsidP="00052899">
            <w:pPr>
              <w:jc w:val="both"/>
              <w:rPr>
                <w:rFonts w:cs="Arial"/>
                <w:b/>
                <w:szCs w:val="22"/>
              </w:rPr>
            </w:pPr>
          </w:p>
          <w:p w:rsidR="00052899" w:rsidRPr="00291E76" w:rsidRDefault="00052899" w:rsidP="00052899">
            <w:pPr>
              <w:pStyle w:val="Heading1"/>
            </w:pPr>
            <w:bookmarkStart w:id="58" w:name="_Toc377543613"/>
            <w:bookmarkStart w:id="59" w:name="_Toc377545206"/>
            <w:r w:rsidRPr="00291E76">
              <w:t>3. EXECUTIVE SUMMARY</w:t>
            </w:r>
            <w:bookmarkEnd w:id="58"/>
            <w:bookmarkEnd w:id="59"/>
          </w:p>
          <w:p w:rsidR="00052899" w:rsidRPr="004940D4" w:rsidRDefault="00052899" w:rsidP="00052899">
            <w:pPr>
              <w:jc w:val="both"/>
              <w:rPr>
                <w:rFonts w:cs="Arial"/>
                <w:b/>
                <w:szCs w:val="22"/>
              </w:rPr>
            </w:pPr>
          </w:p>
        </w:tc>
      </w:tr>
      <w:tr w:rsidR="00052899" w:rsidRPr="004940D4">
        <w:tc>
          <w:tcPr>
            <w:tcW w:w="5000" w:type="pct"/>
          </w:tcPr>
          <w:p w:rsidR="00052899" w:rsidRPr="004940D4" w:rsidRDefault="00052899" w:rsidP="00052899">
            <w:pPr>
              <w:jc w:val="both"/>
              <w:rPr>
                <w:rFonts w:cs="Arial"/>
                <w:b/>
                <w:szCs w:val="22"/>
              </w:rPr>
            </w:pPr>
            <w:r w:rsidRPr="004940D4">
              <w:rPr>
                <w:rFonts w:cs="Arial"/>
                <w:b/>
                <w:szCs w:val="22"/>
              </w:rPr>
              <w:t>Introduction</w:t>
            </w:r>
          </w:p>
          <w:p w:rsidR="00052899" w:rsidRPr="004940D4" w:rsidRDefault="00052899" w:rsidP="00052899">
            <w:pPr>
              <w:autoSpaceDE w:val="0"/>
              <w:autoSpaceDN w:val="0"/>
              <w:adjustRightInd w:val="0"/>
              <w:jc w:val="both"/>
              <w:rPr>
                <w:rFonts w:cs="Arial"/>
                <w:szCs w:val="22"/>
              </w:rPr>
            </w:pPr>
            <w:r w:rsidRPr="004940D4">
              <w:rPr>
                <w:rFonts w:cs="Arial"/>
                <w:szCs w:val="22"/>
              </w:rPr>
              <w:t xml:space="preserve">Ghana has made positive strides in improving the health status of children. </w:t>
            </w:r>
            <w:r w:rsidRPr="004940D4">
              <w:rPr>
                <w:rFonts w:cs="Arial"/>
                <w:bCs/>
                <w:color w:val="000000"/>
                <w:szCs w:val="22"/>
              </w:rPr>
              <w:t>The achievements with regards to immunisation have contributed to the reduction in infant mortality rate over the years from 80/1000LB (</w:t>
            </w:r>
            <w:r w:rsidR="002B1397">
              <w:rPr>
                <w:rFonts w:cs="Arial"/>
                <w:bCs/>
                <w:color w:val="000000"/>
                <w:szCs w:val="22"/>
              </w:rPr>
              <w:t xml:space="preserve">DHS </w:t>
            </w:r>
            <w:r w:rsidRPr="004940D4">
              <w:rPr>
                <w:rFonts w:cs="Arial"/>
                <w:bCs/>
                <w:color w:val="000000"/>
                <w:szCs w:val="22"/>
              </w:rPr>
              <w:t>2003), 50/1000 LB (</w:t>
            </w:r>
            <w:r w:rsidR="002B1397">
              <w:rPr>
                <w:rFonts w:cs="Arial"/>
                <w:bCs/>
                <w:color w:val="000000"/>
                <w:szCs w:val="22"/>
              </w:rPr>
              <w:t xml:space="preserve">DHS </w:t>
            </w:r>
            <w:r w:rsidRPr="004940D4">
              <w:rPr>
                <w:rFonts w:cs="Arial"/>
                <w:bCs/>
                <w:color w:val="000000"/>
                <w:szCs w:val="22"/>
              </w:rPr>
              <w:t xml:space="preserve">2008) to 53/1000LB in </w:t>
            </w:r>
            <w:r w:rsidR="002B1397">
              <w:rPr>
                <w:rFonts w:cs="Arial"/>
                <w:bCs/>
                <w:color w:val="000000"/>
                <w:szCs w:val="22"/>
              </w:rPr>
              <w:t xml:space="preserve">(MICS </w:t>
            </w:r>
            <w:r w:rsidR="002B1397" w:rsidRPr="004940D4">
              <w:rPr>
                <w:rFonts w:cs="Arial"/>
                <w:bCs/>
                <w:color w:val="000000"/>
                <w:szCs w:val="22"/>
              </w:rPr>
              <w:t>2011</w:t>
            </w:r>
            <w:r w:rsidR="002B1397">
              <w:rPr>
                <w:rFonts w:cs="Arial"/>
                <w:bCs/>
                <w:color w:val="000000"/>
                <w:szCs w:val="22"/>
              </w:rPr>
              <w:t>)</w:t>
            </w:r>
            <w:r w:rsidR="002B1397" w:rsidRPr="004940D4">
              <w:rPr>
                <w:rFonts w:cs="Arial"/>
                <w:bCs/>
                <w:color w:val="000000"/>
                <w:szCs w:val="22"/>
              </w:rPr>
              <w:t xml:space="preserve">. </w:t>
            </w:r>
            <w:r w:rsidRPr="004940D4">
              <w:rPr>
                <w:rFonts w:cs="Arial"/>
                <w:bCs/>
                <w:color w:val="000000"/>
                <w:szCs w:val="22"/>
              </w:rPr>
              <w:t>Under five mortality rate has also improved from 110/1000LB (</w:t>
            </w:r>
            <w:r w:rsidR="002B1397">
              <w:rPr>
                <w:rFonts w:cs="Arial"/>
                <w:bCs/>
                <w:color w:val="000000"/>
                <w:szCs w:val="22"/>
              </w:rPr>
              <w:t xml:space="preserve">DHS </w:t>
            </w:r>
            <w:r w:rsidRPr="004940D4">
              <w:rPr>
                <w:rFonts w:cs="Arial"/>
                <w:bCs/>
                <w:color w:val="000000"/>
                <w:szCs w:val="22"/>
              </w:rPr>
              <w:t>2003), 80/1000 LB (</w:t>
            </w:r>
            <w:r w:rsidR="002B1397">
              <w:rPr>
                <w:rFonts w:cs="Arial"/>
                <w:bCs/>
                <w:color w:val="000000"/>
                <w:szCs w:val="22"/>
              </w:rPr>
              <w:t>DHS</w:t>
            </w:r>
            <w:r w:rsidRPr="004940D4">
              <w:rPr>
                <w:rFonts w:cs="Arial"/>
                <w:bCs/>
                <w:color w:val="000000"/>
                <w:szCs w:val="22"/>
              </w:rPr>
              <w:t xml:space="preserve">2008) to 82/1000LB in </w:t>
            </w:r>
            <w:r w:rsidR="002B1397">
              <w:rPr>
                <w:rFonts w:cs="Arial"/>
                <w:bCs/>
                <w:color w:val="000000"/>
                <w:szCs w:val="22"/>
              </w:rPr>
              <w:t>(MICS</w:t>
            </w:r>
            <w:r w:rsidRPr="004940D4">
              <w:rPr>
                <w:rFonts w:cs="Arial"/>
                <w:bCs/>
                <w:color w:val="000000"/>
                <w:szCs w:val="22"/>
              </w:rPr>
              <w:t>2011</w:t>
            </w:r>
            <w:r w:rsidR="002B1397">
              <w:rPr>
                <w:rFonts w:cs="Arial"/>
                <w:bCs/>
                <w:color w:val="000000"/>
                <w:szCs w:val="22"/>
              </w:rPr>
              <w:t>)</w:t>
            </w:r>
            <w:r w:rsidRPr="004940D4">
              <w:rPr>
                <w:rFonts w:cs="Arial"/>
                <w:bCs/>
                <w:color w:val="000000"/>
                <w:szCs w:val="22"/>
              </w:rPr>
              <w:t xml:space="preserve">. </w:t>
            </w:r>
            <w:r w:rsidRPr="004940D4">
              <w:rPr>
                <w:rFonts w:cs="Arial"/>
                <w:szCs w:val="22"/>
              </w:rPr>
              <w:t xml:space="preserve">The country was the First GAVI eligible country to introduce two new vaccines (pneumococcal and rota virus vaccines) concurrently in 2012 and won 2 out of 8 awards at the GAVI Partners meeting. The country has not recorded any documented death from measles since 2003 and since November 2008 there has not been any report of wild polio virus. </w:t>
            </w:r>
          </w:p>
          <w:p w:rsidR="00052899" w:rsidRPr="004940D4" w:rsidRDefault="00052899" w:rsidP="00052899">
            <w:pPr>
              <w:autoSpaceDE w:val="0"/>
              <w:autoSpaceDN w:val="0"/>
              <w:adjustRightInd w:val="0"/>
              <w:jc w:val="both"/>
              <w:rPr>
                <w:rFonts w:cs="Arial"/>
                <w:szCs w:val="22"/>
              </w:rPr>
            </w:pPr>
          </w:p>
          <w:p w:rsidR="00052899" w:rsidRPr="004940D4" w:rsidRDefault="00052899" w:rsidP="000A6166">
            <w:pPr>
              <w:autoSpaceDE w:val="0"/>
              <w:autoSpaceDN w:val="0"/>
              <w:adjustRightInd w:val="0"/>
              <w:jc w:val="both"/>
              <w:rPr>
                <w:rFonts w:cs="Arial"/>
                <w:bCs/>
                <w:color w:val="000000"/>
                <w:szCs w:val="22"/>
              </w:rPr>
            </w:pPr>
            <w:r w:rsidRPr="004940D4">
              <w:rPr>
                <w:rFonts w:cs="Arial"/>
                <w:bCs/>
                <w:color w:val="000000"/>
                <w:szCs w:val="22"/>
              </w:rPr>
              <w:t xml:space="preserve">Despite the improvements, there exist wide variations in health status between the poor and rich Ghanaians. </w:t>
            </w:r>
            <w:r w:rsidR="000A6166">
              <w:rPr>
                <w:rFonts w:cs="Arial"/>
                <w:bCs/>
                <w:color w:val="000000"/>
                <w:szCs w:val="22"/>
              </w:rPr>
              <w:t>According to MICS 2011, i</w:t>
            </w:r>
            <w:r w:rsidRPr="004940D4">
              <w:rPr>
                <w:rFonts w:cs="Arial"/>
                <w:bCs/>
                <w:color w:val="000000"/>
                <w:szCs w:val="22"/>
              </w:rPr>
              <w:t xml:space="preserve">t </w:t>
            </w:r>
            <w:r w:rsidR="000A6166">
              <w:rPr>
                <w:rFonts w:cs="Arial"/>
                <w:bCs/>
                <w:color w:val="000000"/>
                <w:szCs w:val="22"/>
              </w:rPr>
              <w:t>wa</w:t>
            </w:r>
            <w:r w:rsidRPr="004940D4">
              <w:rPr>
                <w:rFonts w:cs="Arial"/>
                <w:bCs/>
                <w:color w:val="000000"/>
                <w:szCs w:val="22"/>
              </w:rPr>
              <w:t xml:space="preserve">s estimated that there are twice as many under-fives dying per 1,000 live births in the poorest wealth quintile compared to </w:t>
            </w:r>
            <w:r>
              <w:rPr>
                <w:rFonts w:cs="Arial"/>
                <w:bCs/>
                <w:color w:val="000000"/>
                <w:szCs w:val="22"/>
              </w:rPr>
              <w:t xml:space="preserve">the </w:t>
            </w:r>
            <w:r w:rsidRPr="004940D4">
              <w:rPr>
                <w:rFonts w:cs="Arial"/>
                <w:bCs/>
                <w:color w:val="000000"/>
                <w:szCs w:val="22"/>
              </w:rPr>
              <w:t>richest.</w:t>
            </w:r>
            <w:r w:rsidR="000A6166" w:rsidRPr="004940D4">
              <w:rPr>
                <w:rFonts w:cs="Arial"/>
                <w:bCs/>
                <w:color w:val="000000"/>
                <w:szCs w:val="22"/>
              </w:rPr>
              <w:t xml:space="preserve"> </w:t>
            </w:r>
            <w:r w:rsidRPr="004940D4">
              <w:rPr>
                <w:rFonts w:cs="Arial"/>
                <w:bCs/>
                <w:color w:val="000000"/>
                <w:szCs w:val="22"/>
              </w:rPr>
              <w:t xml:space="preserve">It </w:t>
            </w:r>
            <w:r w:rsidR="000A6166">
              <w:rPr>
                <w:rFonts w:cs="Arial"/>
                <w:bCs/>
                <w:color w:val="000000"/>
                <w:szCs w:val="22"/>
              </w:rPr>
              <w:t>wa</w:t>
            </w:r>
            <w:r w:rsidRPr="004940D4">
              <w:rPr>
                <w:rFonts w:cs="Arial"/>
                <w:bCs/>
                <w:color w:val="000000"/>
                <w:szCs w:val="22"/>
              </w:rPr>
              <w:t xml:space="preserve">s also noted that under-five mortality inequality gap between the richest and poorest has been widening with a projection that those within the richest quintile are more likely to reach the MDG target. There </w:t>
            </w:r>
            <w:r w:rsidR="000A6166">
              <w:rPr>
                <w:rFonts w:cs="Arial"/>
                <w:bCs/>
                <w:color w:val="000000"/>
                <w:szCs w:val="22"/>
              </w:rPr>
              <w:t>wa</w:t>
            </w:r>
            <w:r w:rsidRPr="004940D4">
              <w:rPr>
                <w:rFonts w:cs="Arial"/>
                <w:bCs/>
                <w:color w:val="000000"/>
                <w:szCs w:val="22"/>
              </w:rPr>
              <w:t>s also geographical disparity with under five mortality in urban being 72/1000 live births and that of the rural being 94/1000 live births.</w:t>
            </w:r>
          </w:p>
          <w:p w:rsidR="00052899" w:rsidRPr="004940D4" w:rsidRDefault="00052899" w:rsidP="00052899">
            <w:pPr>
              <w:autoSpaceDE w:val="0"/>
              <w:autoSpaceDN w:val="0"/>
              <w:adjustRightInd w:val="0"/>
              <w:jc w:val="both"/>
              <w:rPr>
                <w:rFonts w:cs="Arial"/>
                <w:szCs w:val="22"/>
              </w:rPr>
            </w:pPr>
          </w:p>
          <w:p w:rsidR="00052899" w:rsidRPr="004940D4" w:rsidRDefault="00052899" w:rsidP="00052899">
            <w:pPr>
              <w:jc w:val="both"/>
              <w:rPr>
                <w:rFonts w:cs="Arial"/>
                <w:bCs/>
                <w:color w:val="000000"/>
                <w:szCs w:val="22"/>
              </w:rPr>
            </w:pPr>
            <w:r w:rsidRPr="004940D4">
              <w:rPr>
                <w:rFonts w:cs="Arial"/>
                <w:bCs/>
                <w:color w:val="000000"/>
                <w:szCs w:val="22"/>
              </w:rPr>
              <w:t xml:space="preserve">The bottlenecks to improving and sustaining high immunisation coverage are systemic encompassing poor access to services in hard to reach districts (especially, islands and lake communities), inadequate health staff to provide required services, inadequate cold chain capacity at lower levels (about 41%of fridges and freezers are over 10 years), weak community engagement and involvement in immnunisation services, weak capacity for micro planning and logistics management at the sub-district and CHPS  zone level, </w:t>
            </w:r>
            <w:r w:rsidRPr="004940D4">
              <w:rPr>
                <w:rFonts w:cs="Arial"/>
                <w:szCs w:val="22"/>
              </w:rPr>
              <w:t xml:space="preserve">poor documentation of primary data which impacts on data quality and inadequate infrastructure among others (See </w:t>
            </w:r>
            <w:r w:rsidRPr="004940D4">
              <w:rPr>
                <w:rFonts w:cs="Arial"/>
                <w:bCs/>
                <w:color w:val="000000"/>
                <w:szCs w:val="22"/>
              </w:rPr>
              <w:t xml:space="preserve">Ghana Immunisation Service Review, 2012; Effective Vaccine Assessment Report 2010; the Policy on immunisation 2011; and the Holistic Assessment of the Health Sector Programme of Work 2012). </w:t>
            </w:r>
          </w:p>
          <w:p w:rsidR="00052899" w:rsidRPr="004940D4" w:rsidRDefault="00052899" w:rsidP="00052899">
            <w:pPr>
              <w:jc w:val="both"/>
              <w:rPr>
                <w:rFonts w:cs="Arial"/>
                <w:bCs/>
                <w:color w:val="000000"/>
                <w:szCs w:val="22"/>
              </w:rPr>
            </w:pPr>
          </w:p>
          <w:p w:rsidR="00052899" w:rsidRPr="004940D4" w:rsidRDefault="00052899" w:rsidP="00052899">
            <w:pPr>
              <w:jc w:val="both"/>
              <w:rPr>
                <w:rFonts w:cs="Arial"/>
                <w:b/>
                <w:szCs w:val="22"/>
              </w:rPr>
            </w:pPr>
            <w:r w:rsidRPr="004940D4">
              <w:rPr>
                <w:rFonts w:cs="Arial"/>
                <w:b/>
                <w:szCs w:val="22"/>
              </w:rPr>
              <w:t>Vision</w:t>
            </w:r>
          </w:p>
          <w:p w:rsidR="00052899" w:rsidRPr="004940D4" w:rsidRDefault="00052899" w:rsidP="00052899">
            <w:pPr>
              <w:jc w:val="both"/>
              <w:rPr>
                <w:rFonts w:cs="Arial"/>
                <w:bCs/>
                <w:szCs w:val="22"/>
              </w:rPr>
            </w:pPr>
            <w:r w:rsidRPr="004940D4">
              <w:rPr>
                <w:rFonts w:cs="Arial"/>
                <w:bCs/>
                <w:szCs w:val="22"/>
              </w:rPr>
              <w:t>The vision of the health sector is to have a healthy population for national development.</w:t>
            </w:r>
          </w:p>
          <w:p w:rsidR="00052899" w:rsidRPr="004940D4" w:rsidRDefault="00052899" w:rsidP="00052899">
            <w:pPr>
              <w:spacing w:before="120" w:after="120"/>
              <w:jc w:val="both"/>
              <w:rPr>
                <w:rFonts w:cs="Arial"/>
                <w:b/>
                <w:szCs w:val="22"/>
              </w:rPr>
            </w:pPr>
            <w:r w:rsidRPr="004940D4">
              <w:rPr>
                <w:rFonts w:cs="Arial"/>
                <w:b/>
                <w:szCs w:val="22"/>
              </w:rPr>
              <w:t>Goal</w:t>
            </w:r>
          </w:p>
          <w:p w:rsidR="00052899" w:rsidRPr="004940D4" w:rsidRDefault="00052899" w:rsidP="00052899">
            <w:pPr>
              <w:spacing w:before="120" w:after="120"/>
              <w:jc w:val="both"/>
              <w:rPr>
                <w:rFonts w:cs="Arial"/>
                <w:szCs w:val="22"/>
              </w:rPr>
            </w:pPr>
            <w:r w:rsidRPr="004940D4">
              <w:rPr>
                <w:rFonts w:cs="Arial"/>
                <w:szCs w:val="22"/>
              </w:rPr>
              <w:t>The goal is to have a healthy and productive population that reproduces itself safely.</w:t>
            </w:r>
          </w:p>
          <w:p w:rsidR="00000000" w:rsidRDefault="00052899">
            <w:pPr>
              <w:jc w:val="both"/>
              <w:rPr>
                <w:rFonts w:cs="Arial"/>
                <w:b/>
                <w:bCs/>
                <w:szCs w:val="22"/>
              </w:rPr>
            </w:pPr>
            <w:r w:rsidRPr="004940D4">
              <w:rPr>
                <w:rFonts w:cs="Arial"/>
                <w:szCs w:val="22"/>
                <w:lang w:val="en-CA"/>
              </w:rPr>
              <w:t>The current proposal covers an implementation period of five years 2014 - 2018. The important outcome and impact indicators include; achieving an increase in PENTA 3 coverage from 88% to 92% by 2018 (country administrative data, 2012), increase MCV1 coverage (% of surviving infants receiving first dose of measles containing vaccine) from 88% to 95% by 2018 (2012 country administrative data). The proposal further aims at addressing Geographic equity of PENTA 3 coverage – (% of districts that have at or above 80% PENTA 3 coverage) from 74% to 90% by 2018 (2012 cou</w:t>
            </w:r>
            <w:r>
              <w:rPr>
                <w:rFonts w:cs="Arial"/>
                <w:szCs w:val="22"/>
                <w:lang w:val="en-CA"/>
              </w:rPr>
              <w:t>ntry administrative data). The p</w:t>
            </w:r>
            <w:r w:rsidRPr="004940D4">
              <w:rPr>
                <w:rFonts w:cs="Arial"/>
                <w:szCs w:val="22"/>
                <w:lang w:val="en-CA"/>
              </w:rPr>
              <w:t xml:space="preserve">roportion of children fully immunised (% of children aged 12-23 months who receive all basic vaccinations in a country’s routine immunisation program) will also increase from 77% (MICS, 2011) to 83% by the end of the proposal interventions in 2018 and finally the Dropout rate (percentage point difference between PENTA 1 and PENTA 3 coverage) is expected to drop from 4.6% to 4% by 2018. It is envisaged that the implementation of the proposal will contribute towards the national effort to </w:t>
            </w:r>
            <w:r w:rsidR="002B2F73" w:rsidRPr="004940D4">
              <w:rPr>
                <w:rFonts w:cs="Arial"/>
                <w:szCs w:val="22"/>
                <w:lang w:val="en-CA"/>
              </w:rPr>
              <w:t>achieving Under</w:t>
            </w:r>
            <w:r w:rsidRPr="004940D4">
              <w:rPr>
                <w:rFonts w:cs="Arial"/>
                <w:szCs w:val="22"/>
                <w:lang w:val="en-CA"/>
              </w:rPr>
              <w:t xml:space="preserve"> five mortality rate of &gt;50 (per 1000 live births) by 2015 (Ministry of Health, Annual Report, PoW)</w:t>
            </w:r>
            <w:r w:rsidR="00BB1858">
              <w:rPr>
                <w:rFonts w:cs="Arial"/>
                <w:szCs w:val="22"/>
                <w:lang w:val="en-CA"/>
              </w:rPr>
              <w:t>.</w:t>
            </w:r>
          </w:p>
          <w:p w:rsidR="00052899" w:rsidRPr="00B40A7C" w:rsidRDefault="00052899" w:rsidP="00052899">
            <w:pPr>
              <w:spacing w:before="120" w:after="120"/>
              <w:jc w:val="both"/>
              <w:rPr>
                <w:rFonts w:cs="Arial"/>
                <w:b/>
                <w:szCs w:val="22"/>
              </w:rPr>
            </w:pPr>
            <w:r w:rsidRPr="00B40A7C">
              <w:rPr>
                <w:rFonts w:cs="Arial"/>
                <w:b/>
                <w:szCs w:val="22"/>
              </w:rPr>
              <w:lastRenderedPageBreak/>
              <w:t>Objectives</w:t>
            </w:r>
          </w:p>
          <w:p w:rsidR="00052899" w:rsidRDefault="00052899">
            <w:pPr>
              <w:autoSpaceDE w:val="0"/>
              <w:autoSpaceDN w:val="0"/>
              <w:adjustRightInd w:val="0"/>
              <w:jc w:val="both"/>
              <w:rPr>
                <w:rFonts w:cs="Arial"/>
                <w:bCs/>
                <w:szCs w:val="22"/>
              </w:rPr>
            </w:pPr>
            <w:r w:rsidRPr="00B40A7C">
              <w:rPr>
                <w:rFonts w:cs="Arial"/>
                <w:bCs/>
                <w:szCs w:val="22"/>
              </w:rPr>
              <w:t>In order to achieve the goals from a system perspective, five objectives have been identified for this proposal.</w:t>
            </w:r>
          </w:p>
          <w:p w:rsidR="00052899" w:rsidRDefault="00052899">
            <w:pPr>
              <w:autoSpaceDE w:val="0"/>
              <w:autoSpaceDN w:val="0"/>
              <w:adjustRightInd w:val="0"/>
              <w:jc w:val="both"/>
              <w:rPr>
                <w:rFonts w:cs="Arial"/>
                <w:bCs/>
                <w:szCs w:val="22"/>
              </w:rPr>
            </w:pPr>
          </w:p>
          <w:p w:rsidR="00052899" w:rsidRDefault="00052899" w:rsidP="00052899">
            <w:pPr>
              <w:pStyle w:val="ColorfulList-Accent11"/>
              <w:widowControl/>
              <w:numPr>
                <w:ilvl w:val="0"/>
                <w:numId w:val="9"/>
              </w:numPr>
              <w:spacing w:line="240" w:lineRule="auto"/>
              <w:jc w:val="both"/>
              <w:rPr>
                <w:rFonts w:ascii="Arial" w:eastAsia="Times New Roman" w:hAnsi="Arial" w:cs="Arial"/>
                <w:bCs/>
                <w:sz w:val="22"/>
                <w:szCs w:val="22"/>
              </w:rPr>
            </w:pPr>
            <w:r w:rsidRPr="00B40A7C">
              <w:rPr>
                <w:rFonts w:ascii="Arial" w:eastAsia="Times New Roman" w:hAnsi="Arial" w:cs="Arial"/>
                <w:bCs/>
                <w:sz w:val="22"/>
                <w:szCs w:val="22"/>
              </w:rPr>
              <w:t>To strengthen and scale-up community health interventions aimed at improving the quality of primary health care services  (Service Delivery)</w:t>
            </w:r>
          </w:p>
          <w:p w:rsidR="00052899" w:rsidRDefault="00052899" w:rsidP="00052899">
            <w:pPr>
              <w:pStyle w:val="ColorfulList-Accent11"/>
              <w:widowControl/>
              <w:numPr>
                <w:ilvl w:val="0"/>
                <w:numId w:val="9"/>
              </w:numPr>
              <w:spacing w:line="240" w:lineRule="auto"/>
              <w:jc w:val="both"/>
              <w:rPr>
                <w:rFonts w:ascii="Arial" w:eastAsia="Times New Roman" w:hAnsi="Arial" w:cs="Arial"/>
                <w:bCs/>
                <w:sz w:val="22"/>
                <w:szCs w:val="22"/>
              </w:rPr>
            </w:pPr>
            <w:r w:rsidRPr="00B40A7C">
              <w:rPr>
                <w:rFonts w:ascii="Arial" w:eastAsia="Times New Roman" w:hAnsi="Arial" w:cs="Arial"/>
                <w:bCs/>
                <w:sz w:val="22"/>
                <w:szCs w:val="22"/>
              </w:rPr>
              <w:t>To strengthen health worker capacity and distribution so as to address equity issues at the district level. (Workforce and Human Resources)</w:t>
            </w:r>
          </w:p>
          <w:p w:rsidR="00052899" w:rsidRDefault="00052899" w:rsidP="00052899">
            <w:pPr>
              <w:pStyle w:val="ColorfulList-Accent11"/>
              <w:widowControl/>
              <w:numPr>
                <w:ilvl w:val="0"/>
                <w:numId w:val="9"/>
              </w:numPr>
              <w:spacing w:line="240" w:lineRule="auto"/>
              <w:jc w:val="both"/>
              <w:rPr>
                <w:rFonts w:ascii="Arial" w:eastAsia="Times New Roman" w:hAnsi="Arial" w:cs="Arial"/>
                <w:bCs/>
                <w:sz w:val="22"/>
                <w:szCs w:val="22"/>
              </w:rPr>
            </w:pPr>
            <w:r w:rsidRPr="00B40A7C">
              <w:rPr>
                <w:rFonts w:ascii="Arial" w:eastAsia="Times New Roman" w:hAnsi="Arial" w:cs="Arial"/>
                <w:bCs/>
                <w:sz w:val="22"/>
                <w:szCs w:val="22"/>
              </w:rPr>
              <w:t>To improve storage, distribution and management of logistics and ensure the availability of potent, quality and safe vaccines, medicines and devices (Procurement, Logistics and Health Technologies)</w:t>
            </w:r>
          </w:p>
          <w:p w:rsidR="00052899" w:rsidRDefault="00052899" w:rsidP="00052899">
            <w:pPr>
              <w:pStyle w:val="ColorfulList-Accent11"/>
              <w:widowControl/>
              <w:numPr>
                <w:ilvl w:val="0"/>
                <w:numId w:val="9"/>
              </w:numPr>
              <w:spacing w:line="240" w:lineRule="auto"/>
              <w:jc w:val="both"/>
              <w:rPr>
                <w:rFonts w:ascii="Arial" w:eastAsia="Times New Roman" w:hAnsi="Arial" w:cs="Arial"/>
                <w:bCs/>
                <w:sz w:val="22"/>
                <w:szCs w:val="22"/>
              </w:rPr>
            </w:pPr>
            <w:r w:rsidRPr="00B40A7C">
              <w:rPr>
                <w:rFonts w:ascii="Arial" w:eastAsia="Times New Roman" w:hAnsi="Arial" w:cs="Arial"/>
                <w:bCs/>
                <w:sz w:val="22"/>
                <w:szCs w:val="22"/>
              </w:rPr>
              <w:t xml:space="preserve">To empower civil society for increased demand creation for health </w:t>
            </w:r>
            <w:r>
              <w:rPr>
                <w:rFonts w:ascii="Arial" w:eastAsia="Times New Roman" w:hAnsi="Arial" w:cs="Arial"/>
                <w:bCs/>
                <w:sz w:val="22"/>
                <w:szCs w:val="22"/>
              </w:rPr>
              <w:t>services at the community level</w:t>
            </w:r>
            <w:r w:rsidRPr="00B40A7C">
              <w:rPr>
                <w:rFonts w:ascii="Arial" w:eastAsia="Times New Roman" w:hAnsi="Arial" w:cs="Arial"/>
                <w:bCs/>
                <w:sz w:val="22"/>
                <w:szCs w:val="22"/>
              </w:rPr>
              <w:t xml:space="preserve"> (Empower Communities and local actors)</w:t>
            </w:r>
          </w:p>
          <w:p w:rsidR="00000000" w:rsidRDefault="00052899">
            <w:pPr>
              <w:pStyle w:val="ColorfulList-Accent11"/>
              <w:widowControl/>
              <w:numPr>
                <w:ilvl w:val="0"/>
                <w:numId w:val="9"/>
              </w:numPr>
              <w:spacing w:line="240" w:lineRule="auto"/>
              <w:jc w:val="both"/>
              <w:rPr>
                <w:rFonts w:cs="Arial"/>
                <w:b/>
                <w:szCs w:val="22"/>
                <w:lang w:val="en-CA"/>
              </w:rPr>
            </w:pPr>
            <w:r w:rsidRPr="00B40A7C">
              <w:rPr>
                <w:rFonts w:ascii="Arial" w:eastAsia="Times New Roman" w:hAnsi="Arial" w:cs="Arial"/>
                <w:bCs/>
                <w:sz w:val="22"/>
                <w:szCs w:val="22"/>
              </w:rPr>
              <w:t>To strengthen governance and health information management for improved health service delivery</w:t>
            </w:r>
          </w:p>
          <w:p w:rsidR="00052899" w:rsidRPr="00484BD2" w:rsidRDefault="00052899" w:rsidP="00052899">
            <w:pPr>
              <w:jc w:val="both"/>
              <w:rPr>
                <w:rFonts w:cs="Arial"/>
                <w:b/>
                <w:szCs w:val="22"/>
                <w:lang w:val="en-CA"/>
              </w:rPr>
            </w:pPr>
            <w:r w:rsidRPr="00484BD2">
              <w:rPr>
                <w:rFonts w:cs="Arial"/>
                <w:b/>
                <w:szCs w:val="22"/>
                <w:lang w:val="en-CA"/>
              </w:rPr>
              <w:t>Budgets for objectives</w:t>
            </w:r>
          </w:p>
          <w:p w:rsidR="00052899" w:rsidRDefault="00052899" w:rsidP="00052899">
            <w:pPr>
              <w:jc w:val="both"/>
              <w:rPr>
                <w:rFonts w:cs="Arial"/>
                <w:szCs w:val="22"/>
                <w:lang w:val="en-CA"/>
              </w:rPr>
            </w:pPr>
            <w:r w:rsidRPr="009E3797">
              <w:rPr>
                <w:rFonts w:cs="Arial"/>
                <w:szCs w:val="22"/>
                <w:lang w:val="en-CA"/>
              </w:rPr>
              <w:t>The total proposed budget for the funding support from GAVI is US$</w:t>
            </w:r>
            <w:r w:rsidRPr="007C0A11">
              <w:rPr>
                <w:rFonts w:cs="Arial"/>
                <w:szCs w:val="22"/>
                <w:lang w:val="en-CA"/>
              </w:rPr>
              <w:t xml:space="preserve">18,059,296 </w:t>
            </w:r>
            <w:r w:rsidRPr="009E3797">
              <w:rPr>
                <w:rFonts w:cs="Arial"/>
                <w:szCs w:val="22"/>
                <w:lang w:val="en-CA"/>
              </w:rPr>
              <w:t>for a period of five years from 2014 -2018. A total amount of  US$</w:t>
            </w:r>
            <w:r w:rsidR="00EE6EBF">
              <w:rPr>
                <w:rFonts w:cs="Arial"/>
                <w:szCs w:val="22"/>
                <w:lang w:val="en-CA"/>
              </w:rPr>
              <w:t>11,269,516</w:t>
            </w:r>
            <w:r w:rsidR="005B6589" w:rsidRPr="005B6589">
              <w:rPr>
                <w:rFonts w:cs="Arial"/>
                <w:szCs w:val="22"/>
                <w:lang w:val="en-CA"/>
              </w:rPr>
              <w:t xml:space="preserve"> </w:t>
            </w:r>
            <w:r w:rsidRPr="009E3797">
              <w:rPr>
                <w:rFonts w:cs="Arial"/>
                <w:szCs w:val="22"/>
                <w:lang w:val="en-CA"/>
              </w:rPr>
              <w:t>(</w:t>
            </w:r>
            <w:r w:rsidR="00EE6EBF">
              <w:rPr>
                <w:rFonts w:cs="Arial"/>
                <w:szCs w:val="22"/>
                <w:lang w:val="en-CA"/>
              </w:rPr>
              <w:t>62</w:t>
            </w:r>
            <w:r w:rsidRPr="009E3797">
              <w:rPr>
                <w:rFonts w:cs="Arial"/>
                <w:szCs w:val="22"/>
                <w:lang w:val="en-CA"/>
              </w:rPr>
              <w:t>%) has been allocated for implementation of activities related to objective 1 (service delivery), objective 2 (workforce and human resource), US$</w:t>
            </w:r>
            <w:r w:rsidR="00EE6EBF">
              <w:rPr>
                <w:rFonts w:cs="Arial"/>
                <w:szCs w:val="22"/>
                <w:lang w:val="en-CA"/>
              </w:rPr>
              <w:t>108</w:t>
            </w:r>
            <w:r w:rsidR="007C4902">
              <w:rPr>
                <w:rFonts w:cs="Arial"/>
                <w:szCs w:val="22"/>
                <w:lang w:val="en-CA"/>
              </w:rPr>
              <w:t>,500</w:t>
            </w:r>
            <w:r w:rsidR="005B6589" w:rsidRPr="005B6589">
              <w:rPr>
                <w:rFonts w:cs="Arial"/>
                <w:szCs w:val="22"/>
                <w:lang w:val="en-CA"/>
              </w:rPr>
              <w:t xml:space="preserve"> </w:t>
            </w:r>
            <w:r w:rsidRPr="009E3797">
              <w:rPr>
                <w:rFonts w:cs="Arial"/>
                <w:szCs w:val="22"/>
                <w:lang w:val="en-CA"/>
              </w:rPr>
              <w:t>(</w:t>
            </w:r>
            <w:r w:rsidR="00EE6EBF">
              <w:rPr>
                <w:rFonts w:cs="Arial"/>
                <w:szCs w:val="22"/>
                <w:lang w:val="en-CA"/>
              </w:rPr>
              <w:t>1</w:t>
            </w:r>
            <w:r w:rsidRPr="009E3797">
              <w:rPr>
                <w:rFonts w:cs="Arial"/>
                <w:szCs w:val="22"/>
                <w:lang w:val="en-CA"/>
              </w:rPr>
              <w:t>%), objective 3 (logistic and supply  chain management) US$</w:t>
            </w:r>
            <w:r w:rsidR="00EE6EBF">
              <w:rPr>
                <w:rFonts w:cs="Arial"/>
                <w:szCs w:val="22"/>
                <w:lang w:val="en-CA"/>
              </w:rPr>
              <w:t>455,000</w:t>
            </w:r>
            <w:r w:rsidR="005B6589" w:rsidRPr="005B6589">
              <w:rPr>
                <w:rFonts w:cs="Arial"/>
                <w:szCs w:val="22"/>
                <w:lang w:val="en-CA"/>
              </w:rPr>
              <w:t xml:space="preserve"> </w:t>
            </w:r>
            <w:r w:rsidRPr="009E3797">
              <w:rPr>
                <w:rFonts w:cs="Arial"/>
                <w:szCs w:val="22"/>
                <w:lang w:val="en-CA"/>
              </w:rPr>
              <w:t>(</w:t>
            </w:r>
            <w:r w:rsidR="00EE6EBF">
              <w:rPr>
                <w:rFonts w:cs="Arial"/>
                <w:szCs w:val="22"/>
                <w:lang w:val="en-CA"/>
              </w:rPr>
              <w:t>3</w:t>
            </w:r>
            <w:r w:rsidRPr="009E3797">
              <w:rPr>
                <w:rFonts w:cs="Arial"/>
                <w:szCs w:val="22"/>
                <w:lang w:val="en-CA"/>
              </w:rPr>
              <w:t>%), Objective 4 (community support and civil society organisation) US$</w:t>
            </w:r>
            <w:r w:rsidR="00EE6EBF">
              <w:rPr>
                <w:rFonts w:cs="Arial"/>
                <w:szCs w:val="22"/>
                <w:lang w:val="en-CA"/>
              </w:rPr>
              <w:t>2,005,800</w:t>
            </w:r>
            <w:r w:rsidR="005B6589" w:rsidRPr="005B6589">
              <w:rPr>
                <w:rFonts w:cs="Arial"/>
                <w:szCs w:val="22"/>
                <w:lang w:val="en-CA"/>
              </w:rPr>
              <w:t xml:space="preserve"> </w:t>
            </w:r>
            <w:r w:rsidRPr="009E3797">
              <w:rPr>
                <w:rFonts w:cs="Arial"/>
                <w:szCs w:val="22"/>
                <w:lang w:val="en-CA"/>
              </w:rPr>
              <w:t>(</w:t>
            </w:r>
            <w:r w:rsidR="00EE6EBF">
              <w:rPr>
                <w:rFonts w:cs="Arial"/>
                <w:szCs w:val="22"/>
                <w:lang w:val="en-CA"/>
              </w:rPr>
              <w:t>11</w:t>
            </w:r>
            <w:r w:rsidRPr="007C0A11">
              <w:rPr>
                <w:rFonts w:cs="Arial"/>
                <w:szCs w:val="22"/>
                <w:lang w:val="en-CA"/>
              </w:rPr>
              <w:t>%</w:t>
            </w:r>
            <w:r>
              <w:rPr>
                <w:rFonts w:cs="Arial"/>
                <w:szCs w:val="22"/>
                <w:lang w:val="en-CA"/>
              </w:rPr>
              <w:t>)</w:t>
            </w:r>
            <w:r w:rsidRPr="009E3797">
              <w:rPr>
                <w:rFonts w:cs="Arial"/>
                <w:szCs w:val="22"/>
                <w:lang w:val="en-CA"/>
              </w:rPr>
              <w:t>, and objective 5 (governance and health information management for improved health service delivery) US$</w:t>
            </w:r>
            <w:r w:rsidR="00EE6EBF">
              <w:rPr>
                <w:rFonts w:cs="Arial"/>
                <w:szCs w:val="22"/>
                <w:lang w:val="en-CA"/>
              </w:rPr>
              <w:t>4,220,480</w:t>
            </w:r>
            <w:r w:rsidR="005B6589" w:rsidRPr="005B6589">
              <w:rPr>
                <w:rFonts w:cs="Arial"/>
                <w:szCs w:val="22"/>
                <w:lang w:val="en-CA"/>
              </w:rPr>
              <w:t xml:space="preserve"> </w:t>
            </w:r>
            <w:r w:rsidRPr="009E3797">
              <w:rPr>
                <w:rFonts w:cs="Arial"/>
                <w:szCs w:val="22"/>
                <w:lang w:val="en-CA"/>
              </w:rPr>
              <w:t>(2</w:t>
            </w:r>
            <w:r w:rsidR="005B6589">
              <w:rPr>
                <w:rFonts w:cs="Arial"/>
                <w:szCs w:val="22"/>
                <w:lang w:val="en-CA"/>
              </w:rPr>
              <w:t>3</w:t>
            </w:r>
            <w:r w:rsidRPr="009E3797">
              <w:rPr>
                <w:rFonts w:cs="Arial"/>
                <w:szCs w:val="22"/>
                <w:lang w:val="en-CA"/>
              </w:rPr>
              <w:t>%)</w:t>
            </w:r>
            <w:r>
              <w:rPr>
                <w:rFonts w:cs="Arial"/>
                <w:szCs w:val="22"/>
                <w:lang w:val="en-CA"/>
              </w:rPr>
              <w:t>.</w:t>
            </w:r>
            <w:r w:rsidRPr="009E3797">
              <w:rPr>
                <w:rFonts w:cs="Arial"/>
                <w:szCs w:val="22"/>
                <w:lang w:val="en-CA"/>
              </w:rPr>
              <w:t xml:space="preserve"> </w:t>
            </w:r>
          </w:p>
          <w:p w:rsidR="00052899" w:rsidRDefault="00052899" w:rsidP="00052899">
            <w:pPr>
              <w:jc w:val="both"/>
              <w:rPr>
                <w:rFonts w:cs="Arial"/>
                <w:b/>
                <w:szCs w:val="22"/>
                <w:lang w:val="en-CA"/>
              </w:rPr>
            </w:pPr>
          </w:p>
          <w:p w:rsidR="00052899" w:rsidRPr="00C9674D" w:rsidRDefault="00052899" w:rsidP="00052899">
            <w:pPr>
              <w:jc w:val="both"/>
              <w:rPr>
                <w:rFonts w:cs="Arial"/>
                <w:b/>
                <w:szCs w:val="22"/>
                <w:lang w:val="en-CA"/>
              </w:rPr>
            </w:pPr>
            <w:r w:rsidRPr="009E3797">
              <w:rPr>
                <w:rFonts w:cs="Arial"/>
                <w:b/>
                <w:szCs w:val="22"/>
                <w:lang w:val="en-CA"/>
              </w:rPr>
              <w:t>Proposed Implementation Arrangements including the role of government departments and Civil Society Organisations  (CSOs)</w:t>
            </w:r>
          </w:p>
          <w:p w:rsidR="00052899" w:rsidRPr="00B40A7C" w:rsidRDefault="00052899" w:rsidP="00052899">
            <w:pPr>
              <w:jc w:val="both"/>
              <w:rPr>
                <w:rFonts w:cs="Arial"/>
                <w:szCs w:val="22"/>
                <w:lang w:val="en-CA"/>
              </w:rPr>
            </w:pPr>
            <w:r w:rsidRPr="009E3797">
              <w:rPr>
                <w:rFonts w:cs="Arial"/>
                <w:szCs w:val="22"/>
                <w:lang w:val="en-CA"/>
              </w:rPr>
              <w:t>The Policy Planning Monitoring and Evaluation Division of Ministry of Health which oversees the implementation of the heath sector’s Common Management Arrangement (CMA) will coordinate implementation of the GAVI/HSS grant. The CMA establishes some of the working relationships between the Ministry and its agencies and how it collaborates with its development partners and</w:t>
            </w:r>
            <w:r w:rsidRPr="00B40A7C">
              <w:rPr>
                <w:rFonts w:cs="Arial"/>
                <w:szCs w:val="22"/>
                <w:lang w:val="en-CA"/>
              </w:rPr>
              <w:t xml:space="preserve"> other key stakeholders including CSOs. At the operational level</w:t>
            </w:r>
            <w:r>
              <w:rPr>
                <w:rFonts w:cs="Arial"/>
                <w:szCs w:val="22"/>
                <w:lang w:val="en-CA"/>
              </w:rPr>
              <w:t>,</w:t>
            </w:r>
            <w:r w:rsidRPr="00B40A7C">
              <w:rPr>
                <w:rFonts w:cs="Arial"/>
                <w:szCs w:val="22"/>
                <w:lang w:val="en-CA"/>
              </w:rPr>
              <w:t xml:space="preserve"> the Ghana Health Service will coordinate the implementation of activities that will be undertaken at the regional, district and sub-district levels. All procurement and financial administration activities will be conducted in accordance </w:t>
            </w:r>
            <w:r>
              <w:rPr>
                <w:rFonts w:cs="Arial"/>
                <w:szCs w:val="22"/>
                <w:lang w:val="en-CA"/>
              </w:rPr>
              <w:t>with the p</w:t>
            </w:r>
            <w:r w:rsidRPr="00B40A7C">
              <w:rPr>
                <w:rFonts w:cs="Arial"/>
                <w:szCs w:val="22"/>
                <w:lang w:val="en-CA"/>
              </w:rPr>
              <w:t>rinciples enshrined in respective public sector governing laws.</w:t>
            </w:r>
          </w:p>
          <w:p w:rsidR="00052899" w:rsidRPr="00B40A7C" w:rsidRDefault="00052899" w:rsidP="00052899">
            <w:pPr>
              <w:jc w:val="both"/>
              <w:rPr>
                <w:rFonts w:cs="Arial"/>
                <w:szCs w:val="22"/>
                <w:lang w:val="en-CA"/>
              </w:rPr>
            </w:pPr>
          </w:p>
          <w:p w:rsidR="00052899" w:rsidRPr="009E3797" w:rsidRDefault="00052899">
            <w:pPr>
              <w:jc w:val="both"/>
              <w:rPr>
                <w:rFonts w:cs="Arial"/>
                <w:szCs w:val="22"/>
              </w:rPr>
            </w:pPr>
            <w:r>
              <w:rPr>
                <w:rFonts w:cs="Arial"/>
                <w:szCs w:val="22"/>
                <w:lang w:val="en-CA"/>
              </w:rPr>
              <w:t>M</w:t>
            </w:r>
            <w:r w:rsidRPr="00B40A7C">
              <w:rPr>
                <w:rFonts w:cs="Arial"/>
                <w:szCs w:val="22"/>
                <w:lang w:val="en-CA"/>
              </w:rPr>
              <w:t>onitoring of the</w:t>
            </w:r>
            <w:r>
              <w:rPr>
                <w:rFonts w:cs="Arial"/>
                <w:szCs w:val="22"/>
                <w:lang w:val="en-CA"/>
              </w:rPr>
              <w:t xml:space="preserve"> implementation of the</w:t>
            </w:r>
            <w:r w:rsidRPr="00B40A7C">
              <w:rPr>
                <w:rFonts w:cs="Arial"/>
                <w:szCs w:val="22"/>
                <w:lang w:val="en-CA"/>
              </w:rPr>
              <w:t xml:space="preserve"> GAVI/HSS support will be an integral part of the overall Monitoring and Evaluation Framework of the Ministry. The Ministry of Health has developed an integrated checklist for monitoring and evaluating the performance of the health sector. The indicators are comprehensive and capture the key immunisation performance assessment measures of the health sector including that of the</w:t>
            </w:r>
            <w:r>
              <w:rPr>
                <w:rFonts w:cs="Arial"/>
                <w:szCs w:val="22"/>
                <w:lang w:val="en-CA"/>
              </w:rPr>
              <w:t xml:space="preserve"> CSOs</w:t>
            </w:r>
            <w:r w:rsidRPr="00B40A7C">
              <w:rPr>
                <w:rFonts w:cs="Arial"/>
                <w:szCs w:val="22"/>
                <w:lang w:val="en-CA"/>
              </w:rPr>
              <w:t xml:space="preserve">. </w:t>
            </w:r>
            <w:r w:rsidRPr="00B40A7C">
              <w:rPr>
                <w:rFonts w:cs="Arial"/>
                <w:szCs w:val="22"/>
              </w:rPr>
              <w:t xml:space="preserve">The HSCC monthly and quarterly Business Meetings as well as Annual Summits will provide mechanism for periodic review of the performance of the GAVI/HSS implementation. Ghana Health Service and implementing CSOs will submit quarterly, bi-annual and annual reports to the HSCC as part of the agreed monitoring and reporting mechanisms within the sector. The HSCC endorsed annual reports will be shared with the GAVI Secretariat.  </w:t>
            </w:r>
          </w:p>
        </w:tc>
      </w:tr>
    </w:tbl>
    <w:p w:rsidR="002B2F73" w:rsidRDefault="002B2F73" w:rsidP="00052899">
      <w:pPr>
        <w:jc w:val="both"/>
        <w:rPr>
          <w:rFonts w:cs="Arial"/>
          <w:b/>
          <w:szCs w:val="22"/>
        </w:rPr>
      </w:pPr>
    </w:p>
    <w:p w:rsidR="002B2F73" w:rsidRDefault="002B2F73" w:rsidP="00052899">
      <w:pPr>
        <w:jc w:val="both"/>
        <w:rPr>
          <w:rFonts w:cs="Arial"/>
          <w:b/>
          <w:szCs w:val="22"/>
        </w:rPr>
      </w:pPr>
    </w:p>
    <w:p w:rsidR="002B2F73" w:rsidRDefault="002B2F73" w:rsidP="00052899">
      <w:pPr>
        <w:jc w:val="both"/>
        <w:rPr>
          <w:rFonts w:cs="Arial"/>
          <w:b/>
          <w:szCs w:val="22"/>
        </w:rPr>
      </w:pPr>
    </w:p>
    <w:p w:rsidR="002B2F73" w:rsidRDefault="002B2F73" w:rsidP="00052899">
      <w:pPr>
        <w:jc w:val="both"/>
        <w:rPr>
          <w:rFonts w:cs="Arial"/>
          <w:b/>
          <w:szCs w:val="22"/>
        </w:rPr>
      </w:pPr>
    </w:p>
    <w:p w:rsidR="002B2F73" w:rsidRDefault="002B2F73" w:rsidP="00052899">
      <w:pPr>
        <w:jc w:val="both"/>
        <w:rPr>
          <w:rFonts w:cs="Arial"/>
          <w:b/>
          <w:szCs w:val="22"/>
        </w:rPr>
      </w:pPr>
    </w:p>
    <w:tbl>
      <w:tblPr>
        <w:tblpPr w:leftFromText="180" w:rightFromText="180" w:vertAnchor="text" w:horzAnchor="margin" w:tblpXSpec="center" w:tblpY="658"/>
        <w:tblW w:w="5608" w:type="pct"/>
        <w:tblLook w:val="04A0"/>
      </w:tblPr>
      <w:tblGrid>
        <w:gridCol w:w="1358"/>
        <w:gridCol w:w="3954"/>
        <w:gridCol w:w="1325"/>
        <w:gridCol w:w="4103"/>
      </w:tblGrid>
      <w:tr w:rsidR="002B2F73" w:rsidRPr="008C28BF" w:rsidTr="002B2F73">
        <w:trPr>
          <w:trHeight w:val="416"/>
        </w:trPr>
        <w:tc>
          <w:tcPr>
            <w:tcW w:w="5000" w:type="pct"/>
            <w:gridSpan w:val="4"/>
            <w:tcBorders>
              <w:top w:val="single" w:sz="4" w:space="0" w:color="auto"/>
              <w:left w:val="single" w:sz="4" w:space="0" w:color="auto"/>
              <w:bottom w:val="single" w:sz="4" w:space="0" w:color="auto"/>
              <w:right w:val="single" w:sz="4" w:space="0" w:color="auto"/>
            </w:tcBorders>
            <w:shd w:val="clear" w:color="auto" w:fill="006666"/>
            <w:vAlign w:val="bottom"/>
          </w:tcPr>
          <w:p w:rsidR="002B2F73" w:rsidRPr="00A4022D" w:rsidRDefault="002B2F73" w:rsidP="002B2F73">
            <w:pPr>
              <w:rPr>
                <w:rFonts w:cs="Arial"/>
                <w:b/>
                <w:color w:val="FFFFFF"/>
                <w:szCs w:val="22"/>
              </w:rPr>
            </w:pPr>
            <w:r>
              <w:rPr>
                <w:rFonts w:cs="Arial"/>
                <w:b/>
                <w:szCs w:val="22"/>
              </w:rPr>
              <w:br w:type="page"/>
            </w:r>
          </w:p>
          <w:p w:rsidR="002B2F73" w:rsidRPr="00A4022D" w:rsidRDefault="002B2F73" w:rsidP="002B2F73">
            <w:pPr>
              <w:rPr>
                <w:rFonts w:cs="Arial"/>
                <w:b/>
                <w:color w:val="FFFFFF"/>
                <w:szCs w:val="22"/>
              </w:rPr>
            </w:pPr>
            <w:r w:rsidRPr="009E3797">
              <w:rPr>
                <w:rStyle w:val="Heading1Char1"/>
                <w:rFonts w:eastAsia="Calibri"/>
              </w:rPr>
              <w:t>4. ACRONYMS</w:t>
            </w:r>
            <w:r w:rsidRPr="00A4022D">
              <w:rPr>
                <w:rFonts w:cs="Arial"/>
                <w:b/>
                <w:color w:val="FFFFFF"/>
                <w:szCs w:val="22"/>
              </w:rPr>
              <w:t xml:space="preserve"> </w:t>
            </w:r>
          </w:p>
          <w:p w:rsidR="002B2F73" w:rsidRPr="00A4022D" w:rsidRDefault="002B2F73" w:rsidP="002B2F73">
            <w:pPr>
              <w:rPr>
                <w:rFonts w:cs="Arial"/>
                <w:b/>
                <w:bCs/>
                <w:color w:val="FFFFFF"/>
                <w:szCs w:val="22"/>
              </w:rPr>
            </w:pPr>
          </w:p>
        </w:tc>
      </w:tr>
      <w:tr w:rsidR="002B2F73" w:rsidRPr="00F132F9" w:rsidTr="002B2F73">
        <w:trPr>
          <w:trHeight w:val="30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b/>
                <w:bCs/>
                <w:sz w:val="18"/>
                <w:szCs w:val="18"/>
              </w:rPr>
            </w:pPr>
            <w:r w:rsidRPr="00F132F9">
              <w:rPr>
                <w:rFonts w:cs="Arial"/>
                <w:i/>
                <w:color w:val="005A63"/>
                <w:sz w:val="18"/>
                <w:szCs w:val="18"/>
              </w:rPr>
              <w:t xml:space="preserve">→ </w:t>
            </w:r>
            <w:r w:rsidRPr="00F132F9">
              <w:rPr>
                <w:rFonts w:cs="Arial"/>
                <w:i/>
                <w:color w:val="173E49"/>
                <w:sz w:val="18"/>
                <w:szCs w:val="18"/>
              </w:rPr>
              <w:t>Please detail the full version of all acronyms used in this proposal, including in the HSS M&amp;E Framework (Attachment 3) and in the Budget, Gap Analysis and Workplan Template (Attachment 4).</w:t>
            </w:r>
          </w:p>
        </w:tc>
      </w:tr>
      <w:tr w:rsidR="002B2F73" w:rsidRPr="00F132F9" w:rsidTr="002B2F73">
        <w:trPr>
          <w:trHeight w:val="302"/>
        </w:trPr>
        <w:tc>
          <w:tcPr>
            <w:tcW w:w="632" w:type="pct"/>
            <w:tcBorders>
              <w:top w:val="single" w:sz="4" w:space="0" w:color="auto"/>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b/>
                <w:bCs/>
                <w:sz w:val="18"/>
                <w:szCs w:val="18"/>
                <w:lang w:eastAsia="en-CA"/>
              </w:rPr>
            </w:pPr>
            <w:r w:rsidRPr="00F132F9">
              <w:rPr>
                <w:rFonts w:cs="Arial"/>
                <w:b/>
                <w:bCs/>
                <w:sz w:val="18"/>
                <w:szCs w:val="18"/>
                <w:lang w:eastAsia="en-CA"/>
              </w:rPr>
              <w:t>Acronym</w:t>
            </w:r>
          </w:p>
        </w:tc>
        <w:tc>
          <w:tcPr>
            <w:tcW w:w="1841" w:type="pct"/>
            <w:tcBorders>
              <w:top w:val="single" w:sz="4" w:space="0" w:color="auto"/>
              <w:left w:val="nil"/>
              <w:bottom w:val="single" w:sz="4" w:space="0" w:color="auto"/>
              <w:right w:val="single" w:sz="4" w:space="0" w:color="auto"/>
            </w:tcBorders>
            <w:shd w:val="clear" w:color="auto" w:fill="auto"/>
            <w:vAlign w:val="bottom"/>
          </w:tcPr>
          <w:p w:rsidR="002B2F73" w:rsidRPr="00F132F9" w:rsidRDefault="002B2F73" w:rsidP="002B2F73">
            <w:pPr>
              <w:rPr>
                <w:rFonts w:cs="Arial"/>
                <w:b/>
                <w:bCs/>
                <w:sz w:val="18"/>
                <w:szCs w:val="18"/>
                <w:lang w:eastAsia="en-CA"/>
              </w:rPr>
            </w:pPr>
            <w:r w:rsidRPr="00F132F9">
              <w:rPr>
                <w:rFonts w:cs="Arial"/>
                <w:b/>
                <w:bCs/>
                <w:sz w:val="18"/>
                <w:szCs w:val="18"/>
              </w:rPr>
              <w:t>Acronym Meaning</w:t>
            </w:r>
          </w:p>
        </w:tc>
        <w:tc>
          <w:tcPr>
            <w:tcW w:w="617" w:type="pct"/>
            <w:tcBorders>
              <w:top w:val="single" w:sz="4" w:space="0" w:color="auto"/>
              <w:left w:val="nil"/>
              <w:bottom w:val="single" w:sz="4" w:space="0" w:color="auto"/>
              <w:right w:val="single" w:sz="4" w:space="0" w:color="auto"/>
            </w:tcBorders>
            <w:vAlign w:val="bottom"/>
          </w:tcPr>
          <w:p w:rsidR="002B2F73" w:rsidRPr="00F132F9" w:rsidRDefault="002B2F73" w:rsidP="002B2F73">
            <w:pPr>
              <w:rPr>
                <w:rFonts w:cs="Arial"/>
                <w:b/>
                <w:bCs/>
                <w:sz w:val="18"/>
                <w:szCs w:val="18"/>
                <w:lang w:eastAsia="en-CA"/>
              </w:rPr>
            </w:pPr>
            <w:r w:rsidRPr="00F132F9">
              <w:rPr>
                <w:rFonts w:cs="Arial"/>
                <w:b/>
                <w:bCs/>
                <w:sz w:val="18"/>
                <w:szCs w:val="18"/>
                <w:lang w:eastAsia="en-CA"/>
              </w:rPr>
              <w:t>Acronym</w:t>
            </w:r>
          </w:p>
        </w:tc>
        <w:tc>
          <w:tcPr>
            <w:tcW w:w="1910" w:type="pct"/>
            <w:tcBorders>
              <w:top w:val="single" w:sz="4" w:space="0" w:color="auto"/>
              <w:left w:val="nil"/>
              <w:bottom w:val="single" w:sz="4" w:space="0" w:color="auto"/>
              <w:right w:val="single" w:sz="4" w:space="0" w:color="auto"/>
            </w:tcBorders>
            <w:vAlign w:val="bottom"/>
          </w:tcPr>
          <w:p w:rsidR="002B2F73" w:rsidRPr="00F132F9" w:rsidRDefault="002B2F73" w:rsidP="002B2F73">
            <w:pPr>
              <w:rPr>
                <w:rFonts w:cs="Arial"/>
                <w:b/>
                <w:bCs/>
                <w:sz w:val="18"/>
                <w:szCs w:val="18"/>
                <w:lang w:eastAsia="en-CA"/>
              </w:rPr>
            </w:pPr>
            <w:r w:rsidRPr="00F132F9">
              <w:rPr>
                <w:rFonts w:cs="Arial"/>
                <w:b/>
                <w:bCs/>
                <w:sz w:val="18"/>
                <w:szCs w:val="18"/>
              </w:rPr>
              <w:t>Acronym Meaning</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AEFI</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Adverse Effects Following Immunisation</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color w:val="000000"/>
                <w:sz w:val="18"/>
                <w:szCs w:val="18"/>
                <w:lang w:eastAsia="en-CA"/>
              </w:rPr>
              <w:t>HSFP</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color w:val="000000"/>
                <w:sz w:val="18"/>
                <w:szCs w:val="18"/>
                <w:lang w:eastAsia="en-CA"/>
              </w:rPr>
              <w:t>Health System Funding Platform</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ANC</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Antenatal Care</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Pr>
                <w:rFonts w:cs="Arial"/>
                <w:sz w:val="18"/>
                <w:szCs w:val="18"/>
                <w:lang w:eastAsia="en-CA"/>
              </w:rPr>
              <w:t>HSCC</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Health Sector Working Group</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APOW</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Annual Programme of Work</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color w:val="000000"/>
                <w:sz w:val="18"/>
                <w:szCs w:val="18"/>
                <w:lang w:eastAsia="en-CA"/>
              </w:rPr>
            </w:pPr>
            <w:r w:rsidRPr="00F132F9">
              <w:rPr>
                <w:rFonts w:cs="Arial"/>
                <w:color w:val="000000"/>
                <w:sz w:val="18"/>
                <w:szCs w:val="18"/>
                <w:lang w:eastAsia="en-CA"/>
              </w:rPr>
              <w:t>ICC</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color w:val="000000"/>
                <w:sz w:val="18"/>
                <w:szCs w:val="18"/>
                <w:lang w:eastAsia="en-CA"/>
              </w:rPr>
            </w:pPr>
            <w:r w:rsidRPr="00F132F9">
              <w:rPr>
                <w:rFonts w:cs="Arial"/>
                <w:color w:val="000000"/>
                <w:sz w:val="18"/>
                <w:szCs w:val="18"/>
                <w:lang w:eastAsia="en-CA"/>
              </w:rPr>
              <w:t>Inter- Agency Coordinating Committee</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APR</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Annual Progress Report</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color w:val="000000"/>
                <w:sz w:val="18"/>
                <w:szCs w:val="18"/>
                <w:lang w:eastAsia="en-CA"/>
              </w:rPr>
            </w:pPr>
            <w:r w:rsidRPr="00F132F9">
              <w:rPr>
                <w:rFonts w:cs="Arial"/>
                <w:sz w:val="18"/>
                <w:szCs w:val="18"/>
                <w:lang w:eastAsia="en-CA"/>
              </w:rPr>
              <w:t>IGF</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color w:val="000000"/>
                <w:sz w:val="18"/>
                <w:szCs w:val="18"/>
                <w:lang w:eastAsia="en-CA"/>
              </w:rPr>
            </w:pPr>
            <w:r w:rsidRPr="00F132F9">
              <w:rPr>
                <w:rFonts w:cs="Arial"/>
                <w:sz w:val="18"/>
                <w:szCs w:val="18"/>
                <w:lang w:eastAsia="en-CA"/>
              </w:rPr>
              <w:t>Internally-Generated Funds</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color w:val="000000"/>
                <w:sz w:val="18"/>
                <w:szCs w:val="18"/>
                <w:lang w:eastAsia="en-CA"/>
              </w:rPr>
              <w:t>ATF</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Accounting Treasury and Finance</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color w:val="000000"/>
                <w:sz w:val="18"/>
                <w:szCs w:val="18"/>
                <w:lang w:eastAsia="en-CA"/>
              </w:rPr>
            </w:pPr>
            <w:r w:rsidRPr="00F132F9">
              <w:rPr>
                <w:rFonts w:cs="Arial"/>
                <w:sz w:val="18"/>
                <w:szCs w:val="18"/>
                <w:lang w:eastAsia="en-CA"/>
              </w:rPr>
              <w:t>IMR</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color w:val="000000"/>
                <w:sz w:val="18"/>
                <w:szCs w:val="18"/>
                <w:lang w:eastAsia="en-CA"/>
              </w:rPr>
            </w:pPr>
            <w:r w:rsidRPr="00F132F9">
              <w:rPr>
                <w:rFonts w:cs="Arial"/>
                <w:sz w:val="18"/>
                <w:szCs w:val="18"/>
                <w:lang w:eastAsia="en-CA"/>
              </w:rPr>
              <w:t>Infant Mortality Rate</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color w:val="000000"/>
                <w:sz w:val="18"/>
                <w:szCs w:val="18"/>
                <w:lang w:eastAsia="en-CA"/>
              </w:rPr>
            </w:pPr>
            <w:r w:rsidRPr="00F132F9">
              <w:rPr>
                <w:rFonts w:cs="Arial"/>
                <w:sz w:val="18"/>
                <w:szCs w:val="18"/>
                <w:lang w:eastAsia="en-CA"/>
              </w:rPr>
              <w:t>BMC</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Budget Management Centre</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KAP</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Knowledge Attitude and Practice</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BPEMS</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Budget and Public Expenditure Management System</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LMIS</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Logistics Management Information System</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CHAG</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Christian Health Association of Ghana</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color w:val="000000"/>
                <w:sz w:val="18"/>
                <w:szCs w:val="18"/>
                <w:lang w:eastAsia="en-CA"/>
              </w:rPr>
            </w:pPr>
            <w:r w:rsidRPr="00F132F9">
              <w:rPr>
                <w:rFonts w:cs="Arial"/>
                <w:color w:val="000000"/>
                <w:sz w:val="18"/>
                <w:szCs w:val="18"/>
                <w:lang w:eastAsia="en-CA"/>
              </w:rPr>
              <w:t>M&amp;E</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color w:val="000000"/>
                <w:sz w:val="18"/>
                <w:szCs w:val="18"/>
                <w:lang w:eastAsia="en-CA"/>
              </w:rPr>
            </w:pPr>
            <w:r w:rsidRPr="00F132F9">
              <w:rPr>
                <w:rFonts w:cs="Arial"/>
                <w:color w:val="000000"/>
                <w:sz w:val="18"/>
                <w:szCs w:val="18"/>
                <w:lang w:eastAsia="en-CA"/>
              </w:rPr>
              <w:t>Monitoring and Evaluation</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CHMC</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Community Health Management Committee</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color w:val="000000"/>
                <w:sz w:val="18"/>
                <w:szCs w:val="18"/>
                <w:lang w:eastAsia="en-CA"/>
              </w:rPr>
              <w:t>MAF</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Pr>
                <w:rFonts w:cs="Arial"/>
                <w:color w:val="000000"/>
                <w:sz w:val="18"/>
                <w:szCs w:val="18"/>
                <w:lang w:eastAsia="en-CA"/>
              </w:rPr>
              <w:t xml:space="preserve">Millennium Acceleration </w:t>
            </w:r>
            <w:r w:rsidRPr="00F132F9">
              <w:rPr>
                <w:rFonts w:cs="Arial"/>
                <w:color w:val="000000"/>
                <w:sz w:val="18"/>
                <w:szCs w:val="18"/>
                <w:lang w:eastAsia="en-CA"/>
              </w:rPr>
              <w:t>Framework</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CHOs</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Community Health Officers</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MDA</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Ministries, Departments and Agencies</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CHPS</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Community-based Health Planning and Service</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MICS</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Multi-Indicator Cluster Survey</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CHV</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Community Health Volunteer</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CMA</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Common Management Arrangements</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MLM</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Middle Level Management</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CSO</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Civil Society Organisation</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color w:val="000000"/>
                <w:sz w:val="18"/>
                <w:szCs w:val="18"/>
                <w:lang w:eastAsia="en-CA"/>
              </w:rPr>
            </w:pPr>
            <w:r w:rsidRPr="00F132F9">
              <w:rPr>
                <w:rFonts w:cs="Arial"/>
                <w:sz w:val="18"/>
                <w:szCs w:val="18"/>
                <w:lang w:eastAsia="en-CA"/>
              </w:rPr>
              <w:t>MMR</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color w:val="000000"/>
                <w:sz w:val="18"/>
                <w:szCs w:val="18"/>
                <w:lang w:eastAsia="en-CA"/>
              </w:rPr>
            </w:pPr>
            <w:r w:rsidRPr="00F132F9">
              <w:rPr>
                <w:rFonts w:cs="Arial"/>
                <w:sz w:val="18"/>
                <w:szCs w:val="18"/>
                <w:lang w:eastAsia="en-CA"/>
              </w:rPr>
              <w:t>Maternal Mortality Rate</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cYMP</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Country Multi Year Plan</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color w:val="000000"/>
                <w:sz w:val="18"/>
                <w:szCs w:val="18"/>
                <w:lang w:eastAsia="en-CA"/>
              </w:rPr>
            </w:pPr>
            <w:r w:rsidRPr="00F132F9">
              <w:rPr>
                <w:rFonts w:cs="Arial"/>
                <w:sz w:val="18"/>
                <w:szCs w:val="18"/>
                <w:lang w:eastAsia="en-CA"/>
              </w:rPr>
              <w:t>MOFEP</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color w:val="000000"/>
                <w:sz w:val="18"/>
                <w:szCs w:val="18"/>
                <w:lang w:eastAsia="en-CA"/>
              </w:rPr>
            </w:pPr>
            <w:r w:rsidRPr="00F132F9">
              <w:rPr>
                <w:rFonts w:cs="Arial"/>
                <w:sz w:val="18"/>
                <w:szCs w:val="18"/>
                <w:lang w:eastAsia="en-CA"/>
              </w:rPr>
              <w:t>Ministry of Finance and Economic Planning</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DfID</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UK Department for International Development</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MOH</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Ministry of Health</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DHIMS</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District Health Information Management System</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NGO</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Non-Governmental Organisation</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DHMT</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District Health Management Team</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NHIS</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National Health Insurance Scheme</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DMHIS</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District Mutual Health Insurance Schemes</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color w:val="000000"/>
                <w:sz w:val="18"/>
                <w:szCs w:val="18"/>
                <w:lang w:eastAsia="en-CA"/>
              </w:rPr>
              <w:t>PBF</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color w:val="000000"/>
                <w:sz w:val="18"/>
                <w:szCs w:val="18"/>
                <w:lang w:eastAsia="en-CA"/>
              </w:rPr>
              <w:t>Performance Based Financing</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DP</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Development Partners</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PFM</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Public Financial Management</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DVD-MT</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District Vaccination Management Tool</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PHC</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Primary Health Care</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EPI</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Expanded Programme On Immunisation</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color w:val="000000"/>
                <w:sz w:val="18"/>
                <w:szCs w:val="18"/>
                <w:lang w:eastAsia="en-CA"/>
              </w:rPr>
              <w:t>PIE</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color w:val="000000"/>
                <w:sz w:val="18"/>
                <w:szCs w:val="18"/>
                <w:lang w:eastAsia="en-CA"/>
              </w:rPr>
              <w:t>Post Introduction Evaluation</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EU</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European Union</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PPMED</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Policy, Planning, Monitoring and Evaluation Department</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EVM</w:t>
            </w:r>
            <w:r>
              <w:rPr>
                <w:rFonts w:cs="Arial"/>
                <w:sz w:val="18"/>
                <w:szCs w:val="18"/>
                <w:lang w:eastAsia="en-CA"/>
              </w:rPr>
              <w:t>A</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 xml:space="preserve">Effective Vaccine Management </w:t>
            </w:r>
            <w:r>
              <w:rPr>
                <w:rFonts w:cs="Arial"/>
                <w:sz w:val="18"/>
                <w:szCs w:val="18"/>
                <w:lang w:eastAsia="en-CA"/>
              </w:rPr>
              <w:t xml:space="preserve"> Assessment</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RHMT</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Regional Health Management Team</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FMIS</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Financial Management Information System</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color w:val="000000"/>
                <w:sz w:val="18"/>
                <w:szCs w:val="18"/>
                <w:lang w:eastAsia="en-CA"/>
              </w:rPr>
            </w:pPr>
            <w:r w:rsidRPr="00F132F9">
              <w:rPr>
                <w:rFonts w:cs="Arial"/>
                <w:color w:val="000000"/>
                <w:sz w:val="18"/>
                <w:szCs w:val="18"/>
                <w:lang w:eastAsia="en-CA"/>
              </w:rPr>
              <w:t>SARA</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color w:val="000000"/>
                <w:sz w:val="18"/>
                <w:szCs w:val="18"/>
                <w:lang w:eastAsia="en-CA"/>
              </w:rPr>
            </w:pPr>
            <w:r w:rsidRPr="00F132F9">
              <w:rPr>
                <w:rFonts w:cs="Arial"/>
                <w:color w:val="000000"/>
                <w:sz w:val="18"/>
                <w:szCs w:val="18"/>
                <w:lang w:eastAsia="en-CA"/>
              </w:rPr>
              <w:t>Service Availability and Readiness Assessment</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GCNH</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Ghana Coalition of NGOs in Health</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SBS</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Sector Budget Support</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 xml:space="preserve">GDHS </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Ghana Demographic Health Survey</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TA</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Technical Assistance</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GDP</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Gross Domestic Product</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color w:val="000000"/>
                <w:sz w:val="18"/>
                <w:szCs w:val="18"/>
                <w:lang w:eastAsia="en-CA"/>
              </w:rPr>
              <w:t>TWG</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color w:val="000000"/>
                <w:sz w:val="18"/>
                <w:szCs w:val="18"/>
                <w:lang w:eastAsia="en-CA"/>
              </w:rPr>
              <w:t>Taskforce Working Group</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GHS</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Ghana Health Service</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color w:val="000000"/>
                <w:sz w:val="18"/>
                <w:szCs w:val="18"/>
                <w:lang w:eastAsia="en-CA"/>
              </w:rPr>
            </w:pPr>
            <w:r w:rsidRPr="00F132F9">
              <w:rPr>
                <w:rFonts w:cs="Arial"/>
                <w:sz w:val="18"/>
                <w:szCs w:val="18"/>
                <w:lang w:eastAsia="en-CA"/>
              </w:rPr>
              <w:t>U5MR</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color w:val="000000"/>
                <w:sz w:val="18"/>
                <w:szCs w:val="18"/>
                <w:lang w:eastAsia="en-CA"/>
              </w:rPr>
            </w:pPr>
            <w:r w:rsidRPr="00F132F9">
              <w:rPr>
                <w:rFonts w:cs="Arial"/>
                <w:sz w:val="18"/>
                <w:szCs w:val="18"/>
                <w:lang w:eastAsia="en-CA"/>
              </w:rPr>
              <w:t>Under Five Mortality Rate</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color w:val="000000"/>
                <w:sz w:val="18"/>
                <w:szCs w:val="18"/>
                <w:lang w:eastAsia="en-CA"/>
              </w:rPr>
              <w:t>GIFMIS</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color w:val="000000"/>
                <w:sz w:val="18"/>
                <w:szCs w:val="18"/>
                <w:lang w:eastAsia="en-CA"/>
              </w:rPr>
              <w:t>Government Integrated Financial Management Information System</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color w:val="000000"/>
                <w:sz w:val="18"/>
                <w:szCs w:val="18"/>
                <w:lang w:eastAsia="en-CA"/>
              </w:rPr>
              <w:t>UNICEF</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color w:val="000000"/>
                <w:sz w:val="18"/>
                <w:szCs w:val="18"/>
                <w:lang w:eastAsia="en-CA"/>
              </w:rPr>
              <w:t>United Nation Children Fund</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GOG</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Government Of Ghana</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USAID</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United States Agency for International Development</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HRHD</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sz w:val="18"/>
                <w:szCs w:val="18"/>
                <w:lang w:eastAsia="en-CA"/>
              </w:rPr>
              <w:t>Human Resource For Health  Development</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color w:val="000000"/>
                <w:sz w:val="18"/>
                <w:szCs w:val="18"/>
                <w:lang w:eastAsia="en-CA"/>
              </w:rPr>
            </w:pPr>
            <w:r w:rsidRPr="00F132F9">
              <w:rPr>
                <w:rFonts w:cs="Arial"/>
                <w:sz w:val="18"/>
                <w:szCs w:val="18"/>
                <w:lang w:eastAsia="en-CA"/>
              </w:rPr>
              <w:t>VPD</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color w:val="000000"/>
                <w:sz w:val="18"/>
                <w:szCs w:val="18"/>
                <w:lang w:eastAsia="en-CA"/>
              </w:rPr>
            </w:pPr>
            <w:r w:rsidRPr="00F132F9">
              <w:rPr>
                <w:rFonts w:cs="Arial"/>
                <w:sz w:val="18"/>
                <w:szCs w:val="18"/>
                <w:lang w:eastAsia="en-CA"/>
              </w:rPr>
              <w:t>Vaccine Preventable Diseases</w:t>
            </w:r>
          </w:p>
        </w:tc>
      </w:tr>
      <w:tr w:rsidR="002B2F73" w:rsidRPr="00F132F9" w:rsidTr="002B2F73">
        <w:trPr>
          <w:trHeight w:val="302"/>
        </w:trPr>
        <w:tc>
          <w:tcPr>
            <w:tcW w:w="632" w:type="pct"/>
            <w:tcBorders>
              <w:top w:val="nil"/>
              <w:left w:val="single" w:sz="4" w:space="0" w:color="auto"/>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color w:val="000000"/>
                <w:sz w:val="18"/>
                <w:szCs w:val="18"/>
                <w:lang w:eastAsia="en-CA"/>
              </w:rPr>
              <w:t>HRHPS</w:t>
            </w:r>
          </w:p>
        </w:tc>
        <w:tc>
          <w:tcPr>
            <w:tcW w:w="1841" w:type="pct"/>
            <w:tcBorders>
              <w:top w:val="nil"/>
              <w:left w:val="nil"/>
              <w:bottom w:val="single" w:sz="4" w:space="0" w:color="auto"/>
              <w:right w:val="single" w:sz="4" w:space="0" w:color="auto"/>
            </w:tcBorders>
            <w:shd w:val="clear" w:color="auto" w:fill="auto"/>
            <w:vAlign w:val="bottom"/>
          </w:tcPr>
          <w:p w:rsidR="002B2F73" w:rsidRPr="00F132F9" w:rsidRDefault="002B2F73" w:rsidP="002B2F73">
            <w:pPr>
              <w:rPr>
                <w:rFonts w:cs="Arial"/>
                <w:sz w:val="18"/>
                <w:szCs w:val="18"/>
                <w:lang w:eastAsia="en-CA"/>
              </w:rPr>
            </w:pPr>
            <w:r w:rsidRPr="00F132F9">
              <w:rPr>
                <w:rFonts w:cs="Arial"/>
                <w:color w:val="000000"/>
                <w:sz w:val="18"/>
                <w:szCs w:val="18"/>
                <w:lang w:eastAsia="en-CA"/>
              </w:rPr>
              <w:t>Human Resource Policies And Strategies for the Health Sector</w:t>
            </w:r>
          </w:p>
        </w:tc>
        <w:tc>
          <w:tcPr>
            <w:tcW w:w="617"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WHO</w:t>
            </w:r>
          </w:p>
        </w:tc>
        <w:tc>
          <w:tcPr>
            <w:tcW w:w="1910" w:type="pct"/>
            <w:tcBorders>
              <w:top w:val="nil"/>
              <w:left w:val="nil"/>
              <w:bottom w:val="single" w:sz="4" w:space="0" w:color="auto"/>
              <w:right w:val="single" w:sz="4" w:space="0" w:color="auto"/>
            </w:tcBorders>
            <w:vAlign w:val="bottom"/>
          </w:tcPr>
          <w:p w:rsidR="002B2F73" w:rsidRPr="00F132F9" w:rsidRDefault="002B2F73" w:rsidP="002B2F73">
            <w:pPr>
              <w:rPr>
                <w:rFonts w:cs="Arial"/>
                <w:sz w:val="18"/>
                <w:szCs w:val="18"/>
                <w:lang w:eastAsia="en-CA"/>
              </w:rPr>
            </w:pPr>
            <w:r w:rsidRPr="00F132F9">
              <w:rPr>
                <w:rFonts w:cs="Arial"/>
                <w:sz w:val="18"/>
                <w:szCs w:val="18"/>
                <w:lang w:eastAsia="en-CA"/>
              </w:rPr>
              <w:t xml:space="preserve">World Health Organization </w:t>
            </w:r>
          </w:p>
        </w:tc>
      </w:tr>
    </w:tbl>
    <w:p w:rsidR="00052899" w:rsidRPr="008C28BF" w:rsidRDefault="00052899" w:rsidP="00052899">
      <w:pPr>
        <w:jc w:val="both"/>
        <w:rPr>
          <w:rFonts w:cs="Arial"/>
          <w:b/>
          <w:szCs w:val="22"/>
        </w:rPr>
      </w:pPr>
    </w:p>
    <w:p w:rsidR="00052899" w:rsidRDefault="00052899" w:rsidP="00052899">
      <w:pPr>
        <w:jc w:val="both"/>
        <w:rPr>
          <w:rFonts w:cs="Arial"/>
          <w:b/>
          <w:szCs w:val="22"/>
        </w:rPr>
      </w:pPr>
    </w:p>
    <w:p w:rsidR="002B2F73" w:rsidRDefault="002B2F73">
      <w:bookmarkStart w:id="60" w:name="_Toc377026019"/>
      <w:bookmarkStart w:id="61" w:name="_Toc377543615"/>
      <w:bookmarkStart w:id="62" w:name="_Toc377545208"/>
      <w:bookmarkEnd w:id="60"/>
      <w:r>
        <w:rPr>
          <w:b/>
        </w:rPr>
        <w:br w:type="page"/>
      </w:r>
    </w:p>
    <w:tbl>
      <w:tblPr>
        <w:tblpPr w:leftFromText="180" w:rightFromText="180" w:vertAnchor="page" w:horzAnchor="margin" w:tblpY="1141"/>
        <w:tblW w:w="5000" w:type="pct"/>
        <w:shd w:val="clear" w:color="auto" w:fill="FFFFFF"/>
        <w:tblLook w:val="0000"/>
      </w:tblPr>
      <w:tblGrid>
        <w:gridCol w:w="1845"/>
        <w:gridCol w:w="1433"/>
        <w:gridCol w:w="1558"/>
        <w:gridCol w:w="1202"/>
        <w:gridCol w:w="645"/>
        <w:gridCol w:w="645"/>
        <w:gridCol w:w="649"/>
        <w:gridCol w:w="1399"/>
      </w:tblGrid>
      <w:tr w:rsidR="00052899" w:rsidRPr="001A404E">
        <w:trPr>
          <w:cantSplit/>
          <w:trHeight w:val="345"/>
        </w:trPr>
        <w:tc>
          <w:tcPr>
            <w:tcW w:w="5000" w:type="pct"/>
            <w:gridSpan w:val="8"/>
            <w:tcBorders>
              <w:top w:val="single" w:sz="6" w:space="0" w:color="215868"/>
              <w:left w:val="single" w:sz="6" w:space="0" w:color="215868"/>
              <w:bottom w:val="single" w:sz="6" w:space="0" w:color="215868"/>
              <w:right w:val="single" w:sz="6" w:space="0" w:color="215868"/>
            </w:tcBorders>
            <w:shd w:val="clear" w:color="auto" w:fill="006666"/>
            <w:tcMar>
              <w:top w:w="80" w:type="dxa"/>
              <w:left w:w="0" w:type="dxa"/>
              <w:bottom w:w="80" w:type="dxa"/>
              <w:right w:w="0" w:type="dxa"/>
            </w:tcMar>
            <w:vAlign w:val="center"/>
          </w:tcPr>
          <w:p w:rsidR="00052899" w:rsidRDefault="00052899" w:rsidP="00052899">
            <w:pPr>
              <w:pStyle w:val="Heading1"/>
            </w:pPr>
            <w:r w:rsidRPr="00291E76">
              <w:t>SITUATIONAL  ANALYSIS</w:t>
            </w:r>
            <w:bookmarkEnd w:id="61"/>
            <w:bookmarkEnd w:id="62"/>
          </w:p>
        </w:tc>
      </w:tr>
      <w:tr w:rsidR="00052899" w:rsidRPr="001A404E">
        <w:trPr>
          <w:cantSplit/>
          <w:trHeight w:val="345"/>
        </w:trPr>
        <w:tc>
          <w:tcPr>
            <w:tcW w:w="5000" w:type="pct"/>
            <w:gridSpan w:val="8"/>
            <w:tcBorders>
              <w:top w:val="single" w:sz="6" w:space="0" w:color="215868"/>
              <w:left w:val="single" w:sz="6" w:space="0" w:color="215868"/>
              <w:bottom w:val="single" w:sz="6" w:space="0" w:color="215868"/>
              <w:right w:val="single" w:sz="6" w:space="0" w:color="215868"/>
            </w:tcBorders>
            <w:shd w:val="clear" w:color="auto" w:fill="006666"/>
            <w:tcMar>
              <w:top w:w="80" w:type="dxa"/>
              <w:left w:w="0" w:type="dxa"/>
              <w:bottom w:w="80" w:type="dxa"/>
              <w:right w:w="0" w:type="dxa"/>
            </w:tcMar>
            <w:vAlign w:val="center"/>
          </w:tcPr>
          <w:p w:rsidR="00052899" w:rsidRDefault="00052899" w:rsidP="00052899">
            <w:pPr>
              <w:pStyle w:val="Heading1"/>
              <w:rPr>
                <w:rFonts w:eastAsia="Arial Unicode MS"/>
                <w:u w:color="FFFFFF"/>
              </w:rPr>
            </w:pPr>
            <w:bookmarkStart w:id="63" w:name="_Toc377026022"/>
            <w:bookmarkStart w:id="64" w:name="_Toc377543616"/>
            <w:bookmarkStart w:id="65" w:name="_Toc377545209"/>
            <w:r w:rsidRPr="002E292E">
              <w:t>5. Key relevant health and health system statistics (3 pages Maximum)</w:t>
            </w:r>
            <w:bookmarkEnd w:id="63"/>
            <w:bookmarkEnd w:id="64"/>
            <w:bookmarkEnd w:id="65"/>
          </w:p>
        </w:tc>
      </w:tr>
      <w:tr w:rsidR="00052899" w:rsidRPr="001A404E" w:rsidTr="002B2F73">
        <w:trPr>
          <w:cantSplit/>
          <w:trHeight w:val="345"/>
        </w:trPr>
        <w:tc>
          <w:tcPr>
            <w:tcW w:w="984"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b/>
                <w:color w:val="000000"/>
                <w:szCs w:val="22"/>
                <w:u w:color="000000"/>
              </w:rPr>
            </w:pPr>
            <w:bookmarkStart w:id="66" w:name="_Toc377026023"/>
            <w:bookmarkStart w:id="67" w:name="_Toc377543617"/>
            <w:bookmarkStart w:id="68" w:name="_Toc377545210"/>
            <w:r>
              <w:rPr>
                <w:rFonts w:eastAsia="Arial Unicode MS" w:cs="Arial"/>
                <w:b/>
                <w:color w:val="000000"/>
                <w:szCs w:val="22"/>
                <w:u w:color="000000"/>
              </w:rPr>
              <w:t>Indicator</w:t>
            </w:r>
            <w:bookmarkEnd w:id="66"/>
            <w:bookmarkEnd w:id="67"/>
            <w:bookmarkEnd w:id="68"/>
          </w:p>
        </w:tc>
        <w:tc>
          <w:tcPr>
            <w:tcW w:w="764"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b/>
                <w:color w:val="000000"/>
                <w:szCs w:val="22"/>
                <w:u w:color="000000"/>
              </w:rPr>
            </w:pPr>
            <w:bookmarkStart w:id="69" w:name="_Toc377026024"/>
            <w:bookmarkStart w:id="70" w:name="_Toc377543618"/>
            <w:bookmarkStart w:id="71" w:name="_Toc377545211"/>
            <w:r>
              <w:rPr>
                <w:rFonts w:eastAsia="Arial Unicode MS" w:cs="Arial"/>
                <w:b/>
                <w:color w:val="000000"/>
                <w:szCs w:val="22"/>
                <w:u w:color="000000"/>
              </w:rPr>
              <w:t>Source</w:t>
            </w:r>
            <w:bookmarkEnd w:id="69"/>
            <w:bookmarkEnd w:id="70"/>
            <w:bookmarkEnd w:id="71"/>
          </w:p>
        </w:tc>
        <w:tc>
          <w:tcPr>
            <w:tcW w:w="831"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b/>
                <w:color w:val="000000"/>
                <w:szCs w:val="22"/>
                <w:u w:color="000000"/>
              </w:rPr>
            </w:pPr>
            <w:bookmarkStart w:id="72" w:name="_Toc377026025"/>
            <w:bookmarkStart w:id="73" w:name="_Toc377543619"/>
            <w:bookmarkStart w:id="74" w:name="_Toc377545212"/>
            <w:r>
              <w:rPr>
                <w:rFonts w:eastAsia="Arial Unicode MS" w:cs="Arial"/>
                <w:b/>
                <w:color w:val="000000"/>
                <w:szCs w:val="22"/>
                <w:u w:color="000000"/>
              </w:rPr>
              <w:t>National Average</w:t>
            </w:r>
            <w:bookmarkEnd w:id="72"/>
            <w:bookmarkEnd w:id="73"/>
            <w:bookmarkEnd w:id="74"/>
          </w:p>
        </w:tc>
        <w:tc>
          <w:tcPr>
            <w:tcW w:w="641"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b/>
                <w:color w:val="000000"/>
                <w:szCs w:val="22"/>
                <w:u w:color="000000"/>
              </w:rPr>
            </w:pPr>
            <w:bookmarkStart w:id="75" w:name="_Toc377026026"/>
            <w:bookmarkStart w:id="76" w:name="_Toc377543620"/>
            <w:bookmarkStart w:id="77" w:name="_Toc377545213"/>
            <w:r>
              <w:rPr>
                <w:rFonts w:eastAsia="Arial Unicode MS" w:cs="Arial"/>
                <w:b/>
                <w:color w:val="000000"/>
                <w:szCs w:val="22"/>
                <w:u w:color="000000"/>
              </w:rPr>
              <w:t>Percentage difference between highest &amp; lowest quintiles</w:t>
            </w:r>
            <w:bookmarkEnd w:id="75"/>
            <w:bookmarkEnd w:id="76"/>
            <w:bookmarkEnd w:id="77"/>
          </w:p>
        </w:tc>
        <w:tc>
          <w:tcPr>
            <w:tcW w:w="1033" w:type="pct"/>
            <w:gridSpan w:val="3"/>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b/>
                <w:color w:val="000000"/>
                <w:szCs w:val="22"/>
                <w:u w:color="000000"/>
              </w:rPr>
            </w:pPr>
            <w:bookmarkStart w:id="78" w:name="_Toc377026027"/>
            <w:bookmarkStart w:id="79" w:name="_Toc377543621"/>
            <w:bookmarkStart w:id="80" w:name="_Toc377545214"/>
            <w:r>
              <w:rPr>
                <w:rFonts w:eastAsia="Arial Unicode MS" w:cs="Arial"/>
                <w:b/>
                <w:color w:val="000000"/>
                <w:szCs w:val="22"/>
                <w:u w:color="000000"/>
              </w:rPr>
              <w:t>Sex</w:t>
            </w:r>
            <w:bookmarkEnd w:id="78"/>
            <w:bookmarkEnd w:id="79"/>
            <w:bookmarkEnd w:id="80"/>
          </w:p>
          <w:p w:rsidR="00052899" w:rsidRPr="009E3797" w:rsidRDefault="00052899" w:rsidP="00052899">
            <w:pPr>
              <w:jc w:val="center"/>
              <w:outlineLvl w:val="0"/>
              <w:rPr>
                <w:rFonts w:eastAsia="Arial Unicode MS" w:cs="Arial"/>
                <w:b/>
                <w:i/>
                <w:color w:val="000000"/>
                <w:szCs w:val="22"/>
                <w:u w:color="000000"/>
              </w:rPr>
            </w:pPr>
            <w:bookmarkStart w:id="81" w:name="_Toc377026028"/>
            <w:bookmarkStart w:id="82" w:name="_Toc377543622"/>
            <w:bookmarkStart w:id="83" w:name="_Toc377545215"/>
            <w:r>
              <w:rPr>
                <w:rFonts w:eastAsia="Arial Unicode MS" w:cs="Arial"/>
                <w:b/>
                <w:i/>
                <w:color w:val="000000"/>
                <w:szCs w:val="22"/>
                <w:u w:color="000000"/>
              </w:rPr>
              <w:t>(Please provide disaggregated data where available)</w:t>
            </w:r>
            <w:bookmarkEnd w:id="81"/>
            <w:bookmarkEnd w:id="82"/>
            <w:bookmarkEnd w:id="83"/>
          </w:p>
        </w:tc>
        <w:tc>
          <w:tcPr>
            <w:tcW w:w="747"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b/>
                <w:color w:val="000000"/>
                <w:szCs w:val="22"/>
                <w:u w:color="000000"/>
              </w:rPr>
            </w:pPr>
            <w:bookmarkStart w:id="84" w:name="_Toc377026029"/>
            <w:bookmarkStart w:id="85" w:name="_Toc377543623"/>
            <w:bookmarkStart w:id="86" w:name="_Toc377545216"/>
            <w:r>
              <w:rPr>
                <w:rFonts w:eastAsia="Arial Unicode MS" w:cs="Arial"/>
                <w:b/>
                <w:color w:val="000000"/>
                <w:szCs w:val="22"/>
                <w:u w:color="000000"/>
              </w:rPr>
              <w:t>Year</w:t>
            </w:r>
            <w:bookmarkEnd w:id="84"/>
            <w:bookmarkEnd w:id="85"/>
            <w:bookmarkEnd w:id="86"/>
          </w:p>
        </w:tc>
      </w:tr>
      <w:tr w:rsidR="00052899" w:rsidRPr="001A404E" w:rsidTr="002B2F73">
        <w:trPr>
          <w:cantSplit/>
          <w:trHeight w:val="345"/>
        </w:trPr>
        <w:tc>
          <w:tcPr>
            <w:tcW w:w="984" w:type="pct"/>
            <w:vMerge/>
            <w:tcBorders>
              <w:top w:val="single" w:sz="6" w:space="0" w:color="215868"/>
              <w:left w:val="single" w:sz="6" w:space="0" w:color="215868"/>
              <w:bottom w:val="single" w:sz="6" w:space="0" w:color="215868"/>
              <w:right w:val="single" w:sz="6" w:space="0" w:color="215868"/>
            </w:tcBorders>
            <w:shd w:val="clear" w:color="auto" w:fill="FFFFFF"/>
          </w:tcPr>
          <w:p w:rsidR="00052899" w:rsidRPr="001A404E" w:rsidRDefault="00052899" w:rsidP="00052899">
            <w:pPr>
              <w:jc w:val="both"/>
              <w:rPr>
                <w:rFonts w:eastAsia="Arial Unicode MS" w:cs="Arial"/>
                <w:color w:val="000000"/>
                <w:szCs w:val="22"/>
              </w:rPr>
            </w:pPr>
          </w:p>
        </w:tc>
        <w:tc>
          <w:tcPr>
            <w:tcW w:w="764" w:type="pct"/>
            <w:vMerge/>
            <w:tcBorders>
              <w:top w:val="single" w:sz="6" w:space="0" w:color="215868"/>
              <w:left w:val="single" w:sz="6" w:space="0" w:color="215868"/>
              <w:bottom w:val="single" w:sz="6" w:space="0" w:color="215868"/>
              <w:right w:val="single" w:sz="6" w:space="0" w:color="215868"/>
            </w:tcBorders>
            <w:shd w:val="clear" w:color="auto" w:fill="FFFFFF"/>
          </w:tcPr>
          <w:p w:rsidR="00052899" w:rsidRPr="001A404E" w:rsidRDefault="00052899" w:rsidP="00052899">
            <w:pPr>
              <w:jc w:val="both"/>
              <w:rPr>
                <w:rFonts w:cs="Arial"/>
                <w:szCs w:val="22"/>
              </w:rPr>
            </w:pPr>
          </w:p>
        </w:tc>
        <w:tc>
          <w:tcPr>
            <w:tcW w:w="831" w:type="pct"/>
            <w:vMerge/>
            <w:tcBorders>
              <w:top w:val="single" w:sz="6" w:space="0" w:color="215868"/>
              <w:left w:val="single" w:sz="6" w:space="0" w:color="215868"/>
              <w:bottom w:val="single" w:sz="6" w:space="0" w:color="215868"/>
              <w:right w:val="single" w:sz="6" w:space="0" w:color="215868"/>
            </w:tcBorders>
            <w:shd w:val="clear" w:color="auto" w:fill="FFFFFF"/>
          </w:tcPr>
          <w:p w:rsidR="00052899" w:rsidRPr="001A404E" w:rsidRDefault="00052899" w:rsidP="00052899">
            <w:pPr>
              <w:jc w:val="both"/>
              <w:rPr>
                <w:rFonts w:cs="Arial"/>
                <w:szCs w:val="22"/>
              </w:rPr>
            </w:pPr>
          </w:p>
        </w:tc>
        <w:tc>
          <w:tcPr>
            <w:tcW w:w="641" w:type="pct"/>
            <w:vMerge/>
            <w:tcBorders>
              <w:top w:val="single" w:sz="6" w:space="0" w:color="215868"/>
              <w:left w:val="single" w:sz="6" w:space="0" w:color="215868"/>
              <w:bottom w:val="single" w:sz="6" w:space="0" w:color="215868"/>
              <w:right w:val="single" w:sz="6" w:space="0" w:color="215868"/>
            </w:tcBorders>
            <w:shd w:val="clear" w:color="auto" w:fill="FFFFFF"/>
          </w:tcPr>
          <w:p w:rsidR="00052899" w:rsidRPr="001A404E" w:rsidRDefault="00052899" w:rsidP="00052899">
            <w:pPr>
              <w:jc w:val="both"/>
              <w:rPr>
                <w:rFonts w:cs="Arial"/>
                <w:szCs w:val="22"/>
              </w:rPr>
            </w:pPr>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b/>
                <w:color w:val="000000"/>
                <w:szCs w:val="22"/>
                <w:u w:color="000000"/>
              </w:rPr>
            </w:pPr>
            <w:bookmarkStart w:id="87" w:name="_Toc377026030"/>
            <w:bookmarkStart w:id="88" w:name="_Toc377543624"/>
            <w:bookmarkStart w:id="89" w:name="_Toc377545217"/>
            <w:r>
              <w:rPr>
                <w:rFonts w:eastAsia="Arial Unicode MS" w:cs="Arial"/>
                <w:b/>
                <w:color w:val="000000"/>
                <w:szCs w:val="22"/>
                <w:u w:color="000000"/>
              </w:rPr>
              <w:t>M</w:t>
            </w:r>
            <w:bookmarkEnd w:id="87"/>
            <w:bookmarkEnd w:id="88"/>
            <w:bookmarkEnd w:id="89"/>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b/>
                <w:color w:val="000000"/>
                <w:szCs w:val="22"/>
                <w:u w:color="000000"/>
              </w:rPr>
            </w:pPr>
            <w:bookmarkStart w:id="90" w:name="_Toc377026031"/>
            <w:bookmarkStart w:id="91" w:name="_Toc377543625"/>
            <w:bookmarkStart w:id="92" w:name="_Toc377545218"/>
            <w:r>
              <w:rPr>
                <w:rFonts w:eastAsia="Arial Unicode MS" w:cs="Arial"/>
                <w:b/>
                <w:color w:val="000000"/>
                <w:szCs w:val="22"/>
                <w:u w:color="000000"/>
              </w:rPr>
              <w:t>F</w:t>
            </w:r>
            <w:bookmarkEnd w:id="90"/>
            <w:bookmarkEnd w:id="91"/>
            <w:bookmarkEnd w:id="92"/>
          </w:p>
        </w:tc>
        <w:tc>
          <w:tcPr>
            <w:tcW w:w="346"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b/>
                <w:color w:val="000000"/>
                <w:szCs w:val="22"/>
                <w:u w:color="000000"/>
              </w:rPr>
            </w:pPr>
            <w:bookmarkStart w:id="93" w:name="_Toc377026032"/>
            <w:bookmarkStart w:id="94" w:name="_Toc377543626"/>
            <w:bookmarkStart w:id="95" w:name="_Toc377545219"/>
            <w:r>
              <w:rPr>
                <w:rFonts w:eastAsia="Arial Unicode MS" w:cs="Arial"/>
                <w:b/>
                <w:color w:val="000000"/>
                <w:szCs w:val="22"/>
                <w:u w:color="000000"/>
              </w:rPr>
              <w:t>Total</w:t>
            </w:r>
            <w:bookmarkEnd w:id="93"/>
            <w:bookmarkEnd w:id="94"/>
            <w:bookmarkEnd w:id="95"/>
          </w:p>
        </w:tc>
        <w:tc>
          <w:tcPr>
            <w:tcW w:w="747" w:type="pct"/>
            <w:vMerge/>
            <w:tcBorders>
              <w:top w:val="single" w:sz="6" w:space="0" w:color="215868"/>
              <w:left w:val="single" w:sz="6" w:space="0" w:color="215868"/>
              <w:bottom w:val="single" w:sz="6" w:space="0" w:color="215868"/>
              <w:right w:val="single" w:sz="6" w:space="0" w:color="215868"/>
            </w:tcBorders>
            <w:shd w:val="clear" w:color="auto" w:fill="FFFFFF"/>
          </w:tcPr>
          <w:p w:rsidR="00052899" w:rsidRPr="001A404E" w:rsidRDefault="00052899" w:rsidP="00052899">
            <w:pPr>
              <w:jc w:val="both"/>
              <w:rPr>
                <w:rFonts w:cs="Arial"/>
                <w:szCs w:val="22"/>
              </w:rPr>
            </w:pPr>
          </w:p>
        </w:tc>
      </w:tr>
      <w:tr w:rsidR="00052899" w:rsidRPr="001A404E" w:rsidTr="002B2F73">
        <w:trPr>
          <w:cantSplit/>
          <w:trHeight w:val="345"/>
        </w:trPr>
        <w:tc>
          <w:tcPr>
            <w:tcW w:w="984"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outlineLvl w:val="0"/>
              <w:rPr>
                <w:rFonts w:eastAsia="Arial Unicode MS" w:cs="Arial"/>
                <w:szCs w:val="22"/>
                <w:u w:color="000000"/>
              </w:rPr>
            </w:pPr>
            <w:bookmarkStart w:id="96" w:name="_Toc377026033"/>
            <w:bookmarkStart w:id="97" w:name="_Toc377543627"/>
            <w:bookmarkStart w:id="98" w:name="_Toc377545220"/>
            <w:r w:rsidRPr="009E3797">
              <w:rPr>
                <w:rFonts w:eastAsia="Arial Unicode MS" w:cs="Arial"/>
                <w:szCs w:val="22"/>
                <w:u w:color="000000"/>
              </w:rPr>
              <w:t>PENTA3 coverage</w:t>
            </w:r>
            <w:r w:rsidRPr="009E3797">
              <w:rPr>
                <w:rStyle w:val="FootnoteReference"/>
                <w:rFonts w:eastAsia="Arial Unicode MS" w:cs="Arial"/>
                <w:szCs w:val="22"/>
                <w:u w:color="000000"/>
              </w:rPr>
              <w:footnoteReference w:id="3"/>
            </w:r>
            <w:bookmarkEnd w:id="96"/>
            <w:bookmarkEnd w:id="97"/>
            <w:bookmarkEnd w:id="98"/>
          </w:p>
        </w:tc>
        <w:tc>
          <w:tcPr>
            <w:tcW w:w="76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99" w:name="_Toc377026034"/>
            <w:bookmarkStart w:id="100" w:name="_Toc377543628"/>
            <w:bookmarkStart w:id="101" w:name="_Toc377545221"/>
            <w:r w:rsidRPr="009E3797">
              <w:rPr>
                <w:rFonts w:eastAsia="Arial Unicode MS" w:cs="Arial"/>
                <w:color w:val="000000"/>
                <w:szCs w:val="22"/>
                <w:u w:color="000000"/>
              </w:rPr>
              <w:t>Administrative Data (DHIMS)</w:t>
            </w:r>
            <w:bookmarkEnd w:id="99"/>
            <w:bookmarkEnd w:id="100"/>
            <w:bookmarkEnd w:id="101"/>
          </w:p>
        </w:tc>
        <w:tc>
          <w:tcPr>
            <w:tcW w:w="83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02" w:name="_Toc377026035"/>
            <w:bookmarkStart w:id="103" w:name="_Toc377543629"/>
            <w:bookmarkStart w:id="104" w:name="_Toc377545222"/>
            <w:r w:rsidRPr="009E3797">
              <w:rPr>
                <w:rFonts w:eastAsia="Arial Unicode MS" w:cs="Arial"/>
                <w:color w:val="000000"/>
                <w:szCs w:val="22"/>
                <w:u w:color="000000"/>
              </w:rPr>
              <w:t>92.2%</w:t>
            </w:r>
            <w:bookmarkEnd w:id="102"/>
            <w:bookmarkEnd w:id="103"/>
            <w:bookmarkEnd w:id="104"/>
          </w:p>
        </w:tc>
        <w:tc>
          <w:tcPr>
            <w:tcW w:w="64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05" w:name="_Toc377026036"/>
            <w:bookmarkStart w:id="106" w:name="_Toc377543630"/>
            <w:bookmarkStart w:id="107" w:name="_Toc377545223"/>
            <w:r w:rsidRPr="009E3797">
              <w:rPr>
                <w:rFonts w:eastAsia="Arial Unicode MS" w:cs="Arial"/>
                <w:color w:val="000000"/>
                <w:szCs w:val="22"/>
                <w:u w:color="000000"/>
              </w:rPr>
              <w:t>NA</w:t>
            </w:r>
            <w:bookmarkEnd w:id="105"/>
            <w:bookmarkEnd w:id="106"/>
            <w:bookmarkEnd w:id="107"/>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08" w:name="_Toc377026037"/>
            <w:bookmarkStart w:id="109" w:name="_Toc377543631"/>
            <w:bookmarkStart w:id="110" w:name="_Toc377545224"/>
            <w:r w:rsidRPr="009E3797">
              <w:rPr>
                <w:rFonts w:eastAsia="Arial Unicode MS" w:cs="Arial"/>
                <w:color w:val="000000"/>
                <w:szCs w:val="22"/>
                <w:u w:color="000000"/>
              </w:rPr>
              <w:t>NA</w:t>
            </w:r>
            <w:bookmarkEnd w:id="108"/>
            <w:bookmarkEnd w:id="109"/>
            <w:bookmarkEnd w:id="110"/>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11" w:name="_Toc377026038"/>
            <w:bookmarkStart w:id="112" w:name="_Toc377543632"/>
            <w:bookmarkStart w:id="113" w:name="_Toc377545225"/>
            <w:r w:rsidRPr="009E3797">
              <w:rPr>
                <w:rFonts w:eastAsia="Arial Unicode MS" w:cs="Arial"/>
                <w:color w:val="000000"/>
                <w:szCs w:val="22"/>
                <w:u w:color="000000"/>
              </w:rPr>
              <w:t>NA</w:t>
            </w:r>
            <w:bookmarkEnd w:id="111"/>
            <w:bookmarkEnd w:id="112"/>
            <w:bookmarkEnd w:id="113"/>
          </w:p>
        </w:tc>
        <w:tc>
          <w:tcPr>
            <w:tcW w:w="346"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14" w:name="_Toc377026039"/>
            <w:bookmarkStart w:id="115" w:name="_Toc377543633"/>
            <w:bookmarkStart w:id="116" w:name="_Toc377545226"/>
            <w:r w:rsidRPr="009E3797">
              <w:rPr>
                <w:rFonts w:eastAsia="Arial Unicode MS" w:cs="Arial"/>
                <w:color w:val="000000"/>
                <w:szCs w:val="22"/>
                <w:u w:color="000000"/>
              </w:rPr>
              <w:t>NA</w:t>
            </w:r>
            <w:bookmarkEnd w:id="114"/>
            <w:bookmarkEnd w:id="115"/>
            <w:bookmarkEnd w:id="116"/>
          </w:p>
        </w:tc>
        <w:tc>
          <w:tcPr>
            <w:tcW w:w="74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17" w:name="_Toc377026040"/>
            <w:bookmarkStart w:id="118" w:name="_Toc377543634"/>
            <w:bookmarkStart w:id="119" w:name="_Toc377545227"/>
            <w:r w:rsidRPr="009E3797">
              <w:rPr>
                <w:rFonts w:eastAsia="Arial Unicode MS" w:cs="Arial"/>
                <w:color w:val="000000"/>
                <w:szCs w:val="22"/>
                <w:u w:color="000000"/>
              </w:rPr>
              <w:t>2012</w:t>
            </w:r>
            <w:bookmarkEnd w:id="117"/>
            <w:bookmarkEnd w:id="118"/>
            <w:bookmarkEnd w:id="119"/>
          </w:p>
        </w:tc>
      </w:tr>
      <w:tr w:rsidR="00052899" w:rsidRPr="001A404E" w:rsidTr="002B2F73">
        <w:trPr>
          <w:cantSplit/>
          <w:trHeight w:val="345"/>
        </w:trPr>
        <w:tc>
          <w:tcPr>
            <w:tcW w:w="984" w:type="pct"/>
            <w:vMerge/>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outlineLvl w:val="0"/>
              <w:rPr>
                <w:rFonts w:eastAsia="Arial Unicode MS" w:cs="Arial"/>
                <w:color w:val="000000"/>
                <w:szCs w:val="22"/>
                <w:u w:color="000000"/>
              </w:rPr>
            </w:pPr>
          </w:p>
        </w:tc>
        <w:tc>
          <w:tcPr>
            <w:tcW w:w="76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120" w:name="_Toc377026041"/>
            <w:bookmarkStart w:id="121" w:name="_Toc377543635"/>
            <w:bookmarkStart w:id="122" w:name="_Toc377545228"/>
            <w:r w:rsidRPr="009E3797">
              <w:rPr>
                <w:rFonts w:eastAsia="Arial Unicode MS" w:cs="Arial"/>
                <w:color w:val="000000"/>
                <w:szCs w:val="22"/>
                <w:u w:color="000000"/>
              </w:rPr>
              <w:t>UNICEF/WHO Estimate</w:t>
            </w:r>
            <w:bookmarkEnd w:id="120"/>
            <w:bookmarkEnd w:id="121"/>
            <w:bookmarkEnd w:id="122"/>
          </w:p>
        </w:tc>
        <w:tc>
          <w:tcPr>
            <w:tcW w:w="83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23" w:name="_Toc377026042"/>
            <w:bookmarkStart w:id="124" w:name="_Toc377543636"/>
            <w:bookmarkStart w:id="125" w:name="_Toc377545229"/>
            <w:r w:rsidRPr="009E3797">
              <w:rPr>
                <w:rFonts w:eastAsia="Arial Unicode MS" w:cs="Arial"/>
                <w:color w:val="000000"/>
                <w:szCs w:val="22"/>
                <w:u w:color="000000"/>
              </w:rPr>
              <w:t>92%</w:t>
            </w:r>
            <w:bookmarkEnd w:id="123"/>
            <w:bookmarkEnd w:id="124"/>
            <w:bookmarkEnd w:id="125"/>
          </w:p>
        </w:tc>
        <w:tc>
          <w:tcPr>
            <w:tcW w:w="64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346"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74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26" w:name="_Toc377026043"/>
            <w:bookmarkStart w:id="127" w:name="_Toc377543637"/>
            <w:bookmarkStart w:id="128" w:name="_Toc377545230"/>
            <w:r w:rsidRPr="009E3797">
              <w:rPr>
                <w:rFonts w:eastAsia="Arial Unicode MS" w:cs="Arial"/>
                <w:color w:val="000000"/>
                <w:szCs w:val="22"/>
                <w:u w:color="000000"/>
              </w:rPr>
              <w:t>2012</w:t>
            </w:r>
            <w:bookmarkEnd w:id="126"/>
            <w:bookmarkEnd w:id="127"/>
            <w:bookmarkEnd w:id="128"/>
          </w:p>
        </w:tc>
      </w:tr>
      <w:tr w:rsidR="00052899" w:rsidRPr="001A404E" w:rsidTr="002B2F73">
        <w:trPr>
          <w:cantSplit/>
          <w:trHeight w:val="345"/>
        </w:trPr>
        <w:tc>
          <w:tcPr>
            <w:tcW w:w="984" w:type="pct"/>
            <w:vMerge/>
            <w:tcBorders>
              <w:top w:val="single" w:sz="6" w:space="0" w:color="215868"/>
              <w:left w:val="single" w:sz="6" w:space="0" w:color="215868"/>
              <w:bottom w:val="single" w:sz="6" w:space="0" w:color="215868"/>
              <w:right w:val="single" w:sz="6" w:space="0" w:color="215868"/>
            </w:tcBorders>
            <w:shd w:val="clear" w:color="auto" w:fill="FFFFFF"/>
          </w:tcPr>
          <w:p w:rsidR="00052899" w:rsidRDefault="00052899" w:rsidP="00052899">
            <w:pPr>
              <w:rPr>
                <w:rFonts w:eastAsia="Arial Unicode MS" w:cs="Arial"/>
                <w:color w:val="000000"/>
                <w:szCs w:val="22"/>
              </w:rPr>
            </w:pPr>
          </w:p>
        </w:tc>
        <w:tc>
          <w:tcPr>
            <w:tcW w:w="76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129" w:name="_Toc377026044"/>
            <w:bookmarkStart w:id="130" w:name="_Toc377543638"/>
            <w:bookmarkStart w:id="131" w:name="_Toc377545231"/>
            <w:r w:rsidRPr="009E3797">
              <w:rPr>
                <w:rFonts w:eastAsia="Arial Unicode MS" w:cs="Arial"/>
                <w:color w:val="000000"/>
                <w:szCs w:val="22"/>
                <w:u w:color="000000"/>
              </w:rPr>
              <w:t>Other*</w:t>
            </w:r>
            <w:bookmarkEnd w:id="129"/>
            <w:bookmarkEnd w:id="130"/>
            <w:bookmarkEnd w:id="131"/>
          </w:p>
          <w:p w:rsidR="00052899" w:rsidRDefault="00052899" w:rsidP="00052899">
            <w:pPr>
              <w:jc w:val="center"/>
              <w:outlineLvl w:val="0"/>
              <w:rPr>
                <w:rFonts w:eastAsia="Arial Unicode MS" w:cs="Arial"/>
                <w:color w:val="000000"/>
                <w:szCs w:val="22"/>
                <w:u w:color="000000"/>
              </w:rPr>
            </w:pPr>
            <w:bookmarkStart w:id="132" w:name="_Toc377026045"/>
            <w:bookmarkStart w:id="133" w:name="_Toc377543639"/>
            <w:bookmarkStart w:id="134" w:name="_Toc377545232"/>
            <w:r w:rsidRPr="009E3797">
              <w:rPr>
                <w:rFonts w:eastAsia="Arial Unicode MS" w:cs="Arial"/>
                <w:color w:val="000000"/>
                <w:szCs w:val="22"/>
                <w:u w:color="000000"/>
              </w:rPr>
              <w:t>(MICS-Ghana)</w:t>
            </w:r>
            <w:r>
              <w:rPr>
                <w:rStyle w:val="FootnoteReference"/>
                <w:rFonts w:eastAsia="Arial Unicode MS" w:cs="Arial"/>
                <w:color w:val="000000"/>
                <w:szCs w:val="22"/>
                <w:u w:color="000000"/>
              </w:rPr>
              <w:footnoteReference w:id="4"/>
            </w:r>
            <w:bookmarkEnd w:id="132"/>
            <w:bookmarkEnd w:id="133"/>
            <w:bookmarkEnd w:id="134"/>
          </w:p>
        </w:tc>
        <w:tc>
          <w:tcPr>
            <w:tcW w:w="83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35" w:name="_Toc377026046"/>
            <w:bookmarkStart w:id="136" w:name="_Toc377543640"/>
            <w:bookmarkStart w:id="137" w:name="_Toc377545233"/>
            <w:r w:rsidRPr="009E3797">
              <w:rPr>
                <w:rFonts w:eastAsia="Arial Unicode MS" w:cs="Arial"/>
                <w:color w:val="000000"/>
                <w:szCs w:val="22"/>
                <w:u w:color="000000"/>
              </w:rPr>
              <w:t>92.1%</w:t>
            </w:r>
            <w:bookmarkEnd w:id="135"/>
            <w:bookmarkEnd w:id="136"/>
            <w:bookmarkEnd w:id="137"/>
          </w:p>
        </w:tc>
        <w:tc>
          <w:tcPr>
            <w:tcW w:w="64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38" w:name="_Toc377026047"/>
            <w:bookmarkStart w:id="139" w:name="_Toc377543641"/>
            <w:bookmarkStart w:id="140" w:name="_Toc377545234"/>
            <w:r w:rsidRPr="009E3797">
              <w:rPr>
                <w:rFonts w:eastAsia="Arial Unicode MS" w:cs="Arial"/>
                <w:color w:val="000000"/>
                <w:szCs w:val="22"/>
                <w:u w:color="000000"/>
              </w:rPr>
              <w:t>1.4%</w:t>
            </w:r>
            <w:bookmarkEnd w:id="138"/>
            <w:bookmarkEnd w:id="139"/>
            <w:bookmarkEnd w:id="140"/>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41" w:name="_Toc377026048"/>
            <w:bookmarkStart w:id="142" w:name="_Toc377543642"/>
            <w:bookmarkStart w:id="143" w:name="_Toc377545235"/>
            <w:r w:rsidRPr="009E3797">
              <w:rPr>
                <w:rFonts w:eastAsia="Arial Unicode MS" w:cs="Arial"/>
                <w:color w:val="000000"/>
                <w:szCs w:val="22"/>
                <w:u w:color="000000"/>
              </w:rPr>
              <w:t>92.7%</w:t>
            </w:r>
            <w:bookmarkEnd w:id="141"/>
            <w:bookmarkEnd w:id="142"/>
            <w:bookmarkEnd w:id="143"/>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44" w:name="_Toc377026049"/>
            <w:bookmarkStart w:id="145" w:name="_Toc377543643"/>
            <w:bookmarkStart w:id="146" w:name="_Toc377545236"/>
            <w:r w:rsidRPr="009E3797">
              <w:rPr>
                <w:rFonts w:eastAsia="Arial Unicode MS" w:cs="Arial"/>
                <w:color w:val="000000"/>
                <w:szCs w:val="22"/>
                <w:u w:color="000000"/>
              </w:rPr>
              <w:t>93.0%</w:t>
            </w:r>
            <w:bookmarkEnd w:id="144"/>
            <w:bookmarkEnd w:id="145"/>
            <w:bookmarkEnd w:id="146"/>
          </w:p>
        </w:tc>
        <w:tc>
          <w:tcPr>
            <w:tcW w:w="346"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47" w:name="_Toc377026050"/>
            <w:bookmarkStart w:id="148" w:name="_Toc377543644"/>
            <w:bookmarkStart w:id="149" w:name="_Toc377545237"/>
            <w:r w:rsidRPr="009E3797">
              <w:rPr>
                <w:rFonts w:eastAsia="Arial Unicode MS" w:cs="Arial"/>
                <w:color w:val="000000"/>
                <w:szCs w:val="22"/>
                <w:u w:color="000000"/>
              </w:rPr>
              <w:t>92.1%</w:t>
            </w:r>
            <w:bookmarkEnd w:id="147"/>
            <w:bookmarkEnd w:id="148"/>
            <w:bookmarkEnd w:id="149"/>
          </w:p>
        </w:tc>
        <w:tc>
          <w:tcPr>
            <w:tcW w:w="74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50" w:name="_Toc377026051"/>
            <w:bookmarkStart w:id="151" w:name="_Toc377543645"/>
            <w:bookmarkStart w:id="152" w:name="_Toc377545238"/>
            <w:r w:rsidRPr="009E3797">
              <w:rPr>
                <w:rFonts w:eastAsia="Arial Unicode MS" w:cs="Arial"/>
                <w:color w:val="000000"/>
                <w:szCs w:val="22"/>
                <w:u w:color="000000"/>
              </w:rPr>
              <w:t>2011</w:t>
            </w:r>
            <w:bookmarkEnd w:id="150"/>
            <w:bookmarkEnd w:id="151"/>
            <w:bookmarkEnd w:id="152"/>
          </w:p>
        </w:tc>
      </w:tr>
      <w:tr w:rsidR="00052899" w:rsidRPr="001A404E" w:rsidTr="002B2F73">
        <w:trPr>
          <w:cantSplit/>
          <w:trHeight w:val="345"/>
        </w:trPr>
        <w:tc>
          <w:tcPr>
            <w:tcW w:w="984"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outlineLvl w:val="0"/>
              <w:rPr>
                <w:rFonts w:eastAsia="Arial Unicode MS" w:cs="Arial"/>
                <w:color w:val="000000"/>
                <w:szCs w:val="22"/>
                <w:u w:color="000000"/>
              </w:rPr>
            </w:pPr>
            <w:bookmarkStart w:id="153" w:name="_Toc377026052"/>
            <w:bookmarkStart w:id="154" w:name="_Toc377543646"/>
            <w:bookmarkStart w:id="155" w:name="_Toc377545239"/>
            <w:r w:rsidRPr="009E3797">
              <w:rPr>
                <w:rFonts w:eastAsia="Arial Unicode MS" w:cs="Arial"/>
                <w:color w:val="000000"/>
                <w:szCs w:val="22"/>
                <w:u w:color="000000"/>
              </w:rPr>
              <w:t>Measles  1</w:t>
            </w:r>
            <w:r w:rsidRPr="009E3797">
              <w:rPr>
                <w:rFonts w:eastAsia="Arial Unicode MS" w:cs="Arial"/>
                <w:color w:val="000000"/>
                <w:szCs w:val="22"/>
                <w:u w:color="000000"/>
                <w:vertAlign w:val="superscript"/>
              </w:rPr>
              <w:t>st</w:t>
            </w:r>
            <w:r w:rsidRPr="009E3797">
              <w:rPr>
                <w:rFonts w:eastAsia="Arial Unicode MS" w:cs="Arial"/>
                <w:color w:val="000000"/>
                <w:szCs w:val="22"/>
                <w:u w:color="000000"/>
              </w:rPr>
              <w:t xml:space="preserve"> dose coverage</w:t>
            </w:r>
            <w:bookmarkEnd w:id="153"/>
            <w:bookmarkEnd w:id="154"/>
            <w:bookmarkEnd w:id="155"/>
          </w:p>
        </w:tc>
        <w:tc>
          <w:tcPr>
            <w:tcW w:w="76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156" w:name="_Toc377026053"/>
            <w:bookmarkStart w:id="157" w:name="_Toc377543647"/>
            <w:bookmarkStart w:id="158" w:name="_Toc377545240"/>
            <w:r w:rsidRPr="009E3797">
              <w:rPr>
                <w:rFonts w:eastAsia="Arial Unicode MS" w:cs="Arial"/>
                <w:color w:val="000000"/>
                <w:szCs w:val="22"/>
                <w:u w:color="000000"/>
              </w:rPr>
              <w:t>Administrative Data</w:t>
            </w:r>
            <w:bookmarkEnd w:id="156"/>
            <w:bookmarkEnd w:id="157"/>
            <w:bookmarkEnd w:id="158"/>
          </w:p>
        </w:tc>
        <w:tc>
          <w:tcPr>
            <w:tcW w:w="83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59" w:name="_Toc377026054"/>
            <w:bookmarkStart w:id="160" w:name="_Toc377543648"/>
            <w:bookmarkStart w:id="161" w:name="_Toc377545241"/>
            <w:r w:rsidRPr="009E3797">
              <w:rPr>
                <w:rFonts w:eastAsia="Arial Unicode MS" w:cs="Arial"/>
                <w:color w:val="000000"/>
                <w:szCs w:val="22"/>
                <w:u w:color="000000"/>
              </w:rPr>
              <w:t>93.3%</w:t>
            </w:r>
            <w:bookmarkEnd w:id="159"/>
            <w:bookmarkEnd w:id="160"/>
            <w:bookmarkEnd w:id="161"/>
          </w:p>
        </w:tc>
        <w:tc>
          <w:tcPr>
            <w:tcW w:w="64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62" w:name="_Toc377026055"/>
            <w:bookmarkStart w:id="163" w:name="_Toc377543649"/>
            <w:bookmarkStart w:id="164" w:name="_Toc377545242"/>
            <w:r w:rsidRPr="009E3797">
              <w:rPr>
                <w:rFonts w:eastAsia="Arial Unicode MS" w:cs="Arial"/>
                <w:color w:val="000000"/>
                <w:szCs w:val="22"/>
                <w:u w:color="000000"/>
              </w:rPr>
              <w:t>NA</w:t>
            </w:r>
            <w:bookmarkEnd w:id="162"/>
            <w:bookmarkEnd w:id="163"/>
            <w:bookmarkEnd w:id="164"/>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65" w:name="_Toc377026056"/>
            <w:bookmarkStart w:id="166" w:name="_Toc377543650"/>
            <w:bookmarkStart w:id="167" w:name="_Toc377545243"/>
            <w:r w:rsidRPr="009E3797">
              <w:rPr>
                <w:rFonts w:eastAsia="Arial Unicode MS" w:cs="Arial"/>
                <w:color w:val="000000"/>
                <w:szCs w:val="22"/>
                <w:u w:color="000000"/>
              </w:rPr>
              <w:t>NA</w:t>
            </w:r>
            <w:bookmarkEnd w:id="165"/>
            <w:bookmarkEnd w:id="166"/>
            <w:bookmarkEnd w:id="167"/>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68" w:name="_Toc377026057"/>
            <w:bookmarkStart w:id="169" w:name="_Toc377543651"/>
            <w:bookmarkStart w:id="170" w:name="_Toc377545244"/>
            <w:r w:rsidRPr="009E3797">
              <w:rPr>
                <w:rFonts w:eastAsia="Arial Unicode MS" w:cs="Arial"/>
                <w:color w:val="000000"/>
                <w:szCs w:val="22"/>
                <w:u w:color="000000"/>
              </w:rPr>
              <w:t>NA</w:t>
            </w:r>
            <w:bookmarkEnd w:id="168"/>
            <w:bookmarkEnd w:id="169"/>
            <w:bookmarkEnd w:id="170"/>
          </w:p>
        </w:tc>
        <w:tc>
          <w:tcPr>
            <w:tcW w:w="346"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71" w:name="_Toc377026058"/>
            <w:bookmarkStart w:id="172" w:name="_Toc377543652"/>
            <w:bookmarkStart w:id="173" w:name="_Toc377545245"/>
            <w:r w:rsidRPr="009E3797">
              <w:rPr>
                <w:rFonts w:eastAsia="Arial Unicode MS" w:cs="Arial"/>
                <w:color w:val="000000"/>
                <w:szCs w:val="22"/>
                <w:u w:color="000000"/>
              </w:rPr>
              <w:t>NA</w:t>
            </w:r>
            <w:bookmarkEnd w:id="171"/>
            <w:bookmarkEnd w:id="172"/>
            <w:bookmarkEnd w:id="173"/>
          </w:p>
        </w:tc>
        <w:tc>
          <w:tcPr>
            <w:tcW w:w="74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74" w:name="_Toc377026059"/>
            <w:bookmarkStart w:id="175" w:name="_Toc377543653"/>
            <w:bookmarkStart w:id="176" w:name="_Toc377545246"/>
            <w:r w:rsidRPr="009E3797">
              <w:rPr>
                <w:rFonts w:eastAsia="Arial Unicode MS" w:cs="Arial"/>
                <w:color w:val="000000"/>
                <w:szCs w:val="22"/>
                <w:u w:color="000000"/>
              </w:rPr>
              <w:t>2012</w:t>
            </w:r>
            <w:bookmarkEnd w:id="174"/>
            <w:bookmarkEnd w:id="175"/>
            <w:bookmarkEnd w:id="176"/>
          </w:p>
        </w:tc>
      </w:tr>
      <w:tr w:rsidR="00052899" w:rsidRPr="001A404E" w:rsidTr="002B2F73">
        <w:trPr>
          <w:cantSplit/>
          <w:trHeight w:val="345"/>
        </w:trPr>
        <w:tc>
          <w:tcPr>
            <w:tcW w:w="984" w:type="pct"/>
            <w:vMerge/>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outlineLvl w:val="0"/>
              <w:rPr>
                <w:rFonts w:eastAsia="Arial Unicode MS" w:cs="Arial"/>
                <w:color w:val="000000"/>
                <w:szCs w:val="22"/>
                <w:u w:color="000000"/>
              </w:rPr>
            </w:pPr>
          </w:p>
        </w:tc>
        <w:tc>
          <w:tcPr>
            <w:tcW w:w="76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177" w:name="_Toc377026060"/>
            <w:bookmarkStart w:id="178" w:name="_Toc377543654"/>
            <w:bookmarkStart w:id="179" w:name="_Toc377545247"/>
            <w:r w:rsidRPr="009E3797">
              <w:rPr>
                <w:rFonts w:eastAsia="Arial Unicode MS" w:cs="Arial"/>
                <w:color w:val="000000"/>
                <w:szCs w:val="22"/>
                <w:u w:color="000000"/>
              </w:rPr>
              <w:t>UNICEF/WHO Estimate</w:t>
            </w:r>
            <w:bookmarkEnd w:id="177"/>
            <w:bookmarkEnd w:id="178"/>
            <w:bookmarkEnd w:id="179"/>
          </w:p>
        </w:tc>
        <w:tc>
          <w:tcPr>
            <w:tcW w:w="83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80" w:name="_Toc377026061"/>
            <w:bookmarkStart w:id="181" w:name="_Toc377543655"/>
            <w:bookmarkStart w:id="182" w:name="_Toc377545248"/>
            <w:r w:rsidRPr="009E3797">
              <w:rPr>
                <w:rFonts w:eastAsia="Arial Unicode MS" w:cs="Arial"/>
                <w:color w:val="000000"/>
                <w:szCs w:val="22"/>
                <w:u w:color="000000"/>
              </w:rPr>
              <w:t>88%</w:t>
            </w:r>
            <w:bookmarkEnd w:id="180"/>
            <w:bookmarkEnd w:id="181"/>
            <w:bookmarkEnd w:id="182"/>
          </w:p>
        </w:tc>
        <w:tc>
          <w:tcPr>
            <w:tcW w:w="64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346"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74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83" w:name="_Toc377026062"/>
            <w:bookmarkStart w:id="184" w:name="_Toc377543656"/>
            <w:bookmarkStart w:id="185" w:name="_Toc377545249"/>
            <w:r w:rsidRPr="009E3797">
              <w:rPr>
                <w:rFonts w:eastAsia="Arial Unicode MS" w:cs="Arial"/>
                <w:color w:val="000000"/>
                <w:szCs w:val="22"/>
                <w:u w:color="000000"/>
              </w:rPr>
              <w:t>2012</w:t>
            </w:r>
            <w:bookmarkEnd w:id="183"/>
            <w:bookmarkEnd w:id="184"/>
            <w:bookmarkEnd w:id="185"/>
          </w:p>
        </w:tc>
      </w:tr>
      <w:tr w:rsidR="00052899" w:rsidRPr="001A404E" w:rsidTr="002B2F73">
        <w:trPr>
          <w:cantSplit/>
          <w:trHeight w:val="345"/>
        </w:trPr>
        <w:tc>
          <w:tcPr>
            <w:tcW w:w="984" w:type="pct"/>
            <w:vMerge/>
            <w:tcBorders>
              <w:top w:val="single" w:sz="6" w:space="0" w:color="215868"/>
              <w:left w:val="single" w:sz="6" w:space="0" w:color="215868"/>
              <w:bottom w:val="single" w:sz="6" w:space="0" w:color="215868"/>
              <w:right w:val="single" w:sz="6" w:space="0" w:color="215868"/>
            </w:tcBorders>
            <w:shd w:val="clear" w:color="auto" w:fill="FFFFFF"/>
          </w:tcPr>
          <w:p w:rsidR="00052899" w:rsidRDefault="00052899" w:rsidP="00052899">
            <w:pPr>
              <w:rPr>
                <w:rFonts w:eastAsia="Arial Unicode MS" w:cs="Arial"/>
                <w:color w:val="000000"/>
                <w:szCs w:val="22"/>
              </w:rPr>
            </w:pPr>
          </w:p>
        </w:tc>
        <w:tc>
          <w:tcPr>
            <w:tcW w:w="76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186" w:name="_Toc377026063"/>
            <w:bookmarkStart w:id="187" w:name="_Toc377543657"/>
            <w:bookmarkStart w:id="188" w:name="_Toc377545250"/>
            <w:r w:rsidRPr="009E3797">
              <w:rPr>
                <w:rFonts w:eastAsia="Arial Unicode MS" w:cs="Arial"/>
                <w:color w:val="000000"/>
                <w:szCs w:val="22"/>
                <w:u w:color="000000"/>
              </w:rPr>
              <w:t>Other*</w:t>
            </w:r>
            <w:bookmarkEnd w:id="186"/>
            <w:bookmarkEnd w:id="187"/>
            <w:bookmarkEnd w:id="188"/>
          </w:p>
          <w:p w:rsidR="00052899" w:rsidRDefault="00052899" w:rsidP="00052899">
            <w:pPr>
              <w:jc w:val="center"/>
              <w:outlineLvl w:val="0"/>
              <w:rPr>
                <w:rFonts w:eastAsia="Arial Unicode MS" w:cs="Arial"/>
                <w:color w:val="000000"/>
                <w:szCs w:val="22"/>
                <w:u w:color="000000"/>
              </w:rPr>
            </w:pPr>
            <w:bookmarkStart w:id="189" w:name="_Toc377026064"/>
            <w:bookmarkStart w:id="190" w:name="_Toc377543658"/>
            <w:bookmarkStart w:id="191" w:name="_Toc377545251"/>
            <w:r w:rsidRPr="009E3797">
              <w:rPr>
                <w:rFonts w:eastAsia="Arial Unicode MS" w:cs="Arial"/>
                <w:color w:val="000000"/>
                <w:szCs w:val="22"/>
                <w:u w:color="000000"/>
              </w:rPr>
              <w:t>(MICS-Ghana)</w:t>
            </w:r>
            <w:bookmarkEnd w:id="189"/>
            <w:bookmarkEnd w:id="190"/>
            <w:bookmarkEnd w:id="191"/>
          </w:p>
        </w:tc>
        <w:tc>
          <w:tcPr>
            <w:tcW w:w="83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92" w:name="_Toc377026065"/>
            <w:bookmarkStart w:id="193" w:name="_Toc377543659"/>
            <w:bookmarkStart w:id="194" w:name="_Toc377545252"/>
            <w:r w:rsidRPr="009E3797">
              <w:rPr>
                <w:rFonts w:eastAsia="Arial Unicode MS" w:cs="Arial"/>
                <w:color w:val="000000"/>
                <w:szCs w:val="22"/>
                <w:u w:color="000000"/>
              </w:rPr>
              <w:t>88.5%</w:t>
            </w:r>
            <w:bookmarkEnd w:id="192"/>
            <w:bookmarkEnd w:id="193"/>
            <w:bookmarkEnd w:id="194"/>
          </w:p>
        </w:tc>
        <w:tc>
          <w:tcPr>
            <w:tcW w:w="64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95" w:name="_Toc377026066"/>
            <w:bookmarkStart w:id="196" w:name="_Toc377543660"/>
            <w:bookmarkStart w:id="197" w:name="_Toc377545253"/>
            <w:r w:rsidRPr="009E3797">
              <w:rPr>
                <w:rFonts w:eastAsia="Arial Unicode MS" w:cs="Arial"/>
                <w:color w:val="000000"/>
                <w:szCs w:val="22"/>
                <w:u w:color="000000"/>
              </w:rPr>
              <w:t>7.4%</w:t>
            </w:r>
            <w:bookmarkEnd w:id="195"/>
            <w:bookmarkEnd w:id="196"/>
            <w:bookmarkEnd w:id="197"/>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198" w:name="_Toc377026067"/>
            <w:bookmarkStart w:id="199" w:name="_Toc377543661"/>
            <w:bookmarkStart w:id="200" w:name="_Toc377545254"/>
            <w:r w:rsidRPr="009E3797">
              <w:rPr>
                <w:rFonts w:eastAsia="Arial Unicode MS" w:cs="Arial"/>
                <w:color w:val="000000"/>
                <w:szCs w:val="22"/>
                <w:u w:color="000000"/>
              </w:rPr>
              <w:t>93.3%</w:t>
            </w:r>
            <w:bookmarkEnd w:id="198"/>
            <w:bookmarkEnd w:id="199"/>
            <w:bookmarkEnd w:id="200"/>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01" w:name="_Toc377026068"/>
            <w:bookmarkStart w:id="202" w:name="_Toc377543662"/>
            <w:bookmarkStart w:id="203" w:name="_Toc377545255"/>
            <w:r w:rsidRPr="009E3797">
              <w:rPr>
                <w:rFonts w:eastAsia="Arial Unicode MS" w:cs="Arial"/>
                <w:color w:val="000000"/>
                <w:szCs w:val="22"/>
                <w:u w:color="000000"/>
              </w:rPr>
              <w:t>94.1%</w:t>
            </w:r>
            <w:bookmarkEnd w:id="201"/>
            <w:bookmarkEnd w:id="202"/>
            <w:bookmarkEnd w:id="203"/>
          </w:p>
        </w:tc>
        <w:tc>
          <w:tcPr>
            <w:tcW w:w="346"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04" w:name="_Toc377026069"/>
            <w:bookmarkStart w:id="205" w:name="_Toc377543663"/>
            <w:bookmarkStart w:id="206" w:name="_Toc377545256"/>
            <w:r w:rsidRPr="009E3797">
              <w:rPr>
                <w:rFonts w:eastAsia="Arial Unicode MS" w:cs="Arial"/>
                <w:color w:val="000000"/>
                <w:szCs w:val="22"/>
                <w:u w:color="000000"/>
              </w:rPr>
              <w:t>88.5%</w:t>
            </w:r>
            <w:bookmarkEnd w:id="204"/>
            <w:bookmarkEnd w:id="205"/>
            <w:bookmarkEnd w:id="206"/>
          </w:p>
        </w:tc>
        <w:tc>
          <w:tcPr>
            <w:tcW w:w="74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07" w:name="_Toc377026070"/>
            <w:bookmarkStart w:id="208" w:name="_Toc377543664"/>
            <w:bookmarkStart w:id="209" w:name="_Toc377545257"/>
            <w:r w:rsidRPr="009E3797">
              <w:rPr>
                <w:rFonts w:eastAsia="Arial Unicode MS" w:cs="Arial"/>
                <w:color w:val="000000"/>
                <w:szCs w:val="22"/>
                <w:u w:color="000000"/>
              </w:rPr>
              <w:t>2011</w:t>
            </w:r>
            <w:bookmarkEnd w:id="207"/>
            <w:bookmarkEnd w:id="208"/>
            <w:bookmarkEnd w:id="209"/>
          </w:p>
        </w:tc>
      </w:tr>
      <w:tr w:rsidR="00052899" w:rsidRPr="001A404E" w:rsidTr="002B2F73">
        <w:trPr>
          <w:cantSplit/>
          <w:trHeight w:val="345"/>
        </w:trPr>
        <w:tc>
          <w:tcPr>
            <w:tcW w:w="984"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outlineLvl w:val="0"/>
              <w:rPr>
                <w:rFonts w:eastAsia="Arial Unicode MS" w:cs="Arial"/>
                <w:color w:val="000000"/>
                <w:szCs w:val="22"/>
                <w:u w:color="000000"/>
              </w:rPr>
            </w:pPr>
            <w:bookmarkStart w:id="210" w:name="_Toc377026071"/>
            <w:bookmarkStart w:id="211" w:name="_Toc377543665"/>
            <w:bookmarkStart w:id="212" w:name="_Toc377545258"/>
            <w:r w:rsidRPr="009E3797">
              <w:rPr>
                <w:rFonts w:eastAsia="Arial Unicode MS" w:cs="Arial"/>
                <w:color w:val="000000"/>
                <w:szCs w:val="22"/>
                <w:u w:color="000000"/>
              </w:rPr>
              <w:t>Drop-out rate between PENTA1 &amp; PENTA3</w:t>
            </w:r>
            <w:bookmarkEnd w:id="210"/>
            <w:bookmarkEnd w:id="211"/>
            <w:bookmarkEnd w:id="212"/>
          </w:p>
        </w:tc>
        <w:tc>
          <w:tcPr>
            <w:tcW w:w="76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213" w:name="_Toc377026072"/>
            <w:bookmarkStart w:id="214" w:name="_Toc377543666"/>
            <w:bookmarkStart w:id="215" w:name="_Toc377545259"/>
            <w:r w:rsidRPr="009E3797">
              <w:rPr>
                <w:rFonts w:eastAsia="Arial Unicode MS" w:cs="Arial"/>
                <w:color w:val="000000"/>
                <w:szCs w:val="22"/>
                <w:u w:color="000000"/>
              </w:rPr>
              <w:t>Administrative Data</w:t>
            </w:r>
            <w:bookmarkEnd w:id="213"/>
            <w:bookmarkEnd w:id="214"/>
            <w:bookmarkEnd w:id="215"/>
          </w:p>
        </w:tc>
        <w:tc>
          <w:tcPr>
            <w:tcW w:w="83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16" w:name="_Toc377026073"/>
            <w:bookmarkStart w:id="217" w:name="_Toc377543667"/>
            <w:bookmarkStart w:id="218" w:name="_Toc377545260"/>
            <w:r w:rsidRPr="009E3797">
              <w:rPr>
                <w:rFonts w:eastAsia="Arial Unicode MS" w:cs="Arial"/>
                <w:color w:val="000000"/>
                <w:szCs w:val="22"/>
                <w:u w:color="000000"/>
              </w:rPr>
              <w:t>4.6%</w:t>
            </w:r>
            <w:bookmarkEnd w:id="216"/>
            <w:bookmarkEnd w:id="217"/>
            <w:bookmarkEnd w:id="218"/>
          </w:p>
        </w:tc>
        <w:tc>
          <w:tcPr>
            <w:tcW w:w="64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19" w:name="_Toc377026074"/>
            <w:bookmarkStart w:id="220" w:name="_Toc377543668"/>
            <w:bookmarkStart w:id="221" w:name="_Toc377545261"/>
            <w:r w:rsidRPr="009E3797">
              <w:rPr>
                <w:rFonts w:eastAsia="Arial Unicode MS" w:cs="Arial"/>
                <w:color w:val="000000"/>
                <w:szCs w:val="22"/>
                <w:u w:color="000000"/>
              </w:rPr>
              <w:t>NA</w:t>
            </w:r>
            <w:bookmarkEnd w:id="219"/>
            <w:bookmarkEnd w:id="220"/>
            <w:bookmarkEnd w:id="221"/>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22" w:name="_Toc377026075"/>
            <w:bookmarkStart w:id="223" w:name="_Toc377543669"/>
            <w:bookmarkStart w:id="224" w:name="_Toc377545262"/>
            <w:r w:rsidRPr="009E3797">
              <w:rPr>
                <w:rFonts w:eastAsia="Arial Unicode MS" w:cs="Arial"/>
                <w:color w:val="000000"/>
                <w:szCs w:val="22"/>
                <w:u w:color="000000"/>
              </w:rPr>
              <w:t>NA</w:t>
            </w:r>
            <w:bookmarkEnd w:id="222"/>
            <w:bookmarkEnd w:id="223"/>
            <w:bookmarkEnd w:id="224"/>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25" w:name="_Toc377026076"/>
            <w:bookmarkStart w:id="226" w:name="_Toc377543670"/>
            <w:bookmarkStart w:id="227" w:name="_Toc377545263"/>
            <w:r w:rsidRPr="009E3797">
              <w:rPr>
                <w:rFonts w:eastAsia="Arial Unicode MS" w:cs="Arial"/>
                <w:color w:val="000000"/>
                <w:szCs w:val="22"/>
                <w:u w:color="000000"/>
              </w:rPr>
              <w:t>NA</w:t>
            </w:r>
            <w:bookmarkEnd w:id="225"/>
            <w:bookmarkEnd w:id="226"/>
            <w:bookmarkEnd w:id="227"/>
          </w:p>
        </w:tc>
        <w:tc>
          <w:tcPr>
            <w:tcW w:w="346"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28" w:name="_Toc377026077"/>
            <w:bookmarkStart w:id="229" w:name="_Toc377543671"/>
            <w:bookmarkStart w:id="230" w:name="_Toc377545264"/>
            <w:r w:rsidRPr="009E3797">
              <w:rPr>
                <w:rFonts w:eastAsia="Arial Unicode MS" w:cs="Arial"/>
                <w:color w:val="000000"/>
                <w:szCs w:val="22"/>
                <w:u w:color="000000"/>
              </w:rPr>
              <w:t>NA</w:t>
            </w:r>
            <w:bookmarkEnd w:id="228"/>
            <w:bookmarkEnd w:id="229"/>
            <w:bookmarkEnd w:id="230"/>
          </w:p>
        </w:tc>
        <w:tc>
          <w:tcPr>
            <w:tcW w:w="74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31" w:name="_Toc377026078"/>
            <w:bookmarkStart w:id="232" w:name="_Toc377543672"/>
            <w:bookmarkStart w:id="233" w:name="_Toc377545265"/>
            <w:r w:rsidRPr="009E3797">
              <w:rPr>
                <w:rFonts w:eastAsia="Arial Unicode MS" w:cs="Arial"/>
                <w:color w:val="000000"/>
                <w:szCs w:val="22"/>
                <w:u w:color="000000"/>
              </w:rPr>
              <w:t>2012</w:t>
            </w:r>
            <w:bookmarkEnd w:id="231"/>
            <w:bookmarkEnd w:id="232"/>
            <w:bookmarkEnd w:id="233"/>
          </w:p>
        </w:tc>
      </w:tr>
      <w:tr w:rsidR="00052899" w:rsidRPr="001A404E" w:rsidTr="002B2F73">
        <w:trPr>
          <w:cantSplit/>
          <w:trHeight w:val="345"/>
        </w:trPr>
        <w:tc>
          <w:tcPr>
            <w:tcW w:w="984" w:type="pct"/>
            <w:vMerge/>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outlineLvl w:val="0"/>
              <w:rPr>
                <w:rFonts w:eastAsia="Arial Unicode MS" w:cs="Arial"/>
                <w:color w:val="000000"/>
                <w:szCs w:val="22"/>
                <w:u w:color="000000"/>
              </w:rPr>
            </w:pPr>
          </w:p>
        </w:tc>
        <w:tc>
          <w:tcPr>
            <w:tcW w:w="76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234" w:name="_Toc377026079"/>
            <w:bookmarkStart w:id="235" w:name="_Toc377543673"/>
            <w:bookmarkStart w:id="236" w:name="_Toc377545266"/>
            <w:r w:rsidRPr="009E3797">
              <w:rPr>
                <w:rFonts w:eastAsia="Arial Unicode MS" w:cs="Arial"/>
                <w:color w:val="000000"/>
                <w:szCs w:val="22"/>
                <w:u w:color="000000"/>
              </w:rPr>
              <w:t>UNICEF/WHO Estimate</w:t>
            </w:r>
            <w:bookmarkEnd w:id="234"/>
            <w:bookmarkEnd w:id="235"/>
            <w:bookmarkEnd w:id="236"/>
          </w:p>
        </w:tc>
        <w:tc>
          <w:tcPr>
            <w:tcW w:w="83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64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346"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74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r>
      <w:tr w:rsidR="00052899" w:rsidRPr="001A404E" w:rsidTr="002B2F73">
        <w:trPr>
          <w:cantSplit/>
          <w:trHeight w:val="345"/>
        </w:trPr>
        <w:tc>
          <w:tcPr>
            <w:tcW w:w="984" w:type="pct"/>
            <w:vMerge/>
            <w:tcBorders>
              <w:top w:val="single" w:sz="6" w:space="0" w:color="215868"/>
              <w:left w:val="single" w:sz="6" w:space="0" w:color="215868"/>
              <w:bottom w:val="single" w:sz="6" w:space="0" w:color="215868"/>
              <w:right w:val="single" w:sz="6" w:space="0" w:color="215868"/>
            </w:tcBorders>
            <w:shd w:val="clear" w:color="auto" w:fill="FFFFFF"/>
          </w:tcPr>
          <w:p w:rsidR="00052899" w:rsidRDefault="00052899" w:rsidP="00052899">
            <w:pPr>
              <w:rPr>
                <w:rFonts w:eastAsia="Arial Unicode MS" w:cs="Arial"/>
                <w:color w:val="000000"/>
                <w:szCs w:val="22"/>
                <w:u w:color="000000"/>
              </w:rPr>
            </w:pPr>
          </w:p>
        </w:tc>
        <w:tc>
          <w:tcPr>
            <w:tcW w:w="76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237" w:name="_Toc377026080"/>
            <w:bookmarkStart w:id="238" w:name="_Toc377543674"/>
            <w:bookmarkStart w:id="239" w:name="_Toc377545267"/>
            <w:r w:rsidRPr="009E3797">
              <w:rPr>
                <w:rFonts w:eastAsia="Arial Unicode MS" w:cs="Arial"/>
                <w:color w:val="000000"/>
                <w:szCs w:val="22"/>
                <w:u w:color="000000"/>
              </w:rPr>
              <w:t>Other*</w:t>
            </w:r>
            <w:bookmarkEnd w:id="237"/>
            <w:bookmarkEnd w:id="238"/>
            <w:bookmarkEnd w:id="239"/>
          </w:p>
          <w:p w:rsidR="00052899" w:rsidRDefault="00052899" w:rsidP="00052899">
            <w:pPr>
              <w:jc w:val="center"/>
              <w:outlineLvl w:val="0"/>
              <w:rPr>
                <w:rFonts w:eastAsia="Arial Unicode MS" w:cs="Arial"/>
                <w:color w:val="000000"/>
                <w:szCs w:val="22"/>
                <w:u w:color="000000"/>
              </w:rPr>
            </w:pPr>
            <w:bookmarkStart w:id="240" w:name="_Toc377026081"/>
            <w:bookmarkStart w:id="241" w:name="_Toc377543675"/>
            <w:bookmarkStart w:id="242" w:name="_Toc377545268"/>
            <w:r w:rsidRPr="009E3797">
              <w:rPr>
                <w:rFonts w:eastAsia="Arial Unicode MS" w:cs="Arial"/>
                <w:color w:val="000000"/>
                <w:szCs w:val="22"/>
                <w:u w:color="000000"/>
              </w:rPr>
              <w:t>(MICS-Ghana)</w:t>
            </w:r>
            <w:bookmarkEnd w:id="240"/>
            <w:bookmarkEnd w:id="241"/>
            <w:bookmarkEnd w:id="242"/>
          </w:p>
        </w:tc>
        <w:tc>
          <w:tcPr>
            <w:tcW w:w="83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43" w:name="_Toc377026082"/>
            <w:bookmarkStart w:id="244" w:name="_Toc377543676"/>
            <w:bookmarkStart w:id="245" w:name="_Toc377545269"/>
            <w:r w:rsidRPr="009E3797">
              <w:rPr>
                <w:rFonts w:eastAsia="Arial Unicode MS" w:cs="Arial"/>
                <w:color w:val="000000"/>
                <w:szCs w:val="22"/>
                <w:u w:color="000000"/>
              </w:rPr>
              <w:t>5.7%</w:t>
            </w:r>
            <w:bookmarkEnd w:id="243"/>
            <w:bookmarkEnd w:id="244"/>
            <w:bookmarkEnd w:id="245"/>
          </w:p>
        </w:tc>
        <w:tc>
          <w:tcPr>
            <w:tcW w:w="64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46" w:name="_Toc377026083"/>
            <w:bookmarkStart w:id="247" w:name="_Toc377543677"/>
            <w:bookmarkStart w:id="248" w:name="_Toc377545270"/>
            <w:r w:rsidRPr="009E3797">
              <w:rPr>
                <w:rFonts w:eastAsia="Arial Unicode MS" w:cs="Arial"/>
                <w:color w:val="000000"/>
                <w:szCs w:val="22"/>
                <w:u w:color="000000"/>
              </w:rPr>
              <w:t>NA</w:t>
            </w:r>
            <w:bookmarkEnd w:id="246"/>
            <w:bookmarkEnd w:id="247"/>
            <w:bookmarkEnd w:id="248"/>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49" w:name="_Toc377026084"/>
            <w:bookmarkStart w:id="250" w:name="_Toc377543678"/>
            <w:bookmarkStart w:id="251" w:name="_Toc377545271"/>
            <w:r w:rsidRPr="009E3797">
              <w:rPr>
                <w:rFonts w:eastAsia="Arial Unicode MS" w:cs="Arial"/>
                <w:color w:val="000000"/>
                <w:szCs w:val="22"/>
                <w:u w:color="000000"/>
              </w:rPr>
              <w:t>NA</w:t>
            </w:r>
            <w:bookmarkEnd w:id="249"/>
            <w:bookmarkEnd w:id="250"/>
            <w:bookmarkEnd w:id="251"/>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52" w:name="_Toc377026085"/>
            <w:bookmarkStart w:id="253" w:name="_Toc377543679"/>
            <w:bookmarkStart w:id="254" w:name="_Toc377545272"/>
            <w:r w:rsidRPr="009E3797">
              <w:rPr>
                <w:rFonts w:eastAsia="Arial Unicode MS" w:cs="Arial"/>
                <w:color w:val="000000"/>
                <w:szCs w:val="22"/>
                <w:u w:color="000000"/>
              </w:rPr>
              <w:t>NA</w:t>
            </w:r>
            <w:bookmarkEnd w:id="252"/>
            <w:bookmarkEnd w:id="253"/>
            <w:bookmarkEnd w:id="254"/>
          </w:p>
        </w:tc>
        <w:tc>
          <w:tcPr>
            <w:tcW w:w="346"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55" w:name="_Toc377026086"/>
            <w:bookmarkStart w:id="256" w:name="_Toc377543680"/>
            <w:bookmarkStart w:id="257" w:name="_Toc377545273"/>
            <w:r w:rsidRPr="009E3797">
              <w:rPr>
                <w:rFonts w:eastAsia="Arial Unicode MS" w:cs="Arial"/>
                <w:color w:val="000000"/>
                <w:szCs w:val="22"/>
                <w:u w:color="000000"/>
              </w:rPr>
              <w:t>NA</w:t>
            </w:r>
            <w:bookmarkEnd w:id="255"/>
            <w:bookmarkEnd w:id="256"/>
            <w:bookmarkEnd w:id="257"/>
          </w:p>
        </w:tc>
        <w:tc>
          <w:tcPr>
            <w:tcW w:w="74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58" w:name="_Toc377026087"/>
            <w:bookmarkStart w:id="259" w:name="_Toc377543681"/>
            <w:bookmarkStart w:id="260" w:name="_Toc377545274"/>
            <w:r w:rsidRPr="009E3797">
              <w:rPr>
                <w:rFonts w:eastAsia="Arial Unicode MS" w:cs="Arial"/>
                <w:color w:val="000000"/>
                <w:szCs w:val="22"/>
                <w:u w:color="000000"/>
              </w:rPr>
              <w:t>2011</w:t>
            </w:r>
            <w:bookmarkEnd w:id="258"/>
            <w:bookmarkEnd w:id="259"/>
            <w:bookmarkEnd w:id="260"/>
          </w:p>
        </w:tc>
      </w:tr>
      <w:tr w:rsidR="00052899" w:rsidRPr="001A404E" w:rsidTr="002B2F73">
        <w:trPr>
          <w:cantSplit/>
          <w:trHeight w:val="345"/>
        </w:trPr>
        <w:tc>
          <w:tcPr>
            <w:tcW w:w="984"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outlineLvl w:val="0"/>
              <w:rPr>
                <w:rFonts w:eastAsia="Arial Unicode MS" w:cs="Arial"/>
                <w:color w:val="000000"/>
                <w:szCs w:val="22"/>
                <w:u w:color="000000"/>
              </w:rPr>
            </w:pPr>
            <w:bookmarkStart w:id="261" w:name="_Toc377026088"/>
            <w:bookmarkStart w:id="262" w:name="_Toc377543682"/>
            <w:bookmarkStart w:id="263" w:name="_Toc377545275"/>
            <w:r w:rsidRPr="009E3797">
              <w:rPr>
                <w:rFonts w:eastAsia="Arial Unicode MS" w:cs="Arial"/>
                <w:color w:val="000000"/>
                <w:szCs w:val="22"/>
                <w:u w:color="000000"/>
              </w:rPr>
              <w:t xml:space="preserve">Percent of districts with PENTA3 coverage </w:t>
            </w:r>
            <w:r w:rsidRPr="009E3797">
              <w:rPr>
                <w:rFonts w:eastAsia="Arial Unicode MS" w:cs="Arial" w:hint="eastAsia"/>
                <w:color w:val="000000"/>
                <w:szCs w:val="22"/>
                <w:u w:color="000000"/>
              </w:rPr>
              <w:t>≥</w:t>
            </w:r>
            <w:r w:rsidRPr="009E3797">
              <w:rPr>
                <w:rFonts w:eastAsia="Arial Unicode MS" w:cs="Arial"/>
                <w:color w:val="000000"/>
                <w:szCs w:val="22"/>
                <w:u w:color="000000"/>
              </w:rPr>
              <w:t>80%</w:t>
            </w:r>
            <w:bookmarkEnd w:id="261"/>
            <w:bookmarkEnd w:id="262"/>
            <w:bookmarkEnd w:id="263"/>
          </w:p>
        </w:tc>
        <w:tc>
          <w:tcPr>
            <w:tcW w:w="76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264" w:name="_Toc377026089"/>
            <w:bookmarkStart w:id="265" w:name="_Toc377543683"/>
            <w:bookmarkStart w:id="266" w:name="_Toc377545276"/>
            <w:r w:rsidRPr="009E3797">
              <w:rPr>
                <w:rFonts w:eastAsia="Arial Unicode MS" w:cs="Arial"/>
                <w:color w:val="000000"/>
                <w:szCs w:val="22"/>
                <w:u w:color="000000"/>
              </w:rPr>
              <w:t>Administrative Data</w:t>
            </w:r>
            <w:bookmarkEnd w:id="264"/>
            <w:bookmarkEnd w:id="265"/>
            <w:bookmarkEnd w:id="266"/>
          </w:p>
        </w:tc>
        <w:tc>
          <w:tcPr>
            <w:tcW w:w="83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67" w:name="_Toc377026090"/>
            <w:bookmarkStart w:id="268" w:name="_Toc377543684"/>
            <w:bookmarkStart w:id="269" w:name="_Toc377545277"/>
            <w:r w:rsidRPr="009E3797">
              <w:rPr>
                <w:rFonts w:eastAsia="Arial Unicode MS" w:cs="Arial"/>
                <w:color w:val="000000"/>
                <w:szCs w:val="22"/>
                <w:u w:color="000000"/>
              </w:rPr>
              <w:t>80.0%</w:t>
            </w:r>
            <w:bookmarkEnd w:id="267"/>
            <w:bookmarkEnd w:id="268"/>
            <w:bookmarkEnd w:id="269"/>
          </w:p>
        </w:tc>
        <w:tc>
          <w:tcPr>
            <w:tcW w:w="64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70" w:name="_Toc377026091"/>
            <w:bookmarkStart w:id="271" w:name="_Toc377543685"/>
            <w:bookmarkStart w:id="272" w:name="_Toc377545278"/>
            <w:r w:rsidRPr="009E3797">
              <w:rPr>
                <w:rFonts w:eastAsia="Arial Unicode MS" w:cs="Arial"/>
                <w:color w:val="000000"/>
                <w:szCs w:val="22"/>
                <w:u w:color="000000"/>
              </w:rPr>
              <w:t>NA</w:t>
            </w:r>
            <w:bookmarkEnd w:id="270"/>
            <w:bookmarkEnd w:id="271"/>
            <w:bookmarkEnd w:id="272"/>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73" w:name="_Toc377026092"/>
            <w:bookmarkStart w:id="274" w:name="_Toc377543686"/>
            <w:bookmarkStart w:id="275" w:name="_Toc377545279"/>
            <w:r w:rsidRPr="009E3797">
              <w:rPr>
                <w:rFonts w:eastAsia="Arial Unicode MS" w:cs="Arial"/>
                <w:color w:val="000000"/>
                <w:szCs w:val="22"/>
                <w:u w:color="000000"/>
              </w:rPr>
              <w:t>NA</w:t>
            </w:r>
            <w:bookmarkEnd w:id="273"/>
            <w:bookmarkEnd w:id="274"/>
            <w:bookmarkEnd w:id="275"/>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76" w:name="_Toc377026093"/>
            <w:bookmarkStart w:id="277" w:name="_Toc377543687"/>
            <w:bookmarkStart w:id="278" w:name="_Toc377545280"/>
            <w:r w:rsidRPr="009E3797">
              <w:rPr>
                <w:rFonts w:eastAsia="Arial Unicode MS" w:cs="Arial"/>
                <w:color w:val="000000"/>
                <w:szCs w:val="22"/>
                <w:u w:color="000000"/>
              </w:rPr>
              <w:t>NA</w:t>
            </w:r>
            <w:bookmarkEnd w:id="276"/>
            <w:bookmarkEnd w:id="277"/>
            <w:bookmarkEnd w:id="278"/>
          </w:p>
        </w:tc>
        <w:tc>
          <w:tcPr>
            <w:tcW w:w="346"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79" w:name="_Toc377026094"/>
            <w:bookmarkStart w:id="280" w:name="_Toc377543688"/>
            <w:bookmarkStart w:id="281" w:name="_Toc377545281"/>
            <w:r w:rsidRPr="009E3797">
              <w:rPr>
                <w:rFonts w:eastAsia="Arial Unicode MS" w:cs="Arial"/>
                <w:color w:val="000000"/>
                <w:szCs w:val="22"/>
                <w:u w:color="000000"/>
              </w:rPr>
              <w:t>NA</w:t>
            </w:r>
            <w:bookmarkEnd w:id="279"/>
            <w:bookmarkEnd w:id="280"/>
            <w:bookmarkEnd w:id="281"/>
          </w:p>
        </w:tc>
        <w:tc>
          <w:tcPr>
            <w:tcW w:w="74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82" w:name="_Toc377026095"/>
            <w:bookmarkStart w:id="283" w:name="_Toc377543689"/>
            <w:bookmarkStart w:id="284" w:name="_Toc377545282"/>
            <w:r w:rsidRPr="009E3797">
              <w:rPr>
                <w:rFonts w:eastAsia="Arial Unicode MS" w:cs="Arial"/>
                <w:color w:val="000000"/>
                <w:szCs w:val="22"/>
                <w:u w:color="000000"/>
              </w:rPr>
              <w:t>2012</w:t>
            </w:r>
            <w:bookmarkEnd w:id="282"/>
            <w:bookmarkEnd w:id="283"/>
            <w:bookmarkEnd w:id="284"/>
          </w:p>
        </w:tc>
      </w:tr>
      <w:tr w:rsidR="00052899" w:rsidRPr="001A404E" w:rsidTr="002B2F73">
        <w:trPr>
          <w:cantSplit/>
          <w:trHeight w:val="345"/>
        </w:trPr>
        <w:tc>
          <w:tcPr>
            <w:tcW w:w="984" w:type="pct"/>
            <w:vMerge/>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1A404E" w:rsidRDefault="00052899" w:rsidP="00052899">
            <w:pPr>
              <w:jc w:val="both"/>
              <w:outlineLvl w:val="0"/>
              <w:rPr>
                <w:rFonts w:eastAsia="Arial Unicode MS" w:cs="Arial"/>
                <w:color w:val="000000"/>
                <w:szCs w:val="22"/>
                <w:u w:color="000000"/>
              </w:rPr>
            </w:pPr>
          </w:p>
        </w:tc>
        <w:tc>
          <w:tcPr>
            <w:tcW w:w="76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285" w:name="_Toc377026096"/>
            <w:bookmarkStart w:id="286" w:name="_Toc377543690"/>
            <w:bookmarkStart w:id="287" w:name="_Toc377545283"/>
            <w:r w:rsidRPr="009E3797">
              <w:rPr>
                <w:rFonts w:eastAsia="Arial Unicode MS" w:cs="Arial"/>
                <w:color w:val="000000"/>
                <w:szCs w:val="22"/>
                <w:u w:color="000000"/>
              </w:rPr>
              <w:t>UNICEF/WHO Estimate</w:t>
            </w:r>
            <w:bookmarkEnd w:id="285"/>
            <w:bookmarkEnd w:id="286"/>
            <w:bookmarkEnd w:id="287"/>
          </w:p>
        </w:tc>
        <w:tc>
          <w:tcPr>
            <w:tcW w:w="83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64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346"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74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r>
      <w:tr w:rsidR="00052899" w:rsidRPr="001A404E" w:rsidTr="002B2F73">
        <w:trPr>
          <w:cantSplit/>
          <w:trHeight w:val="345"/>
        </w:trPr>
        <w:tc>
          <w:tcPr>
            <w:tcW w:w="984" w:type="pct"/>
            <w:vMerge/>
            <w:tcBorders>
              <w:top w:val="single" w:sz="6" w:space="0" w:color="215868"/>
              <w:left w:val="single" w:sz="6" w:space="0" w:color="215868"/>
              <w:bottom w:val="single" w:sz="6" w:space="0" w:color="215868"/>
              <w:right w:val="single" w:sz="6" w:space="0" w:color="215868"/>
            </w:tcBorders>
            <w:shd w:val="clear" w:color="auto" w:fill="FFFFFF"/>
          </w:tcPr>
          <w:p w:rsidR="00052899" w:rsidRPr="001A404E" w:rsidRDefault="00052899" w:rsidP="00052899">
            <w:pPr>
              <w:jc w:val="both"/>
              <w:rPr>
                <w:rFonts w:eastAsia="Arial Unicode MS" w:cs="Arial"/>
                <w:color w:val="000000"/>
                <w:szCs w:val="22"/>
              </w:rPr>
            </w:pPr>
          </w:p>
        </w:tc>
        <w:tc>
          <w:tcPr>
            <w:tcW w:w="76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288" w:name="_Toc377026097"/>
            <w:bookmarkStart w:id="289" w:name="_Toc377543691"/>
            <w:bookmarkStart w:id="290" w:name="_Toc377545284"/>
            <w:r w:rsidRPr="009E3797">
              <w:rPr>
                <w:rFonts w:eastAsia="Arial Unicode MS" w:cs="Arial"/>
                <w:color w:val="000000"/>
                <w:szCs w:val="22"/>
                <w:u w:color="000000"/>
              </w:rPr>
              <w:t>Other*</w:t>
            </w:r>
            <w:bookmarkEnd w:id="288"/>
            <w:bookmarkEnd w:id="289"/>
            <w:bookmarkEnd w:id="290"/>
          </w:p>
          <w:p w:rsidR="00052899" w:rsidRDefault="00052899" w:rsidP="00052899">
            <w:pPr>
              <w:jc w:val="center"/>
              <w:outlineLvl w:val="0"/>
              <w:rPr>
                <w:rFonts w:eastAsia="Arial Unicode MS" w:cs="Arial"/>
                <w:color w:val="000000"/>
                <w:szCs w:val="22"/>
                <w:u w:color="000000"/>
              </w:rPr>
            </w:pPr>
            <w:bookmarkStart w:id="291" w:name="_Toc377026098"/>
            <w:bookmarkStart w:id="292" w:name="_Toc377543692"/>
            <w:bookmarkStart w:id="293" w:name="_Toc377545285"/>
            <w:r w:rsidRPr="009E3797">
              <w:rPr>
                <w:rFonts w:eastAsia="Arial Unicode MS" w:cs="Arial"/>
                <w:color w:val="000000"/>
                <w:szCs w:val="22"/>
                <w:u w:color="000000"/>
              </w:rPr>
              <w:t>(JRF-Ghana)</w:t>
            </w:r>
            <w:bookmarkEnd w:id="291"/>
            <w:bookmarkEnd w:id="292"/>
            <w:bookmarkEnd w:id="293"/>
          </w:p>
        </w:tc>
        <w:tc>
          <w:tcPr>
            <w:tcW w:w="83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94" w:name="_Toc377026099"/>
            <w:bookmarkStart w:id="295" w:name="_Toc377543693"/>
            <w:bookmarkStart w:id="296" w:name="_Toc377545286"/>
            <w:r w:rsidRPr="009E3797">
              <w:rPr>
                <w:rFonts w:eastAsia="Arial Unicode MS" w:cs="Arial"/>
                <w:color w:val="000000"/>
                <w:szCs w:val="22"/>
                <w:u w:color="000000"/>
              </w:rPr>
              <w:t>80.0%</w:t>
            </w:r>
            <w:bookmarkEnd w:id="294"/>
            <w:bookmarkEnd w:id="295"/>
            <w:bookmarkEnd w:id="296"/>
          </w:p>
        </w:tc>
        <w:tc>
          <w:tcPr>
            <w:tcW w:w="64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297" w:name="_Toc377026100"/>
            <w:bookmarkStart w:id="298" w:name="_Toc377543694"/>
            <w:bookmarkStart w:id="299" w:name="_Toc377545287"/>
            <w:r w:rsidRPr="009E3797">
              <w:rPr>
                <w:rFonts w:eastAsia="Arial Unicode MS" w:cs="Arial"/>
                <w:color w:val="000000"/>
                <w:szCs w:val="22"/>
                <w:u w:color="000000"/>
              </w:rPr>
              <w:t>NA</w:t>
            </w:r>
            <w:bookmarkEnd w:id="297"/>
            <w:bookmarkEnd w:id="298"/>
            <w:bookmarkEnd w:id="299"/>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300" w:name="_Toc377026101"/>
            <w:bookmarkStart w:id="301" w:name="_Toc377543695"/>
            <w:bookmarkStart w:id="302" w:name="_Toc377545288"/>
            <w:r w:rsidRPr="009E3797">
              <w:rPr>
                <w:rFonts w:eastAsia="Arial Unicode MS" w:cs="Arial"/>
                <w:color w:val="000000"/>
                <w:szCs w:val="22"/>
                <w:u w:color="000000"/>
              </w:rPr>
              <w:t>NA</w:t>
            </w:r>
            <w:bookmarkEnd w:id="300"/>
            <w:bookmarkEnd w:id="301"/>
            <w:bookmarkEnd w:id="302"/>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303" w:name="_Toc377026102"/>
            <w:bookmarkStart w:id="304" w:name="_Toc377543696"/>
            <w:bookmarkStart w:id="305" w:name="_Toc377545289"/>
            <w:r w:rsidRPr="009E3797">
              <w:rPr>
                <w:rFonts w:eastAsia="Arial Unicode MS" w:cs="Arial"/>
                <w:color w:val="000000"/>
                <w:szCs w:val="22"/>
                <w:u w:color="000000"/>
              </w:rPr>
              <w:t>NA</w:t>
            </w:r>
            <w:bookmarkEnd w:id="303"/>
            <w:bookmarkEnd w:id="304"/>
            <w:bookmarkEnd w:id="305"/>
          </w:p>
        </w:tc>
        <w:tc>
          <w:tcPr>
            <w:tcW w:w="346"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306" w:name="_Toc377026103"/>
            <w:bookmarkStart w:id="307" w:name="_Toc377543697"/>
            <w:bookmarkStart w:id="308" w:name="_Toc377545290"/>
            <w:r w:rsidRPr="009E3797">
              <w:rPr>
                <w:rFonts w:eastAsia="Arial Unicode MS" w:cs="Arial"/>
                <w:color w:val="000000"/>
                <w:szCs w:val="22"/>
                <w:u w:color="000000"/>
              </w:rPr>
              <w:t>NA</w:t>
            </w:r>
            <w:bookmarkEnd w:id="306"/>
            <w:bookmarkEnd w:id="307"/>
            <w:bookmarkEnd w:id="308"/>
          </w:p>
        </w:tc>
        <w:tc>
          <w:tcPr>
            <w:tcW w:w="74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309" w:name="_Toc377026104"/>
            <w:bookmarkStart w:id="310" w:name="_Toc377543698"/>
            <w:bookmarkStart w:id="311" w:name="_Toc377545291"/>
            <w:r w:rsidRPr="009E3797">
              <w:rPr>
                <w:rFonts w:eastAsia="Arial Unicode MS" w:cs="Arial"/>
                <w:color w:val="000000"/>
                <w:szCs w:val="22"/>
                <w:u w:color="000000"/>
              </w:rPr>
              <w:t>2012</w:t>
            </w:r>
            <w:bookmarkEnd w:id="309"/>
            <w:bookmarkEnd w:id="310"/>
            <w:bookmarkEnd w:id="311"/>
          </w:p>
        </w:tc>
      </w:tr>
    </w:tbl>
    <w:p w:rsidR="00052899" w:rsidRDefault="00052899" w:rsidP="00052899">
      <w:pPr>
        <w:jc w:val="both"/>
        <w:rPr>
          <w:rFonts w:cs="Arial"/>
          <w:szCs w:val="22"/>
        </w:rPr>
        <w:sectPr w:rsidR="00052899">
          <w:footerReference w:type="default" r:id="rId9"/>
          <w:pgSz w:w="12240" w:h="15840"/>
          <w:pgMar w:top="709" w:right="1440" w:bottom="1440" w:left="1440" w:header="709" w:footer="709" w:gutter="0"/>
          <w:cols w:space="708"/>
          <w:docGrid w:linePitch="360"/>
        </w:sectPr>
      </w:pPr>
    </w:p>
    <w:p w:rsidR="00052899" w:rsidRDefault="00052899">
      <w:pPr>
        <w:jc w:val="both"/>
        <w:rPr>
          <w:rFonts w:cs="Arial"/>
          <w:szCs w:val="22"/>
        </w:rPr>
      </w:pPr>
    </w:p>
    <w:tbl>
      <w:tblPr>
        <w:tblpPr w:leftFromText="180" w:rightFromText="180" w:vertAnchor="page" w:horzAnchor="margin" w:tblpY="1141"/>
        <w:tblW w:w="5000" w:type="pct"/>
        <w:shd w:val="clear" w:color="auto" w:fill="FFFFFF"/>
        <w:tblLook w:val="0000"/>
      </w:tblPr>
      <w:tblGrid>
        <w:gridCol w:w="1843"/>
        <w:gridCol w:w="1429"/>
        <w:gridCol w:w="1558"/>
        <w:gridCol w:w="1202"/>
        <w:gridCol w:w="645"/>
        <w:gridCol w:w="647"/>
        <w:gridCol w:w="651"/>
        <w:gridCol w:w="1401"/>
      </w:tblGrid>
      <w:tr w:rsidR="00052899" w:rsidRPr="001A404E">
        <w:trPr>
          <w:cantSplit/>
          <w:trHeight w:val="345"/>
        </w:trPr>
        <w:tc>
          <w:tcPr>
            <w:tcW w:w="5000" w:type="pct"/>
            <w:gridSpan w:val="8"/>
            <w:tcBorders>
              <w:top w:val="single" w:sz="6" w:space="0" w:color="215868"/>
              <w:left w:val="single" w:sz="6" w:space="0" w:color="215868"/>
              <w:bottom w:val="single" w:sz="6" w:space="0" w:color="215868"/>
              <w:right w:val="single" w:sz="6" w:space="0" w:color="215868"/>
            </w:tcBorders>
            <w:shd w:val="clear" w:color="auto" w:fill="006666"/>
            <w:tcMar>
              <w:top w:w="80" w:type="dxa"/>
              <w:left w:w="0" w:type="dxa"/>
              <w:bottom w:w="80" w:type="dxa"/>
              <w:right w:w="0" w:type="dxa"/>
            </w:tcMar>
            <w:vAlign w:val="center"/>
          </w:tcPr>
          <w:p w:rsidR="00052899" w:rsidRPr="009E3797" w:rsidRDefault="00052899" w:rsidP="00052899">
            <w:pPr>
              <w:jc w:val="center"/>
              <w:outlineLvl w:val="0"/>
              <w:rPr>
                <w:rFonts w:cs="Arial"/>
                <w:b/>
                <w:color w:val="FFFFFF"/>
                <w:szCs w:val="22"/>
              </w:rPr>
            </w:pPr>
            <w:bookmarkStart w:id="312" w:name="_Toc377026105"/>
            <w:bookmarkStart w:id="313" w:name="_Toc377543699"/>
            <w:bookmarkStart w:id="314" w:name="_Toc377545292"/>
            <w:r w:rsidRPr="009E3797">
              <w:rPr>
                <w:rFonts w:cs="Arial"/>
                <w:b/>
                <w:color w:val="FFFFFF"/>
                <w:szCs w:val="22"/>
              </w:rPr>
              <w:t>Situational  Analysis</w:t>
            </w:r>
            <w:bookmarkEnd w:id="312"/>
            <w:bookmarkEnd w:id="313"/>
            <w:bookmarkEnd w:id="314"/>
          </w:p>
        </w:tc>
      </w:tr>
      <w:tr w:rsidR="00052899" w:rsidRPr="001A404E">
        <w:trPr>
          <w:cantSplit/>
          <w:trHeight w:val="345"/>
        </w:trPr>
        <w:tc>
          <w:tcPr>
            <w:tcW w:w="5000" w:type="pct"/>
            <w:gridSpan w:val="8"/>
            <w:tcBorders>
              <w:top w:val="single" w:sz="6" w:space="0" w:color="215868"/>
              <w:left w:val="single" w:sz="6" w:space="0" w:color="215868"/>
              <w:bottom w:val="single" w:sz="6" w:space="0" w:color="215868"/>
              <w:right w:val="single" w:sz="6" w:space="0" w:color="215868"/>
            </w:tcBorders>
            <w:shd w:val="clear" w:color="auto" w:fill="006666"/>
            <w:tcMar>
              <w:top w:w="80" w:type="dxa"/>
              <w:left w:w="0" w:type="dxa"/>
              <w:bottom w:w="80" w:type="dxa"/>
              <w:right w:w="0" w:type="dxa"/>
            </w:tcMar>
            <w:vAlign w:val="center"/>
          </w:tcPr>
          <w:p w:rsidR="00052899" w:rsidRDefault="00052899" w:rsidP="00052899">
            <w:pPr>
              <w:jc w:val="center"/>
              <w:outlineLvl w:val="0"/>
              <w:rPr>
                <w:rFonts w:eastAsia="Arial Unicode MS" w:cs="Arial"/>
                <w:b/>
                <w:color w:val="FFFFFF"/>
                <w:szCs w:val="22"/>
                <w:u w:color="FFFFFF"/>
              </w:rPr>
            </w:pPr>
            <w:bookmarkStart w:id="315" w:name="_Toc377026106"/>
            <w:bookmarkStart w:id="316" w:name="_Toc377543700"/>
            <w:bookmarkStart w:id="317" w:name="_Toc377545293"/>
            <w:r w:rsidRPr="009E3797">
              <w:rPr>
                <w:rFonts w:cs="Arial"/>
                <w:b/>
                <w:color w:val="FFFFFF"/>
                <w:szCs w:val="22"/>
              </w:rPr>
              <w:t>5. Key relevant health and health system statistics (3 pages Maximum)</w:t>
            </w:r>
            <w:bookmarkEnd w:id="315"/>
            <w:bookmarkEnd w:id="316"/>
            <w:bookmarkEnd w:id="317"/>
          </w:p>
        </w:tc>
      </w:tr>
      <w:tr w:rsidR="00052899" w:rsidRPr="001A404E">
        <w:trPr>
          <w:cantSplit/>
          <w:trHeight w:val="345"/>
        </w:trPr>
        <w:tc>
          <w:tcPr>
            <w:tcW w:w="983"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b/>
                <w:color w:val="000000"/>
                <w:szCs w:val="22"/>
                <w:u w:color="000000"/>
              </w:rPr>
            </w:pPr>
            <w:bookmarkStart w:id="318" w:name="_Toc377026107"/>
            <w:bookmarkStart w:id="319" w:name="_Toc377543701"/>
            <w:bookmarkStart w:id="320" w:name="_Toc377545294"/>
            <w:r w:rsidRPr="009E3797">
              <w:rPr>
                <w:rFonts w:eastAsia="Arial Unicode MS" w:cs="Arial"/>
                <w:b/>
                <w:color w:val="000000"/>
                <w:szCs w:val="22"/>
                <w:u w:color="000000"/>
              </w:rPr>
              <w:t>Indicator</w:t>
            </w:r>
            <w:bookmarkEnd w:id="318"/>
            <w:bookmarkEnd w:id="319"/>
            <w:bookmarkEnd w:id="320"/>
          </w:p>
        </w:tc>
        <w:tc>
          <w:tcPr>
            <w:tcW w:w="762"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b/>
                <w:color w:val="000000"/>
                <w:szCs w:val="22"/>
                <w:u w:color="000000"/>
              </w:rPr>
            </w:pPr>
            <w:bookmarkStart w:id="321" w:name="_Toc377026108"/>
            <w:bookmarkStart w:id="322" w:name="_Toc377543702"/>
            <w:bookmarkStart w:id="323" w:name="_Toc377545295"/>
            <w:r w:rsidRPr="009E3797">
              <w:rPr>
                <w:rFonts w:eastAsia="Arial Unicode MS" w:cs="Arial"/>
                <w:b/>
                <w:color w:val="000000"/>
                <w:szCs w:val="22"/>
                <w:u w:color="000000"/>
              </w:rPr>
              <w:t>Source</w:t>
            </w:r>
            <w:bookmarkEnd w:id="321"/>
            <w:bookmarkEnd w:id="322"/>
            <w:bookmarkEnd w:id="323"/>
          </w:p>
        </w:tc>
        <w:tc>
          <w:tcPr>
            <w:tcW w:w="831"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324" w:name="_Toc377026109"/>
            <w:bookmarkStart w:id="325" w:name="_Toc377543703"/>
            <w:bookmarkStart w:id="326" w:name="_Toc377545296"/>
            <w:r w:rsidRPr="009E3797">
              <w:rPr>
                <w:rFonts w:eastAsia="Arial Unicode MS" w:cs="Arial"/>
                <w:b/>
                <w:color w:val="000000"/>
                <w:szCs w:val="22"/>
                <w:u w:color="000000"/>
              </w:rPr>
              <w:t>National Average</w:t>
            </w:r>
            <w:bookmarkEnd w:id="324"/>
            <w:bookmarkEnd w:id="325"/>
            <w:bookmarkEnd w:id="326"/>
          </w:p>
        </w:tc>
        <w:tc>
          <w:tcPr>
            <w:tcW w:w="641"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b/>
                <w:color w:val="000000"/>
                <w:szCs w:val="22"/>
                <w:u w:color="000000"/>
              </w:rPr>
            </w:pPr>
            <w:bookmarkStart w:id="327" w:name="_Toc377026110"/>
            <w:bookmarkStart w:id="328" w:name="_Toc377543704"/>
            <w:bookmarkStart w:id="329" w:name="_Toc377545297"/>
            <w:r w:rsidRPr="009E3797">
              <w:rPr>
                <w:rFonts w:eastAsia="Arial Unicode MS" w:cs="Arial"/>
                <w:b/>
                <w:color w:val="000000"/>
                <w:szCs w:val="22"/>
                <w:u w:color="000000"/>
              </w:rPr>
              <w:t>Percentage difference between highest &amp; lowest quintiles</w:t>
            </w:r>
            <w:bookmarkEnd w:id="327"/>
            <w:bookmarkEnd w:id="328"/>
            <w:bookmarkEnd w:id="329"/>
          </w:p>
        </w:tc>
        <w:tc>
          <w:tcPr>
            <w:tcW w:w="1036" w:type="pct"/>
            <w:gridSpan w:val="3"/>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b/>
                <w:color w:val="000000"/>
                <w:szCs w:val="22"/>
                <w:u w:color="000000"/>
              </w:rPr>
            </w:pPr>
            <w:bookmarkStart w:id="330" w:name="_Toc377026111"/>
            <w:bookmarkStart w:id="331" w:name="_Toc377543705"/>
            <w:bookmarkStart w:id="332" w:name="_Toc377545298"/>
            <w:r w:rsidRPr="009E3797">
              <w:rPr>
                <w:rFonts w:eastAsia="Arial Unicode MS" w:cs="Arial"/>
                <w:b/>
                <w:color w:val="000000"/>
                <w:szCs w:val="22"/>
                <w:u w:color="000000"/>
              </w:rPr>
              <w:t>Sex</w:t>
            </w:r>
            <w:bookmarkEnd w:id="330"/>
            <w:bookmarkEnd w:id="331"/>
            <w:bookmarkEnd w:id="332"/>
          </w:p>
          <w:p w:rsidR="00052899" w:rsidRDefault="00052899" w:rsidP="00052899">
            <w:pPr>
              <w:jc w:val="center"/>
              <w:outlineLvl w:val="0"/>
              <w:rPr>
                <w:rFonts w:eastAsia="Arial Unicode MS" w:cs="Arial"/>
                <w:i/>
                <w:color w:val="000000"/>
                <w:szCs w:val="22"/>
                <w:u w:color="000000"/>
              </w:rPr>
            </w:pPr>
            <w:bookmarkStart w:id="333" w:name="_Toc377026112"/>
            <w:bookmarkStart w:id="334" w:name="_Toc377543706"/>
            <w:bookmarkStart w:id="335" w:name="_Toc377545299"/>
            <w:r w:rsidRPr="009E3797">
              <w:rPr>
                <w:rFonts w:eastAsia="Arial Unicode MS" w:cs="Arial"/>
                <w:i/>
                <w:color w:val="000000"/>
                <w:szCs w:val="22"/>
                <w:u w:color="000000"/>
              </w:rPr>
              <w:t>(Please provide disaggregated data where available)</w:t>
            </w:r>
            <w:bookmarkEnd w:id="333"/>
            <w:bookmarkEnd w:id="334"/>
            <w:bookmarkEnd w:id="335"/>
          </w:p>
        </w:tc>
        <w:tc>
          <w:tcPr>
            <w:tcW w:w="747"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b/>
                <w:color w:val="000000"/>
                <w:szCs w:val="22"/>
                <w:u w:color="000000"/>
              </w:rPr>
            </w:pPr>
            <w:bookmarkStart w:id="336" w:name="_Toc377026113"/>
            <w:bookmarkStart w:id="337" w:name="_Toc377543707"/>
            <w:bookmarkStart w:id="338" w:name="_Toc377545300"/>
            <w:r w:rsidRPr="009E3797">
              <w:rPr>
                <w:rFonts w:eastAsia="Arial Unicode MS" w:cs="Arial"/>
                <w:b/>
                <w:color w:val="000000"/>
                <w:szCs w:val="22"/>
                <w:u w:color="000000"/>
              </w:rPr>
              <w:t>Year</w:t>
            </w:r>
            <w:bookmarkEnd w:id="336"/>
            <w:bookmarkEnd w:id="337"/>
            <w:bookmarkEnd w:id="338"/>
          </w:p>
        </w:tc>
      </w:tr>
      <w:tr w:rsidR="00052899" w:rsidRPr="001A404E">
        <w:trPr>
          <w:cantSplit/>
          <w:trHeight w:val="1090"/>
        </w:trPr>
        <w:tc>
          <w:tcPr>
            <w:tcW w:w="983" w:type="pct"/>
            <w:vMerge/>
            <w:tcBorders>
              <w:top w:val="single" w:sz="6" w:space="0" w:color="215868"/>
              <w:left w:val="single" w:sz="6" w:space="0" w:color="215868"/>
              <w:bottom w:val="single" w:sz="4" w:space="0" w:color="auto"/>
              <w:right w:val="single" w:sz="6" w:space="0" w:color="215868"/>
            </w:tcBorders>
            <w:shd w:val="clear" w:color="auto" w:fill="FFFFFF"/>
          </w:tcPr>
          <w:p w:rsidR="00052899" w:rsidRPr="001A404E" w:rsidRDefault="00052899" w:rsidP="00052899">
            <w:pPr>
              <w:jc w:val="both"/>
              <w:rPr>
                <w:rFonts w:eastAsia="Arial Unicode MS" w:cs="Arial"/>
                <w:color w:val="000000"/>
                <w:szCs w:val="22"/>
              </w:rPr>
            </w:pPr>
          </w:p>
        </w:tc>
        <w:tc>
          <w:tcPr>
            <w:tcW w:w="762" w:type="pct"/>
            <w:vMerge/>
            <w:tcBorders>
              <w:top w:val="single" w:sz="6" w:space="0" w:color="215868"/>
              <w:left w:val="single" w:sz="6" w:space="0" w:color="215868"/>
              <w:bottom w:val="single" w:sz="4" w:space="0" w:color="auto"/>
              <w:right w:val="single" w:sz="6" w:space="0" w:color="215868"/>
            </w:tcBorders>
            <w:shd w:val="clear" w:color="auto" w:fill="FFFFFF"/>
          </w:tcPr>
          <w:p w:rsidR="00052899" w:rsidRPr="001A404E" w:rsidRDefault="00052899" w:rsidP="00052899">
            <w:pPr>
              <w:jc w:val="both"/>
              <w:rPr>
                <w:rFonts w:cs="Arial"/>
                <w:szCs w:val="22"/>
              </w:rPr>
            </w:pPr>
          </w:p>
        </w:tc>
        <w:tc>
          <w:tcPr>
            <w:tcW w:w="831" w:type="pct"/>
            <w:vMerge/>
            <w:tcBorders>
              <w:top w:val="single" w:sz="6" w:space="0" w:color="215868"/>
              <w:left w:val="single" w:sz="6" w:space="0" w:color="215868"/>
              <w:bottom w:val="single" w:sz="6" w:space="0" w:color="215868"/>
              <w:right w:val="single" w:sz="6" w:space="0" w:color="215868"/>
            </w:tcBorders>
            <w:shd w:val="clear" w:color="auto" w:fill="FFFFFF"/>
          </w:tcPr>
          <w:p w:rsidR="00052899" w:rsidRPr="001A404E" w:rsidRDefault="00052899" w:rsidP="00052899">
            <w:pPr>
              <w:jc w:val="both"/>
              <w:rPr>
                <w:rFonts w:cs="Arial"/>
                <w:szCs w:val="22"/>
              </w:rPr>
            </w:pPr>
          </w:p>
        </w:tc>
        <w:tc>
          <w:tcPr>
            <w:tcW w:w="641" w:type="pct"/>
            <w:vMerge/>
            <w:tcBorders>
              <w:top w:val="single" w:sz="6" w:space="0" w:color="215868"/>
              <w:left w:val="single" w:sz="6" w:space="0" w:color="215868"/>
              <w:bottom w:val="single" w:sz="6" w:space="0" w:color="215868"/>
              <w:right w:val="single" w:sz="6" w:space="0" w:color="215868"/>
            </w:tcBorders>
            <w:shd w:val="clear" w:color="auto" w:fill="FFFFFF"/>
          </w:tcPr>
          <w:p w:rsidR="00052899" w:rsidRPr="001A404E" w:rsidRDefault="00052899" w:rsidP="00052899">
            <w:pPr>
              <w:jc w:val="both"/>
              <w:rPr>
                <w:rFonts w:cs="Arial"/>
                <w:szCs w:val="22"/>
              </w:rPr>
            </w:pPr>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b/>
                <w:color w:val="000000"/>
                <w:szCs w:val="22"/>
                <w:u w:color="000000"/>
              </w:rPr>
            </w:pPr>
            <w:bookmarkStart w:id="339" w:name="_Toc377026114"/>
            <w:bookmarkStart w:id="340" w:name="_Toc377543708"/>
            <w:bookmarkStart w:id="341" w:name="_Toc377545301"/>
            <w:r w:rsidRPr="009E3797">
              <w:rPr>
                <w:rFonts w:eastAsia="Arial Unicode MS" w:cs="Arial"/>
                <w:b/>
                <w:color w:val="000000"/>
                <w:szCs w:val="22"/>
                <w:u w:color="000000"/>
              </w:rPr>
              <w:t>M</w:t>
            </w:r>
            <w:bookmarkEnd w:id="339"/>
            <w:bookmarkEnd w:id="340"/>
            <w:bookmarkEnd w:id="341"/>
          </w:p>
        </w:tc>
        <w:tc>
          <w:tcPr>
            <w:tcW w:w="345"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b/>
                <w:color w:val="000000"/>
                <w:szCs w:val="22"/>
                <w:u w:color="000000"/>
              </w:rPr>
            </w:pPr>
            <w:bookmarkStart w:id="342" w:name="_Toc377026115"/>
            <w:bookmarkStart w:id="343" w:name="_Toc377543709"/>
            <w:bookmarkStart w:id="344" w:name="_Toc377545302"/>
            <w:r w:rsidRPr="009E3797">
              <w:rPr>
                <w:rFonts w:eastAsia="Arial Unicode MS" w:cs="Arial"/>
                <w:b/>
                <w:color w:val="000000"/>
                <w:szCs w:val="22"/>
                <w:u w:color="000000"/>
              </w:rPr>
              <w:t>F</w:t>
            </w:r>
            <w:bookmarkEnd w:id="342"/>
            <w:bookmarkEnd w:id="343"/>
            <w:bookmarkEnd w:id="344"/>
          </w:p>
        </w:tc>
        <w:tc>
          <w:tcPr>
            <w:tcW w:w="34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b/>
                <w:color w:val="000000"/>
                <w:szCs w:val="22"/>
                <w:u w:color="000000"/>
              </w:rPr>
            </w:pPr>
            <w:bookmarkStart w:id="345" w:name="_Toc377026116"/>
            <w:bookmarkStart w:id="346" w:name="_Toc377543710"/>
            <w:bookmarkStart w:id="347" w:name="_Toc377545303"/>
            <w:r w:rsidRPr="009E3797">
              <w:rPr>
                <w:rFonts w:eastAsia="Arial Unicode MS" w:cs="Arial"/>
                <w:b/>
                <w:color w:val="000000"/>
                <w:szCs w:val="22"/>
                <w:u w:color="000000"/>
              </w:rPr>
              <w:t>Total</w:t>
            </w:r>
            <w:bookmarkEnd w:id="345"/>
            <w:bookmarkEnd w:id="346"/>
            <w:bookmarkEnd w:id="347"/>
          </w:p>
        </w:tc>
        <w:tc>
          <w:tcPr>
            <w:tcW w:w="747" w:type="pct"/>
            <w:vMerge/>
            <w:tcBorders>
              <w:top w:val="single" w:sz="6" w:space="0" w:color="215868"/>
              <w:left w:val="single" w:sz="6" w:space="0" w:color="215868"/>
              <w:bottom w:val="single" w:sz="6" w:space="0" w:color="215868"/>
              <w:right w:val="single" w:sz="6" w:space="0" w:color="215868"/>
            </w:tcBorders>
            <w:shd w:val="clear" w:color="auto" w:fill="FFFFFF"/>
          </w:tcPr>
          <w:p w:rsidR="00052899" w:rsidRPr="001A404E" w:rsidRDefault="00052899" w:rsidP="00052899">
            <w:pPr>
              <w:jc w:val="both"/>
              <w:rPr>
                <w:rFonts w:cs="Arial"/>
                <w:szCs w:val="22"/>
              </w:rPr>
            </w:pPr>
          </w:p>
        </w:tc>
      </w:tr>
      <w:tr w:rsidR="00052899" w:rsidRPr="001A404E">
        <w:trPr>
          <w:cantSplit/>
          <w:trHeight w:val="345"/>
        </w:trPr>
        <w:tc>
          <w:tcPr>
            <w:tcW w:w="983" w:type="pct"/>
            <w:vMerge w:val="restart"/>
            <w:tcBorders>
              <w:top w:val="single" w:sz="4" w:space="0" w:color="auto"/>
              <w:left w:val="single" w:sz="4" w:space="0" w:color="auto"/>
              <w:right w:val="single" w:sz="4" w:space="0" w:color="auto"/>
            </w:tcBorders>
            <w:shd w:val="clear" w:color="auto" w:fill="FFFFFF"/>
            <w:tcMar>
              <w:top w:w="80" w:type="dxa"/>
              <w:left w:w="0" w:type="dxa"/>
              <w:bottom w:w="80" w:type="dxa"/>
              <w:right w:w="0" w:type="dxa"/>
            </w:tcMar>
            <w:vAlign w:val="center"/>
          </w:tcPr>
          <w:p w:rsidR="00052899" w:rsidRDefault="00052899" w:rsidP="00052899">
            <w:pPr>
              <w:outlineLvl w:val="0"/>
              <w:rPr>
                <w:rFonts w:eastAsia="Arial Unicode MS" w:cs="Arial"/>
                <w:color w:val="000000"/>
                <w:szCs w:val="22"/>
                <w:u w:color="000000"/>
              </w:rPr>
            </w:pPr>
            <w:bookmarkStart w:id="348" w:name="_Toc377026117"/>
            <w:bookmarkStart w:id="349" w:name="_Toc377543711"/>
            <w:bookmarkStart w:id="350" w:name="_Toc377545304"/>
            <w:r w:rsidRPr="009E3797">
              <w:rPr>
                <w:rFonts w:eastAsia="Arial Unicode MS" w:cs="Arial"/>
                <w:color w:val="000000"/>
                <w:szCs w:val="22"/>
                <w:u w:color="000000"/>
              </w:rPr>
              <w:t>PENTA3 coverage in the lowest wealth quintile is +/- X% points of the coverage in the highest wealth quintile</w:t>
            </w:r>
            <w:bookmarkEnd w:id="348"/>
            <w:bookmarkEnd w:id="349"/>
            <w:bookmarkEnd w:id="350"/>
          </w:p>
        </w:tc>
        <w:tc>
          <w:tcPr>
            <w:tcW w:w="762" w:type="pct"/>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052899" w:rsidRDefault="00052899" w:rsidP="000A6166">
            <w:pPr>
              <w:jc w:val="center"/>
              <w:outlineLvl w:val="0"/>
              <w:rPr>
                <w:rFonts w:eastAsia="Arial Unicode MS" w:cs="Arial"/>
                <w:color w:val="000000"/>
                <w:szCs w:val="22"/>
                <w:u w:color="000000"/>
              </w:rPr>
            </w:pPr>
            <w:bookmarkStart w:id="351" w:name="_Toc377026118"/>
            <w:bookmarkStart w:id="352" w:name="_Toc377543712"/>
            <w:bookmarkStart w:id="353" w:name="_Toc377545305"/>
            <w:r w:rsidRPr="009E3797">
              <w:rPr>
                <w:rFonts w:eastAsia="Arial Unicode MS" w:cs="Arial"/>
                <w:color w:val="000000"/>
                <w:szCs w:val="22"/>
                <w:u w:color="000000"/>
              </w:rPr>
              <w:t xml:space="preserve">Administrative Data </w:t>
            </w:r>
            <w:bookmarkEnd w:id="351"/>
            <w:bookmarkEnd w:id="352"/>
            <w:bookmarkEnd w:id="353"/>
          </w:p>
        </w:tc>
        <w:tc>
          <w:tcPr>
            <w:tcW w:w="831" w:type="pct"/>
            <w:tcBorders>
              <w:top w:val="single" w:sz="6" w:space="0" w:color="215868"/>
              <w:left w:val="single" w:sz="4" w:space="0" w:color="auto"/>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64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345"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34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c>
          <w:tcPr>
            <w:tcW w:w="74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p>
        </w:tc>
      </w:tr>
      <w:tr w:rsidR="000A6166" w:rsidRPr="001A404E">
        <w:trPr>
          <w:cantSplit/>
          <w:trHeight w:val="345"/>
        </w:trPr>
        <w:tc>
          <w:tcPr>
            <w:tcW w:w="983" w:type="pct"/>
            <w:vMerge/>
            <w:tcBorders>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rsidR="000A6166" w:rsidRDefault="000A6166" w:rsidP="000A6166">
            <w:pPr>
              <w:outlineLvl w:val="0"/>
              <w:rPr>
                <w:rFonts w:eastAsia="Arial Unicode MS" w:cs="Arial"/>
                <w:color w:val="000000"/>
                <w:szCs w:val="22"/>
                <w:u w:color="000000"/>
              </w:rPr>
            </w:pPr>
          </w:p>
        </w:tc>
        <w:tc>
          <w:tcPr>
            <w:tcW w:w="762" w:type="pct"/>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rsidR="000A6166" w:rsidRDefault="000A6166" w:rsidP="000A6166">
            <w:pPr>
              <w:jc w:val="center"/>
              <w:outlineLvl w:val="0"/>
              <w:rPr>
                <w:rFonts w:eastAsia="Arial Unicode MS" w:cs="Arial"/>
                <w:color w:val="000000"/>
                <w:szCs w:val="22"/>
                <w:u w:color="000000"/>
              </w:rPr>
            </w:pPr>
            <w:bookmarkStart w:id="354" w:name="_Toc377026125"/>
            <w:bookmarkStart w:id="355" w:name="_Toc377543719"/>
            <w:bookmarkStart w:id="356" w:name="_Toc377545312"/>
            <w:r w:rsidRPr="009E3797">
              <w:rPr>
                <w:rFonts w:eastAsia="Arial Unicode MS" w:cs="Arial"/>
                <w:color w:val="000000"/>
                <w:szCs w:val="22"/>
                <w:u w:color="000000"/>
              </w:rPr>
              <w:t>Other*</w:t>
            </w:r>
            <w:bookmarkEnd w:id="354"/>
            <w:bookmarkEnd w:id="355"/>
            <w:bookmarkEnd w:id="356"/>
          </w:p>
          <w:p w:rsidR="000A6166" w:rsidRDefault="000A6166" w:rsidP="000A6166">
            <w:pPr>
              <w:jc w:val="center"/>
              <w:outlineLvl w:val="0"/>
              <w:rPr>
                <w:rFonts w:eastAsia="Arial Unicode MS" w:cs="Arial"/>
                <w:color w:val="000000"/>
                <w:szCs w:val="22"/>
                <w:u w:color="000000"/>
              </w:rPr>
            </w:pPr>
            <w:bookmarkStart w:id="357" w:name="_Toc377026126"/>
            <w:bookmarkStart w:id="358" w:name="_Toc377543720"/>
            <w:bookmarkStart w:id="359" w:name="_Toc377545313"/>
            <w:r w:rsidRPr="009E3797">
              <w:rPr>
                <w:rFonts w:eastAsia="Arial Unicode MS" w:cs="Arial"/>
                <w:color w:val="000000"/>
                <w:szCs w:val="22"/>
                <w:u w:color="000000"/>
              </w:rPr>
              <w:t>(state source)</w:t>
            </w:r>
            <w:bookmarkEnd w:id="357"/>
            <w:bookmarkEnd w:id="358"/>
            <w:bookmarkEnd w:id="359"/>
          </w:p>
        </w:tc>
        <w:tc>
          <w:tcPr>
            <w:tcW w:w="831" w:type="pct"/>
            <w:tcBorders>
              <w:top w:val="single" w:sz="6" w:space="0" w:color="215868"/>
              <w:left w:val="single" w:sz="4" w:space="0" w:color="auto"/>
              <w:bottom w:val="single" w:sz="4" w:space="0" w:color="auto"/>
              <w:right w:val="single" w:sz="6" w:space="0" w:color="215868"/>
            </w:tcBorders>
            <w:shd w:val="clear" w:color="auto" w:fill="FFFFFF"/>
            <w:tcMar>
              <w:top w:w="80" w:type="dxa"/>
              <w:left w:w="0" w:type="dxa"/>
              <w:bottom w:w="80" w:type="dxa"/>
              <w:right w:w="0" w:type="dxa"/>
            </w:tcMar>
            <w:vAlign w:val="center"/>
          </w:tcPr>
          <w:p w:rsidR="000A6166" w:rsidRPr="009E3797" w:rsidRDefault="000A6166" w:rsidP="000A6166">
            <w:pPr>
              <w:jc w:val="center"/>
              <w:outlineLvl w:val="0"/>
              <w:rPr>
                <w:rFonts w:eastAsia="Arial Unicode MS" w:cs="Arial"/>
                <w:color w:val="000000"/>
                <w:szCs w:val="22"/>
                <w:u w:color="000000"/>
              </w:rPr>
            </w:pPr>
            <w:r w:rsidRPr="009E3797">
              <w:rPr>
                <w:rFonts w:eastAsia="Arial Unicode MS" w:cs="Arial"/>
                <w:color w:val="000000"/>
                <w:szCs w:val="22"/>
                <w:u w:color="000000"/>
              </w:rPr>
              <w:t>NA</w:t>
            </w:r>
          </w:p>
        </w:tc>
        <w:tc>
          <w:tcPr>
            <w:tcW w:w="641"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A6166" w:rsidRPr="009E3797" w:rsidRDefault="000A6166" w:rsidP="000A6166">
            <w:pPr>
              <w:jc w:val="center"/>
              <w:outlineLvl w:val="0"/>
              <w:rPr>
                <w:rFonts w:eastAsia="Arial Unicode MS" w:cs="Arial"/>
                <w:color w:val="000000"/>
                <w:szCs w:val="22"/>
                <w:u w:color="000000"/>
              </w:rPr>
            </w:pPr>
            <w:r w:rsidRPr="009E3797">
              <w:rPr>
                <w:rFonts w:eastAsia="Arial Unicode MS" w:cs="Arial"/>
                <w:color w:val="000000"/>
                <w:szCs w:val="22"/>
                <w:u w:color="000000"/>
              </w:rPr>
              <w:t>NA</w:t>
            </w:r>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A6166" w:rsidRPr="009E3797" w:rsidRDefault="000A6166" w:rsidP="000A6166">
            <w:pPr>
              <w:jc w:val="center"/>
              <w:outlineLvl w:val="0"/>
              <w:rPr>
                <w:rFonts w:eastAsia="Arial Unicode MS" w:cs="Arial"/>
                <w:color w:val="000000"/>
                <w:szCs w:val="22"/>
                <w:u w:color="000000"/>
              </w:rPr>
            </w:pPr>
            <w:r w:rsidRPr="009E3797">
              <w:rPr>
                <w:rFonts w:eastAsia="Arial Unicode MS" w:cs="Arial"/>
                <w:color w:val="000000"/>
                <w:szCs w:val="22"/>
                <w:u w:color="000000"/>
              </w:rPr>
              <w:t>NA</w:t>
            </w:r>
          </w:p>
        </w:tc>
        <w:tc>
          <w:tcPr>
            <w:tcW w:w="345"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A6166" w:rsidRPr="009E3797" w:rsidRDefault="000A6166" w:rsidP="000A6166">
            <w:pPr>
              <w:jc w:val="center"/>
              <w:outlineLvl w:val="0"/>
              <w:rPr>
                <w:rFonts w:eastAsia="Arial Unicode MS" w:cs="Arial"/>
                <w:color w:val="000000"/>
                <w:szCs w:val="22"/>
                <w:u w:color="000000"/>
              </w:rPr>
            </w:pPr>
            <w:r w:rsidRPr="009E3797">
              <w:rPr>
                <w:rFonts w:eastAsia="Arial Unicode MS" w:cs="Arial"/>
                <w:color w:val="000000"/>
                <w:szCs w:val="22"/>
                <w:u w:color="000000"/>
              </w:rPr>
              <w:t>NA</w:t>
            </w:r>
          </w:p>
        </w:tc>
        <w:tc>
          <w:tcPr>
            <w:tcW w:w="34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A6166" w:rsidRPr="009E3797" w:rsidRDefault="000A6166" w:rsidP="000A6166">
            <w:pPr>
              <w:jc w:val="center"/>
              <w:outlineLvl w:val="0"/>
              <w:rPr>
                <w:rFonts w:eastAsia="Arial Unicode MS" w:cs="Arial"/>
                <w:color w:val="000000"/>
                <w:szCs w:val="22"/>
                <w:u w:color="000000"/>
              </w:rPr>
            </w:pPr>
            <w:r w:rsidRPr="009E3797">
              <w:rPr>
                <w:rFonts w:eastAsia="Arial Unicode MS" w:cs="Arial"/>
                <w:color w:val="000000"/>
                <w:szCs w:val="22"/>
                <w:u w:color="000000"/>
              </w:rPr>
              <w:t>NA</w:t>
            </w:r>
          </w:p>
        </w:tc>
        <w:tc>
          <w:tcPr>
            <w:tcW w:w="74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A6166" w:rsidRPr="009E3797" w:rsidRDefault="000A6166" w:rsidP="000A6166">
            <w:pPr>
              <w:jc w:val="center"/>
              <w:outlineLvl w:val="0"/>
              <w:rPr>
                <w:rFonts w:eastAsia="Arial Unicode MS" w:cs="Arial"/>
                <w:color w:val="000000"/>
                <w:szCs w:val="22"/>
                <w:u w:color="000000"/>
              </w:rPr>
            </w:pPr>
            <w:r w:rsidRPr="009E3797">
              <w:rPr>
                <w:rFonts w:eastAsia="Arial Unicode MS" w:cs="Arial"/>
                <w:color w:val="000000"/>
                <w:szCs w:val="22"/>
                <w:u w:color="000000"/>
              </w:rPr>
              <w:t>NIL</w:t>
            </w:r>
          </w:p>
        </w:tc>
      </w:tr>
      <w:tr w:rsidR="000A6166" w:rsidRPr="001A404E">
        <w:trPr>
          <w:cantSplit/>
          <w:trHeight w:val="345"/>
        </w:trPr>
        <w:tc>
          <w:tcPr>
            <w:tcW w:w="983" w:type="pct"/>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0A6166" w:rsidRDefault="000A6166" w:rsidP="000A6166">
            <w:pPr>
              <w:outlineLvl w:val="0"/>
              <w:rPr>
                <w:rFonts w:eastAsia="Arial Unicode MS" w:cs="Arial"/>
                <w:color w:val="000000"/>
                <w:szCs w:val="22"/>
                <w:u w:color="000000"/>
              </w:rPr>
            </w:pPr>
            <w:bookmarkStart w:id="360" w:name="_Toc377026127"/>
            <w:bookmarkStart w:id="361" w:name="_Toc377543721"/>
            <w:bookmarkStart w:id="362" w:name="_Toc377545314"/>
            <w:r w:rsidRPr="009E3797">
              <w:rPr>
                <w:rFonts w:eastAsia="Arial Unicode MS" w:cs="Arial"/>
                <w:color w:val="000000"/>
                <w:szCs w:val="22"/>
                <w:u w:color="000000"/>
              </w:rPr>
              <w:t>Fully immunised child coverage (%)</w:t>
            </w:r>
            <w:bookmarkEnd w:id="360"/>
            <w:bookmarkEnd w:id="361"/>
            <w:bookmarkEnd w:id="362"/>
          </w:p>
        </w:tc>
        <w:tc>
          <w:tcPr>
            <w:tcW w:w="762" w:type="pct"/>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0A6166" w:rsidRDefault="000A6166" w:rsidP="000A6166">
            <w:pPr>
              <w:jc w:val="center"/>
              <w:outlineLvl w:val="0"/>
              <w:rPr>
                <w:rFonts w:eastAsia="Arial Unicode MS" w:cs="Arial"/>
                <w:color w:val="000000"/>
                <w:szCs w:val="22"/>
                <w:u w:color="000000"/>
              </w:rPr>
            </w:pPr>
            <w:bookmarkStart w:id="363" w:name="_Toc377026128"/>
            <w:bookmarkStart w:id="364" w:name="_Toc377543722"/>
            <w:bookmarkStart w:id="365" w:name="_Toc377545315"/>
            <w:r w:rsidRPr="009E3797">
              <w:rPr>
                <w:rFonts w:eastAsia="Arial Unicode MS" w:cs="Arial"/>
                <w:color w:val="000000"/>
                <w:szCs w:val="22"/>
                <w:u w:color="000000"/>
              </w:rPr>
              <w:t>Administrative Data (DHIMS)</w:t>
            </w:r>
            <w:bookmarkEnd w:id="363"/>
            <w:bookmarkEnd w:id="364"/>
            <w:bookmarkEnd w:id="365"/>
          </w:p>
        </w:tc>
        <w:tc>
          <w:tcPr>
            <w:tcW w:w="831" w:type="pct"/>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0A6166" w:rsidRPr="009E3797" w:rsidRDefault="000A6166" w:rsidP="000A6166">
            <w:pPr>
              <w:jc w:val="center"/>
              <w:outlineLvl w:val="0"/>
              <w:rPr>
                <w:rFonts w:eastAsia="Arial Unicode MS" w:cs="Arial"/>
                <w:color w:val="000000"/>
                <w:szCs w:val="22"/>
                <w:u w:color="000000"/>
              </w:rPr>
            </w:pPr>
          </w:p>
        </w:tc>
        <w:tc>
          <w:tcPr>
            <w:tcW w:w="641" w:type="pct"/>
            <w:tcBorders>
              <w:top w:val="single" w:sz="6" w:space="0" w:color="215868"/>
              <w:left w:val="single" w:sz="4" w:space="0" w:color="auto"/>
              <w:bottom w:val="single" w:sz="6" w:space="0" w:color="215868"/>
              <w:right w:val="single" w:sz="6" w:space="0" w:color="215868"/>
            </w:tcBorders>
            <w:shd w:val="clear" w:color="auto" w:fill="FFFFFF"/>
            <w:tcMar>
              <w:top w:w="80" w:type="dxa"/>
              <w:left w:w="0" w:type="dxa"/>
              <w:bottom w:w="80" w:type="dxa"/>
              <w:right w:w="0" w:type="dxa"/>
            </w:tcMar>
            <w:vAlign w:val="center"/>
          </w:tcPr>
          <w:p w:rsidR="000A6166" w:rsidRPr="009E3797" w:rsidRDefault="000A6166" w:rsidP="000A6166">
            <w:pPr>
              <w:jc w:val="center"/>
              <w:outlineLvl w:val="0"/>
              <w:rPr>
                <w:rFonts w:eastAsia="Arial Unicode MS" w:cs="Arial"/>
                <w:color w:val="000000"/>
                <w:szCs w:val="22"/>
                <w:u w:color="000000"/>
              </w:rPr>
            </w:pPr>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A6166" w:rsidRPr="009E3797" w:rsidRDefault="000A6166" w:rsidP="000A6166">
            <w:pPr>
              <w:jc w:val="center"/>
              <w:outlineLvl w:val="0"/>
              <w:rPr>
                <w:rFonts w:eastAsia="Arial Unicode MS" w:cs="Arial"/>
                <w:color w:val="000000"/>
                <w:szCs w:val="22"/>
                <w:u w:color="000000"/>
              </w:rPr>
            </w:pPr>
          </w:p>
        </w:tc>
        <w:tc>
          <w:tcPr>
            <w:tcW w:w="345"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A6166" w:rsidRPr="009E3797" w:rsidRDefault="000A6166" w:rsidP="000A6166">
            <w:pPr>
              <w:jc w:val="center"/>
              <w:outlineLvl w:val="0"/>
              <w:rPr>
                <w:rFonts w:eastAsia="Arial Unicode MS" w:cs="Arial"/>
                <w:color w:val="000000"/>
                <w:szCs w:val="22"/>
                <w:u w:color="000000"/>
              </w:rPr>
            </w:pPr>
          </w:p>
        </w:tc>
        <w:tc>
          <w:tcPr>
            <w:tcW w:w="34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A6166" w:rsidRPr="009E3797" w:rsidRDefault="000A6166" w:rsidP="000A6166">
            <w:pPr>
              <w:jc w:val="center"/>
              <w:outlineLvl w:val="0"/>
              <w:rPr>
                <w:rFonts w:eastAsia="Arial Unicode MS" w:cs="Arial"/>
                <w:color w:val="000000"/>
                <w:szCs w:val="22"/>
                <w:u w:color="000000"/>
              </w:rPr>
            </w:pPr>
          </w:p>
        </w:tc>
        <w:tc>
          <w:tcPr>
            <w:tcW w:w="74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A6166" w:rsidRPr="009E3797" w:rsidRDefault="000A6166" w:rsidP="000A6166">
            <w:pPr>
              <w:jc w:val="center"/>
              <w:outlineLvl w:val="0"/>
              <w:rPr>
                <w:rFonts w:eastAsia="Arial Unicode MS" w:cs="Arial"/>
                <w:color w:val="000000"/>
                <w:szCs w:val="22"/>
                <w:u w:color="000000"/>
              </w:rPr>
            </w:pPr>
          </w:p>
        </w:tc>
      </w:tr>
      <w:tr w:rsidR="000A6166" w:rsidRPr="001A404E">
        <w:trPr>
          <w:cantSplit/>
          <w:trHeight w:val="345"/>
        </w:trPr>
        <w:tc>
          <w:tcPr>
            <w:tcW w:w="983" w:type="pct"/>
            <w:vMerge/>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rsidR="000A6166" w:rsidRPr="001A404E" w:rsidRDefault="000A6166" w:rsidP="000A6166">
            <w:pPr>
              <w:jc w:val="both"/>
              <w:outlineLvl w:val="0"/>
              <w:rPr>
                <w:rFonts w:eastAsia="Arial Unicode MS" w:cs="Arial"/>
                <w:color w:val="000000"/>
                <w:szCs w:val="22"/>
                <w:u w:color="000000"/>
              </w:rPr>
            </w:pPr>
          </w:p>
        </w:tc>
        <w:tc>
          <w:tcPr>
            <w:tcW w:w="762" w:type="pct"/>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0A6166" w:rsidRDefault="000A6166" w:rsidP="000A6166">
            <w:pPr>
              <w:jc w:val="center"/>
              <w:outlineLvl w:val="0"/>
              <w:rPr>
                <w:rFonts w:eastAsia="Arial Unicode MS" w:cs="Arial"/>
                <w:color w:val="000000"/>
                <w:szCs w:val="22"/>
                <w:u w:color="000000"/>
              </w:rPr>
            </w:pPr>
            <w:bookmarkStart w:id="366" w:name="_Toc377026129"/>
            <w:bookmarkStart w:id="367" w:name="_Toc377543723"/>
            <w:bookmarkStart w:id="368" w:name="_Toc377545316"/>
            <w:r w:rsidRPr="009E3797">
              <w:rPr>
                <w:rFonts w:eastAsia="Arial Unicode MS" w:cs="Arial"/>
                <w:color w:val="000000"/>
                <w:szCs w:val="22"/>
                <w:u w:color="000000"/>
              </w:rPr>
              <w:t>Other*</w:t>
            </w:r>
            <w:bookmarkEnd w:id="366"/>
            <w:bookmarkEnd w:id="367"/>
            <w:bookmarkEnd w:id="368"/>
          </w:p>
          <w:p w:rsidR="000A6166" w:rsidRDefault="000A6166" w:rsidP="000A6166">
            <w:pPr>
              <w:jc w:val="center"/>
              <w:outlineLvl w:val="0"/>
              <w:rPr>
                <w:rFonts w:eastAsia="Arial Unicode MS" w:cs="Arial"/>
                <w:color w:val="000000"/>
                <w:szCs w:val="22"/>
                <w:u w:color="000000"/>
              </w:rPr>
            </w:pPr>
            <w:bookmarkStart w:id="369" w:name="_Toc377026130"/>
            <w:bookmarkStart w:id="370" w:name="_Toc377543724"/>
            <w:bookmarkStart w:id="371" w:name="_Toc377545317"/>
            <w:r w:rsidRPr="009E3797">
              <w:rPr>
                <w:rFonts w:eastAsia="Arial Unicode MS" w:cs="Arial"/>
                <w:color w:val="000000"/>
                <w:szCs w:val="22"/>
                <w:u w:color="000000"/>
              </w:rPr>
              <w:t>(MIC)</w:t>
            </w:r>
            <w:bookmarkEnd w:id="369"/>
            <w:bookmarkEnd w:id="370"/>
            <w:bookmarkEnd w:id="371"/>
          </w:p>
        </w:tc>
        <w:tc>
          <w:tcPr>
            <w:tcW w:w="831" w:type="pct"/>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0A6166" w:rsidRPr="009E3797" w:rsidRDefault="000A6166" w:rsidP="000A6166">
            <w:pPr>
              <w:jc w:val="center"/>
              <w:outlineLvl w:val="0"/>
              <w:rPr>
                <w:rFonts w:eastAsia="Arial Unicode MS" w:cs="Arial"/>
                <w:color w:val="000000"/>
                <w:szCs w:val="22"/>
                <w:u w:color="000000"/>
              </w:rPr>
            </w:pPr>
            <w:bookmarkStart w:id="372" w:name="_Toc377026131"/>
            <w:bookmarkStart w:id="373" w:name="_Toc377543725"/>
            <w:bookmarkStart w:id="374" w:name="_Toc377545318"/>
            <w:r w:rsidRPr="009E3797">
              <w:rPr>
                <w:rFonts w:eastAsia="Arial Unicode MS" w:cs="Arial"/>
                <w:color w:val="000000"/>
                <w:szCs w:val="22"/>
                <w:u w:color="000000"/>
              </w:rPr>
              <w:t>77.3%</w:t>
            </w:r>
            <w:bookmarkEnd w:id="372"/>
            <w:bookmarkEnd w:id="373"/>
            <w:bookmarkEnd w:id="374"/>
          </w:p>
        </w:tc>
        <w:tc>
          <w:tcPr>
            <w:tcW w:w="641" w:type="pct"/>
            <w:tcBorders>
              <w:top w:val="single" w:sz="6" w:space="0" w:color="215868"/>
              <w:left w:val="single" w:sz="4" w:space="0" w:color="auto"/>
              <w:bottom w:val="single" w:sz="6" w:space="0" w:color="215868"/>
              <w:right w:val="single" w:sz="6" w:space="0" w:color="215868"/>
            </w:tcBorders>
            <w:shd w:val="clear" w:color="auto" w:fill="FFFFFF"/>
            <w:tcMar>
              <w:top w:w="80" w:type="dxa"/>
              <w:left w:w="0" w:type="dxa"/>
              <w:bottom w:w="80" w:type="dxa"/>
              <w:right w:w="0" w:type="dxa"/>
            </w:tcMar>
            <w:vAlign w:val="center"/>
          </w:tcPr>
          <w:p w:rsidR="000A6166" w:rsidRPr="009E3797" w:rsidRDefault="000A6166" w:rsidP="000A6166">
            <w:pPr>
              <w:jc w:val="center"/>
              <w:outlineLvl w:val="0"/>
              <w:rPr>
                <w:rFonts w:eastAsia="Arial Unicode MS" w:cs="Arial"/>
                <w:color w:val="000000"/>
                <w:szCs w:val="22"/>
                <w:u w:color="000000"/>
              </w:rPr>
            </w:pPr>
          </w:p>
        </w:tc>
        <w:tc>
          <w:tcPr>
            <w:tcW w:w="34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A6166" w:rsidRPr="009E3797" w:rsidRDefault="000A6166" w:rsidP="000A6166">
            <w:pPr>
              <w:jc w:val="center"/>
              <w:outlineLvl w:val="0"/>
              <w:rPr>
                <w:rFonts w:eastAsia="Arial Unicode MS" w:cs="Arial"/>
                <w:color w:val="000000"/>
                <w:szCs w:val="22"/>
                <w:u w:color="000000"/>
              </w:rPr>
            </w:pPr>
          </w:p>
        </w:tc>
        <w:tc>
          <w:tcPr>
            <w:tcW w:w="345"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A6166" w:rsidRPr="009E3797" w:rsidRDefault="000A6166" w:rsidP="000A6166">
            <w:pPr>
              <w:jc w:val="center"/>
              <w:outlineLvl w:val="0"/>
              <w:rPr>
                <w:rFonts w:eastAsia="Arial Unicode MS" w:cs="Arial"/>
                <w:color w:val="000000"/>
                <w:szCs w:val="22"/>
                <w:u w:color="000000"/>
              </w:rPr>
            </w:pPr>
            <w:bookmarkStart w:id="375" w:name="_Toc377026132"/>
            <w:bookmarkStart w:id="376" w:name="_Toc377543726"/>
            <w:bookmarkStart w:id="377" w:name="_Toc377545319"/>
            <w:r w:rsidRPr="009E3797">
              <w:rPr>
                <w:rFonts w:cs="Arial"/>
                <w:szCs w:val="22"/>
              </w:rPr>
              <w:t>GHS</w:t>
            </w:r>
            <w:bookmarkEnd w:id="375"/>
            <w:bookmarkEnd w:id="376"/>
            <w:bookmarkEnd w:id="377"/>
          </w:p>
        </w:tc>
        <w:tc>
          <w:tcPr>
            <w:tcW w:w="34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A6166" w:rsidRPr="009E3797" w:rsidRDefault="000A6166" w:rsidP="000A6166">
            <w:pPr>
              <w:jc w:val="center"/>
              <w:outlineLvl w:val="0"/>
              <w:rPr>
                <w:rFonts w:eastAsia="Arial Unicode MS" w:cs="Arial"/>
                <w:color w:val="000000"/>
                <w:szCs w:val="22"/>
                <w:u w:color="000000"/>
              </w:rPr>
            </w:pPr>
          </w:p>
        </w:tc>
        <w:tc>
          <w:tcPr>
            <w:tcW w:w="74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A6166" w:rsidRPr="009E3797" w:rsidRDefault="000A6166" w:rsidP="000A6166">
            <w:pPr>
              <w:jc w:val="center"/>
              <w:outlineLvl w:val="0"/>
              <w:rPr>
                <w:rFonts w:eastAsia="Arial Unicode MS" w:cs="Arial"/>
                <w:color w:val="000000"/>
                <w:szCs w:val="22"/>
                <w:u w:color="000000"/>
              </w:rPr>
            </w:pPr>
            <w:bookmarkStart w:id="378" w:name="_Toc377026133"/>
            <w:bookmarkStart w:id="379" w:name="_Toc377543727"/>
            <w:bookmarkStart w:id="380" w:name="_Toc377545320"/>
            <w:r w:rsidRPr="009E3797">
              <w:rPr>
                <w:rFonts w:eastAsia="Arial Unicode MS" w:cs="Arial"/>
                <w:color w:val="000000"/>
                <w:szCs w:val="22"/>
                <w:u w:color="000000"/>
              </w:rPr>
              <w:t>2011</w:t>
            </w:r>
            <w:bookmarkEnd w:id="378"/>
            <w:bookmarkEnd w:id="379"/>
            <w:bookmarkEnd w:id="380"/>
          </w:p>
          <w:p w:rsidR="000A6166" w:rsidRPr="009E3797" w:rsidRDefault="000A6166" w:rsidP="000A6166">
            <w:pPr>
              <w:jc w:val="center"/>
              <w:outlineLvl w:val="0"/>
              <w:rPr>
                <w:rFonts w:eastAsia="Arial Unicode MS" w:cs="Arial"/>
                <w:color w:val="000000"/>
                <w:szCs w:val="22"/>
                <w:u w:color="000000"/>
              </w:rPr>
            </w:pPr>
          </w:p>
        </w:tc>
      </w:tr>
    </w:tbl>
    <w:p w:rsidR="00052899" w:rsidRDefault="00052899" w:rsidP="00052899"/>
    <w:p w:rsidR="00052899" w:rsidRPr="00B40A7C" w:rsidRDefault="00052899" w:rsidP="00052899">
      <w:pPr>
        <w:jc w:val="both"/>
        <w:rPr>
          <w:rFonts w:cs="Arial"/>
          <w:szCs w:val="22"/>
        </w:rPr>
      </w:pPr>
    </w:p>
    <w:p w:rsidR="00052899" w:rsidRPr="00B40A7C" w:rsidRDefault="00052899" w:rsidP="00052899">
      <w:pPr>
        <w:jc w:val="both"/>
        <w:rPr>
          <w:rFonts w:cs="Arial"/>
          <w:szCs w:val="22"/>
          <w:lang w:val="en-CA"/>
        </w:rPr>
      </w:pPr>
    </w:p>
    <w:p w:rsidR="00052899" w:rsidRPr="00B40A7C" w:rsidRDefault="00052899" w:rsidP="00052899">
      <w:pPr>
        <w:spacing w:after="200" w:line="276" w:lineRule="auto"/>
        <w:jc w:val="both"/>
        <w:rPr>
          <w:rFonts w:cs="Arial"/>
          <w:szCs w:val="22"/>
        </w:rPr>
      </w:pPr>
      <w:r w:rsidRPr="00B40A7C">
        <w:rPr>
          <w:rFonts w:cs="Arial"/>
          <w:szCs w:val="22"/>
        </w:rPr>
        <w:br w:type="page"/>
      </w:r>
    </w:p>
    <w:tbl>
      <w:tblPr>
        <w:tblpPr w:leftFromText="180" w:rightFromText="180" w:vertAnchor="page" w:horzAnchor="margin" w:tblpY="1696"/>
        <w:tblW w:w="5147" w:type="pct"/>
        <w:shd w:val="clear" w:color="auto" w:fill="FFFFFF"/>
        <w:tblLayout w:type="fixed"/>
        <w:tblLook w:val="0000"/>
      </w:tblPr>
      <w:tblGrid>
        <w:gridCol w:w="2278"/>
        <w:gridCol w:w="3260"/>
        <w:gridCol w:w="2131"/>
        <w:gridCol w:w="1983"/>
      </w:tblGrid>
      <w:tr w:rsidR="00052899" w:rsidRPr="00B40A7C">
        <w:trPr>
          <w:cantSplit/>
          <w:trHeight w:val="345"/>
        </w:trPr>
        <w:tc>
          <w:tcPr>
            <w:tcW w:w="5000" w:type="pct"/>
            <w:gridSpan w:val="4"/>
            <w:tcBorders>
              <w:top w:val="single" w:sz="6" w:space="0" w:color="215868"/>
              <w:left w:val="single" w:sz="6" w:space="0" w:color="215868"/>
              <w:bottom w:val="single" w:sz="6" w:space="0" w:color="215868"/>
              <w:right w:val="single" w:sz="6" w:space="0" w:color="215868"/>
            </w:tcBorders>
            <w:shd w:val="clear" w:color="auto" w:fill="006666"/>
            <w:tcMar>
              <w:top w:w="80" w:type="dxa"/>
              <w:left w:w="0" w:type="dxa"/>
              <w:bottom w:w="80" w:type="dxa"/>
              <w:right w:w="0" w:type="dxa"/>
            </w:tcMar>
            <w:vAlign w:val="center"/>
          </w:tcPr>
          <w:p w:rsidR="00052899" w:rsidRPr="00B40A7C" w:rsidRDefault="00052899" w:rsidP="00052899">
            <w:pPr>
              <w:jc w:val="both"/>
              <w:outlineLvl w:val="0"/>
              <w:rPr>
                <w:rFonts w:eastAsia="Arial Unicode MS" w:cs="Arial"/>
                <w:b/>
                <w:color w:val="FFFFFF"/>
                <w:szCs w:val="22"/>
                <w:u w:color="FFFFFF"/>
              </w:rPr>
            </w:pPr>
            <w:r w:rsidRPr="00B40A7C">
              <w:rPr>
                <w:rFonts w:cs="Arial"/>
                <w:szCs w:val="22"/>
              </w:rPr>
              <w:br w:type="page"/>
            </w:r>
            <w:bookmarkStart w:id="381" w:name="_Toc377026134"/>
            <w:bookmarkStart w:id="382" w:name="_Toc377543728"/>
            <w:bookmarkStart w:id="383" w:name="_Toc377545321"/>
            <w:r w:rsidRPr="00B40A7C">
              <w:rPr>
                <w:rFonts w:eastAsia="Arial Unicode MS" w:cs="Arial"/>
                <w:b/>
                <w:color w:val="FFFFFF"/>
                <w:szCs w:val="22"/>
                <w:u w:color="FFFFFF"/>
              </w:rPr>
              <w:t>Additional Health System Statistics</w:t>
            </w:r>
            <w:bookmarkEnd w:id="381"/>
            <w:bookmarkEnd w:id="382"/>
            <w:bookmarkEnd w:id="383"/>
          </w:p>
        </w:tc>
      </w:tr>
      <w:tr w:rsidR="00052899" w:rsidRPr="00B40A7C">
        <w:trPr>
          <w:cantSplit/>
          <w:trHeight w:val="345"/>
        </w:trPr>
        <w:tc>
          <w:tcPr>
            <w:tcW w:w="1180"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B40A7C" w:rsidRDefault="00052899" w:rsidP="00052899">
            <w:pPr>
              <w:jc w:val="both"/>
              <w:outlineLvl w:val="0"/>
              <w:rPr>
                <w:rFonts w:eastAsia="Arial Unicode MS" w:cs="Arial"/>
                <w:b/>
                <w:color w:val="000000"/>
                <w:szCs w:val="22"/>
                <w:u w:color="000000"/>
              </w:rPr>
            </w:pPr>
            <w:bookmarkStart w:id="384" w:name="_Toc377026135"/>
            <w:bookmarkStart w:id="385" w:name="_Toc377543729"/>
            <w:bookmarkStart w:id="386" w:name="_Toc377545322"/>
            <w:r w:rsidRPr="00B40A7C">
              <w:rPr>
                <w:rFonts w:eastAsia="Arial Unicode MS" w:cs="Arial"/>
                <w:b/>
                <w:color w:val="000000"/>
                <w:szCs w:val="22"/>
                <w:u w:color="000000"/>
              </w:rPr>
              <w:t>Indicator</w:t>
            </w:r>
            <w:bookmarkEnd w:id="384"/>
            <w:bookmarkEnd w:id="385"/>
            <w:bookmarkEnd w:id="386"/>
          </w:p>
        </w:tc>
        <w:tc>
          <w:tcPr>
            <w:tcW w:w="1689"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b/>
                <w:color w:val="000000"/>
                <w:szCs w:val="22"/>
                <w:u w:color="000000"/>
              </w:rPr>
            </w:pPr>
            <w:bookmarkStart w:id="387" w:name="_Toc377026136"/>
            <w:bookmarkStart w:id="388" w:name="_Toc377543730"/>
            <w:bookmarkStart w:id="389" w:name="_Toc377545323"/>
            <w:r>
              <w:rPr>
                <w:rFonts w:eastAsia="Arial Unicode MS" w:cs="Arial"/>
                <w:b/>
                <w:color w:val="000000"/>
                <w:szCs w:val="22"/>
                <w:u w:color="000000"/>
              </w:rPr>
              <w:t>Source</w:t>
            </w:r>
            <w:bookmarkEnd w:id="387"/>
            <w:bookmarkEnd w:id="388"/>
            <w:bookmarkEnd w:id="389"/>
          </w:p>
        </w:tc>
        <w:tc>
          <w:tcPr>
            <w:tcW w:w="110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b/>
                <w:color w:val="000000"/>
                <w:szCs w:val="22"/>
                <w:u w:color="000000"/>
              </w:rPr>
            </w:pPr>
            <w:bookmarkStart w:id="390" w:name="_Toc377026137"/>
            <w:bookmarkStart w:id="391" w:name="_Toc377543731"/>
            <w:bookmarkStart w:id="392" w:name="_Toc377545324"/>
            <w:r>
              <w:rPr>
                <w:rFonts w:eastAsia="Arial Unicode MS" w:cs="Arial"/>
                <w:b/>
                <w:color w:val="000000"/>
                <w:szCs w:val="22"/>
                <w:u w:color="000000"/>
              </w:rPr>
              <w:t>Value</w:t>
            </w:r>
            <w:bookmarkEnd w:id="390"/>
            <w:bookmarkEnd w:id="391"/>
            <w:bookmarkEnd w:id="392"/>
          </w:p>
        </w:tc>
        <w:tc>
          <w:tcPr>
            <w:tcW w:w="102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b/>
                <w:color w:val="000000"/>
                <w:szCs w:val="22"/>
                <w:u w:color="000000"/>
              </w:rPr>
            </w:pPr>
            <w:bookmarkStart w:id="393" w:name="_Toc377026138"/>
            <w:bookmarkStart w:id="394" w:name="_Toc377543732"/>
            <w:bookmarkStart w:id="395" w:name="_Toc377545325"/>
            <w:r>
              <w:rPr>
                <w:rFonts w:eastAsia="Arial Unicode MS" w:cs="Arial"/>
                <w:b/>
                <w:color w:val="000000"/>
                <w:szCs w:val="22"/>
                <w:u w:color="000000"/>
              </w:rPr>
              <w:t>Year</w:t>
            </w:r>
            <w:bookmarkEnd w:id="393"/>
            <w:bookmarkEnd w:id="394"/>
            <w:bookmarkEnd w:id="395"/>
          </w:p>
        </w:tc>
      </w:tr>
      <w:tr w:rsidR="00052899" w:rsidRPr="00B40A7C">
        <w:trPr>
          <w:cantSplit/>
          <w:trHeight w:val="345"/>
        </w:trPr>
        <w:tc>
          <w:tcPr>
            <w:tcW w:w="1180"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outlineLvl w:val="0"/>
              <w:rPr>
                <w:rFonts w:eastAsia="Arial Unicode MS" w:cs="Arial"/>
                <w:color w:val="000000"/>
                <w:szCs w:val="22"/>
                <w:u w:color="000000"/>
              </w:rPr>
            </w:pPr>
            <w:bookmarkStart w:id="396" w:name="_Toc377026139"/>
            <w:bookmarkStart w:id="397" w:name="_Toc377543733"/>
            <w:bookmarkStart w:id="398" w:name="_Toc377545326"/>
            <w:r w:rsidRPr="00B40A7C">
              <w:rPr>
                <w:rFonts w:eastAsia="Arial Unicode MS" w:cs="Arial"/>
                <w:color w:val="000000"/>
                <w:szCs w:val="22"/>
                <w:u w:color="000000"/>
              </w:rPr>
              <w:t>Under Five Mortality</w:t>
            </w:r>
            <w:bookmarkEnd w:id="396"/>
            <w:bookmarkEnd w:id="397"/>
            <w:bookmarkEnd w:id="398"/>
          </w:p>
        </w:tc>
        <w:tc>
          <w:tcPr>
            <w:tcW w:w="1689"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399" w:name="_Toc377026140"/>
            <w:bookmarkStart w:id="400" w:name="_Toc377543734"/>
            <w:bookmarkStart w:id="401" w:name="_Toc377545327"/>
            <w:r w:rsidRPr="00B40A7C">
              <w:rPr>
                <w:rFonts w:eastAsia="Arial Unicode MS" w:cs="Arial"/>
                <w:color w:val="000000"/>
                <w:szCs w:val="22"/>
                <w:u w:color="000000"/>
              </w:rPr>
              <w:t>Other* (MICS-Ghana)</w:t>
            </w:r>
            <w:bookmarkEnd w:id="399"/>
            <w:bookmarkEnd w:id="400"/>
            <w:bookmarkEnd w:id="401"/>
          </w:p>
          <w:p w:rsidR="00052899" w:rsidRDefault="00052899" w:rsidP="00052899">
            <w:pPr>
              <w:jc w:val="center"/>
              <w:outlineLvl w:val="0"/>
              <w:rPr>
                <w:rFonts w:eastAsia="Arial Unicode MS" w:cs="Arial"/>
                <w:color w:val="000000"/>
                <w:szCs w:val="22"/>
                <w:u w:color="000000"/>
              </w:rPr>
            </w:pPr>
            <w:bookmarkStart w:id="402" w:name="_Toc377026141"/>
            <w:bookmarkStart w:id="403" w:name="_Toc377543735"/>
            <w:bookmarkStart w:id="404" w:name="_Toc377545328"/>
            <w:r w:rsidRPr="00B40A7C">
              <w:rPr>
                <w:rFonts w:eastAsia="Arial Unicode MS" w:cs="Arial"/>
                <w:color w:val="000000"/>
                <w:szCs w:val="22"/>
                <w:u w:color="000000"/>
              </w:rPr>
              <w:t>(state source)</w:t>
            </w:r>
            <w:bookmarkEnd w:id="402"/>
            <w:bookmarkEnd w:id="403"/>
            <w:bookmarkEnd w:id="404"/>
          </w:p>
        </w:tc>
        <w:tc>
          <w:tcPr>
            <w:tcW w:w="110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405" w:name="_Toc377026142"/>
            <w:bookmarkStart w:id="406" w:name="_Toc377543736"/>
            <w:bookmarkStart w:id="407" w:name="_Toc377545329"/>
            <w:r w:rsidRPr="009E3797">
              <w:rPr>
                <w:rFonts w:eastAsia="Arial Unicode MS" w:cs="Arial"/>
                <w:color w:val="000000"/>
                <w:szCs w:val="22"/>
                <w:u w:color="000000"/>
              </w:rPr>
              <w:t>82  (MICS)</w:t>
            </w:r>
            <w:bookmarkEnd w:id="405"/>
            <w:bookmarkEnd w:id="406"/>
            <w:bookmarkEnd w:id="407"/>
          </w:p>
        </w:tc>
        <w:tc>
          <w:tcPr>
            <w:tcW w:w="102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408" w:name="_Toc377026143"/>
            <w:bookmarkStart w:id="409" w:name="_Toc377543737"/>
            <w:bookmarkStart w:id="410" w:name="_Toc377545330"/>
            <w:r w:rsidRPr="009E3797">
              <w:rPr>
                <w:rFonts w:eastAsia="Arial Unicode MS" w:cs="Arial"/>
                <w:color w:val="000000"/>
                <w:szCs w:val="22"/>
                <w:u w:color="000000"/>
              </w:rPr>
              <w:t>2011</w:t>
            </w:r>
            <w:bookmarkEnd w:id="408"/>
            <w:bookmarkEnd w:id="409"/>
            <w:bookmarkEnd w:id="410"/>
          </w:p>
        </w:tc>
      </w:tr>
      <w:tr w:rsidR="00052899" w:rsidRPr="00B40A7C">
        <w:trPr>
          <w:cantSplit/>
          <w:trHeight w:val="20"/>
        </w:trPr>
        <w:tc>
          <w:tcPr>
            <w:tcW w:w="1180" w:type="pct"/>
            <w:vMerge/>
            <w:tcBorders>
              <w:top w:val="single" w:sz="6" w:space="0" w:color="215868"/>
              <w:left w:val="single" w:sz="6" w:space="0" w:color="215868"/>
              <w:bottom w:val="single" w:sz="6" w:space="0" w:color="215868"/>
              <w:right w:val="single" w:sz="6" w:space="0" w:color="215868"/>
            </w:tcBorders>
            <w:shd w:val="clear" w:color="auto" w:fill="FFFFFF"/>
          </w:tcPr>
          <w:p w:rsidR="00052899" w:rsidRDefault="00052899" w:rsidP="00052899">
            <w:pPr>
              <w:rPr>
                <w:rFonts w:eastAsia="Arial Unicode MS" w:cs="Arial"/>
                <w:color w:val="000000"/>
                <w:szCs w:val="22"/>
              </w:rPr>
            </w:pPr>
          </w:p>
        </w:tc>
        <w:tc>
          <w:tcPr>
            <w:tcW w:w="1689"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411" w:name="_Toc377026144"/>
            <w:bookmarkStart w:id="412" w:name="_Toc377543738"/>
            <w:bookmarkStart w:id="413" w:name="_Toc377545331"/>
            <w:r w:rsidRPr="00B40A7C">
              <w:rPr>
                <w:rFonts w:eastAsia="Arial Unicode MS" w:cs="Arial"/>
                <w:color w:val="000000"/>
                <w:szCs w:val="22"/>
                <w:u w:color="000000"/>
              </w:rPr>
              <w:t>Administrative</w:t>
            </w:r>
            <w:bookmarkEnd w:id="411"/>
            <w:bookmarkEnd w:id="412"/>
            <w:bookmarkEnd w:id="413"/>
          </w:p>
          <w:p w:rsidR="00052899" w:rsidRDefault="00052899" w:rsidP="00052899">
            <w:pPr>
              <w:jc w:val="center"/>
              <w:outlineLvl w:val="0"/>
              <w:rPr>
                <w:rFonts w:eastAsia="Arial Unicode MS" w:cs="Arial"/>
                <w:color w:val="000000"/>
                <w:szCs w:val="22"/>
                <w:u w:color="000000"/>
              </w:rPr>
            </w:pPr>
            <w:bookmarkStart w:id="414" w:name="_Toc377026145"/>
            <w:bookmarkStart w:id="415" w:name="_Toc377543739"/>
            <w:bookmarkStart w:id="416" w:name="_Toc377545332"/>
            <w:r w:rsidRPr="00B40A7C">
              <w:rPr>
                <w:rFonts w:eastAsia="Arial Unicode MS" w:cs="Arial"/>
                <w:color w:val="000000"/>
                <w:szCs w:val="22"/>
                <w:u w:color="000000"/>
              </w:rPr>
              <w:t>Data</w:t>
            </w:r>
            <w:bookmarkEnd w:id="414"/>
            <w:bookmarkEnd w:id="415"/>
            <w:bookmarkEnd w:id="416"/>
          </w:p>
        </w:tc>
        <w:tc>
          <w:tcPr>
            <w:tcW w:w="110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rPr>
                <w:rFonts w:cs="Arial"/>
                <w:szCs w:val="22"/>
              </w:rPr>
            </w:pPr>
          </w:p>
        </w:tc>
        <w:tc>
          <w:tcPr>
            <w:tcW w:w="102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rPr>
                <w:rFonts w:cs="Arial"/>
                <w:szCs w:val="22"/>
              </w:rPr>
            </w:pPr>
          </w:p>
        </w:tc>
      </w:tr>
      <w:tr w:rsidR="00052899" w:rsidRPr="00B40A7C">
        <w:trPr>
          <w:cantSplit/>
          <w:trHeight w:val="345"/>
        </w:trPr>
        <w:tc>
          <w:tcPr>
            <w:tcW w:w="1180"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outlineLvl w:val="0"/>
              <w:rPr>
                <w:rFonts w:eastAsia="Arial Unicode MS" w:cs="Arial"/>
                <w:color w:val="000000"/>
                <w:szCs w:val="22"/>
                <w:u w:color="000000"/>
              </w:rPr>
            </w:pPr>
            <w:bookmarkStart w:id="417" w:name="_Toc377026146"/>
            <w:bookmarkStart w:id="418" w:name="_Toc377543740"/>
            <w:bookmarkStart w:id="419" w:name="_Toc377545333"/>
            <w:r w:rsidRPr="00B40A7C">
              <w:rPr>
                <w:rFonts w:eastAsia="Arial Unicode MS" w:cs="Arial"/>
                <w:color w:val="000000"/>
                <w:szCs w:val="22"/>
                <w:u w:color="000000"/>
              </w:rPr>
              <w:t>Total Expenditure on Health (THE) as percentage of GDP</w:t>
            </w:r>
            <w:bookmarkEnd w:id="417"/>
            <w:bookmarkEnd w:id="418"/>
            <w:bookmarkEnd w:id="419"/>
          </w:p>
        </w:tc>
        <w:tc>
          <w:tcPr>
            <w:tcW w:w="1689"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420" w:name="_Toc377026147"/>
            <w:bookmarkStart w:id="421" w:name="_Toc377543741"/>
            <w:bookmarkStart w:id="422" w:name="_Toc377545334"/>
            <w:r w:rsidRPr="00B40A7C">
              <w:rPr>
                <w:rFonts w:eastAsia="Arial Unicode MS" w:cs="Arial"/>
                <w:color w:val="000000"/>
                <w:szCs w:val="22"/>
                <w:u w:color="000000"/>
              </w:rPr>
              <w:t>Other* Ghana National Health Account  2005 &amp; 2010, 2012</w:t>
            </w:r>
            <w:bookmarkEnd w:id="420"/>
            <w:bookmarkEnd w:id="421"/>
            <w:bookmarkEnd w:id="422"/>
          </w:p>
        </w:tc>
        <w:tc>
          <w:tcPr>
            <w:tcW w:w="110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423" w:name="_Toc377026148"/>
            <w:bookmarkStart w:id="424" w:name="_Toc377543742"/>
            <w:bookmarkStart w:id="425" w:name="_Toc377545335"/>
            <w:r w:rsidRPr="009E3797">
              <w:rPr>
                <w:rFonts w:eastAsia="Arial Unicode MS" w:cs="Arial"/>
                <w:color w:val="000000"/>
                <w:szCs w:val="22"/>
                <w:u w:color="000000"/>
              </w:rPr>
              <w:t>3.3</w:t>
            </w:r>
            <w:bookmarkEnd w:id="423"/>
            <w:bookmarkEnd w:id="424"/>
            <w:bookmarkEnd w:id="425"/>
          </w:p>
        </w:tc>
        <w:tc>
          <w:tcPr>
            <w:tcW w:w="102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426" w:name="_Toc377026149"/>
            <w:bookmarkStart w:id="427" w:name="_Toc377543743"/>
            <w:bookmarkStart w:id="428" w:name="_Toc377545336"/>
            <w:r w:rsidRPr="009E3797">
              <w:rPr>
                <w:rFonts w:eastAsia="Arial Unicode MS" w:cs="Arial"/>
                <w:color w:val="000000"/>
                <w:szCs w:val="22"/>
                <w:u w:color="000000"/>
              </w:rPr>
              <w:t>2010</w:t>
            </w:r>
            <w:bookmarkEnd w:id="426"/>
            <w:bookmarkEnd w:id="427"/>
            <w:bookmarkEnd w:id="428"/>
          </w:p>
        </w:tc>
      </w:tr>
      <w:tr w:rsidR="00052899" w:rsidRPr="00B40A7C">
        <w:trPr>
          <w:cantSplit/>
          <w:trHeight w:val="345"/>
        </w:trPr>
        <w:tc>
          <w:tcPr>
            <w:tcW w:w="1180" w:type="pct"/>
            <w:vMerge/>
            <w:tcBorders>
              <w:top w:val="single" w:sz="6" w:space="0" w:color="215868"/>
              <w:left w:val="single" w:sz="6" w:space="0" w:color="215868"/>
              <w:bottom w:val="single" w:sz="6" w:space="0" w:color="215868"/>
              <w:right w:val="single" w:sz="6" w:space="0" w:color="215868"/>
            </w:tcBorders>
            <w:shd w:val="clear" w:color="auto" w:fill="FFFFFF"/>
          </w:tcPr>
          <w:p w:rsidR="00052899" w:rsidRDefault="00052899" w:rsidP="00052899">
            <w:pPr>
              <w:rPr>
                <w:rFonts w:eastAsia="Arial Unicode MS" w:cs="Arial"/>
                <w:color w:val="000000"/>
                <w:szCs w:val="22"/>
              </w:rPr>
            </w:pPr>
          </w:p>
        </w:tc>
        <w:tc>
          <w:tcPr>
            <w:tcW w:w="1689"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429" w:name="_Toc377026150"/>
            <w:bookmarkStart w:id="430" w:name="_Toc377543744"/>
            <w:bookmarkStart w:id="431" w:name="_Toc377545337"/>
            <w:r w:rsidRPr="00B40A7C">
              <w:rPr>
                <w:rFonts w:eastAsia="Arial Unicode MS" w:cs="Arial"/>
                <w:color w:val="000000"/>
                <w:szCs w:val="22"/>
                <w:u w:color="000000"/>
              </w:rPr>
              <w:t>Administrative</w:t>
            </w:r>
            <w:bookmarkEnd w:id="429"/>
            <w:bookmarkEnd w:id="430"/>
            <w:bookmarkEnd w:id="431"/>
          </w:p>
          <w:p w:rsidR="00052899" w:rsidRDefault="00052899" w:rsidP="00052899">
            <w:pPr>
              <w:jc w:val="center"/>
              <w:outlineLvl w:val="0"/>
              <w:rPr>
                <w:rFonts w:eastAsia="Arial Unicode MS" w:cs="Arial"/>
                <w:color w:val="000000"/>
                <w:szCs w:val="22"/>
                <w:u w:color="000000"/>
              </w:rPr>
            </w:pPr>
            <w:bookmarkStart w:id="432" w:name="_Toc377026151"/>
            <w:bookmarkStart w:id="433" w:name="_Toc377543745"/>
            <w:bookmarkStart w:id="434" w:name="_Toc377545338"/>
            <w:r w:rsidRPr="00B40A7C">
              <w:rPr>
                <w:rFonts w:eastAsia="Arial Unicode MS" w:cs="Arial"/>
                <w:color w:val="000000"/>
                <w:szCs w:val="22"/>
                <w:u w:color="000000"/>
              </w:rPr>
              <w:t>Data (2012 PoW)</w:t>
            </w:r>
            <w:bookmarkEnd w:id="432"/>
            <w:bookmarkEnd w:id="433"/>
            <w:bookmarkEnd w:id="434"/>
          </w:p>
        </w:tc>
        <w:tc>
          <w:tcPr>
            <w:tcW w:w="110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435" w:name="_Toc377026152"/>
            <w:bookmarkStart w:id="436" w:name="_Toc377543746"/>
            <w:bookmarkStart w:id="437" w:name="_Toc377545339"/>
            <w:r w:rsidRPr="009E3797">
              <w:rPr>
                <w:rFonts w:eastAsia="Arial Unicode MS" w:cs="Arial"/>
                <w:color w:val="000000"/>
                <w:szCs w:val="22"/>
                <w:u w:color="000000"/>
              </w:rPr>
              <w:t>35.8 (Public sector expenditure)</w:t>
            </w:r>
            <w:bookmarkEnd w:id="435"/>
            <w:bookmarkEnd w:id="436"/>
            <w:bookmarkEnd w:id="437"/>
          </w:p>
        </w:tc>
        <w:tc>
          <w:tcPr>
            <w:tcW w:w="102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438" w:name="_Toc377026153"/>
            <w:bookmarkStart w:id="439" w:name="_Toc377543747"/>
            <w:bookmarkStart w:id="440" w:name="_Toc377545340"/>
            <w:r w:rsidRPr="009E3797">
              <w:rPr>
                <w:rFonts w:eastAsia="Arial Unicode MS" w:cs="Arial"/>
                <w:color w:val="000000"/>
                <w:szCs w:val="22"/>
                <w:u w:color="000000"/>
              </w:rPr>
              <w:t>2012</w:t>
            </w:r>
            <w:bookmarkEnd w:id="438"/>
            <w:bookmarkEnd w:id="439"/>
            <w:bookmarkEnd w:id="440"/>
          </w:p>
        </w:tc>
      </w:tr>
      <w:tr w:rsidR="00052899" w:rsidRPr="00B40A7C">
        <w:trPr>
          <w:cantSplit/>
          <w:trHeight w:val="345"/>
        </w:trPr>
        <w:tc>
          <w:tcPr>
            <w:tcW w:w="1180"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outlineLvl w:val="0"/>
              <w:rPr>
                <w:rFonts w:eastAsia="Arial Unicode MS" w:cs="Arial"/>
                <w:color w:val="000000"/>
                <w:szCs w:val="22"/>
                <w:u w:color="000000"/>
              </w:rPr>
            </w:pPr>
            <w:bookmarkStart w:id="441" w:name="_Toc377026154"/>
            <w:bookmarkStart w:id="442" w:name="_Toc377543748"/>
            <w:bookmarkStart w:id="443" w:name="_Toc377545341"/>
            <w:r w:rsidRPr="00B40A7C">
              <w:rPr>
                <w:rFonts w:eastAsia="Arial Unicode MS" w:cs="Arial"/>
                <w:color w:val="000000"/>
                <w:szCs w:val="22"/>
                <w:u w:color="000000"/>
              </w:rPr>
              <w:t>Per capita expenditure on health</w:t>
            </w:r>
            <w:bookmarkEnd w:id="441"/>
            <w:bookmarkEnd w:id="442"/>
            <w:bookmarkEnd w:id="443"/>
          </w:p>
        </w:tc>
        <w:tc>
          <w:tcPr>
            <w:tcW w:w="1689"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444" w:name="_Toc377026155"/>
            <w:bookmarkStart w:id="445" w:name="_Toc377543749"/>
            <w:bookmarkStart w:id="446" w:name="_Toc377545342"/>
            <w:r w:rsidRPr="00B40A7C">
              <w:rPr>
                <w:rFonts w:eastAsia="Arial Unicode MS" w:cs="Arial"/>
                <w:color w:val="000000"/>
                <w:szCs w:val="22"/>
                <w:u w:color="000000"/>
              </w:rPr>
              <w:t>Other* World Health Report, 2012</w:t>
            </w:r>
            <w:bookmarkEnd w:id="444"/>
            <w:bookmarkEnd w:id="445"/>
            <w:bookmarkEnd w:id="446"/>
          </w:p>
        </w:tc>
        <w:tc>
          <w:tcPr>
            <w:tcW w:w="110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447" w:name="_Toc377026156"/>
            <w:bookmarkStart w:id="448" w:name="_Toc377543750"/>
            <w:bookmarkStart w:id="449" w:name="_Toc377545343"/>
            <w:r w:rsidRPr="009E3797">
              <w:rPr>
                <w:rFonts w:eastAsia="Arial Unicode MS" w:cs="Arial"/>
                <w:color w:val="000000"/>
                <w:szCs w:val="22"/>
                <w:u w:color="000000"/>
              </w:rPr>
              <w:t>54</w:t>
            </w:r>
            <w:bookmarkEnd w:id="447"/>
            <w:bookmarkEnd w:id="448"/>
            <w:bookmarkEnd w:id="449"/>
          </w:p>
        </w:tc>
        <w:tc>
          <w:tcPr>
            <w:tcW w:w="102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450" w:name="_Toc377026157"/>
            <w:bookmarkStart w:id="451" w:name="_Toc377543751"/>
            <w:bookmarkStart w:id="452" w:name="_Toc377545344"/>
            <w:r w:rsidRPr="009E3797">
              <w:rPr>
                <w:rFonts w:eastAsia="Arial Unicode MS" w:cs="Arial"/>
                <w:color w:val="000000"/>
                <w:szCs w:val="22"/>
                <w:u w:color="000000"/>
              </w:rPr>
              <w:t>2012</w:t>
            </w:r>
            <w:bookmarkEnd w:id="450"/>
            <w:bookmarkEnd w:id="451"/>
            <w:bookmarkEnd w:id="452"/>
          </w:p>
        </w:tc>
      </w:tr>
      <w:tr w:rsidR="00052899" w:rsidRPr="00B40A7C">
        <w:trPr>
          <w:cantSplit/>
          <w:trHeight w:val="345"/>
        </w:trPr>
        <w:tc>
          <w:tcPr>
            <w:tcW w:w="1180" w:type="pct"/>
            <w:vMerge/>
            <w:tcBorders>
              <w:top w:val="single" w:sz="6" w:space="0" w:color="215868"/>
              <w:left w:val="single" w:sz="6" w:space="0" w:color="215868"/>
              <w:bottom w:val="single" w:sz="6" w:space="0" w:color="215868"/>
              <w:right w:val="single" w:sz="6" w:space="0" w:color="215868"/>
            </w:tcBorders>
            <w:shd w:val="clear" w:color="auto" w:fill="FFFFFF"/>
          </w:tcPr>
          <w:p w:rsidR="00052899" w:rsidRDefault="00052899" w:rsidP="00052899">
            <w:pPr>
              <w:rPr>
                <w:rFonts w:eastAsia="Arial Unicode MS" w:cs="Arial"/>
                <w:color w:val="000000"/>
                <w:szCs w:val="22"/>
              </w:rPr>
            </w:pPr>
          </w:p>
        </w:tc>
        <w:tc>
          <w:tcPr>
            <w:tcW w:w="1689"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453" w:name="_Toc377026158"/>
            <w:bookmarkStart w:id="454" w:name="_Toc377543752"/>
            <w:bookmarkStart w:id="455" w:name="_Toc377545345"/>
            <w:r w:rsidRPr="00B40A7C">
              <w:rPr>
                <w:rFonts w:eastAsia="Arial Unicode MS" w:cs="Arial"/>
                <w:color w:val="000000"/>
                <w:szCs w:val="22"/>
                <w:u w:color="000000"/>
              </w:rPr>
              <w:t>Ghana National Health Account 2005 &amp; 2010, 2012</w:t>
            </w:r>
            <w:bookmarkEnd w:id="453"/>
            <w:bookmarkEnd w:id="454"/>
            <w:bookmarkEnd w:id="455"/>
          </w:p>
        </w:tc>
        <w:tc>
          <w:tcPr>
            <w:tcW w:w="110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456" w:name="_Toc377026159"/>
            <w:bookmarkStart w:id="457" w:name="_Toc377543753"/>
            <w:bookmarkStart w:id="458" w:name="_Toc377545346"/>
            <w:r w:rsidRPr="009E3797">
              <w:rPr>
                <w:rFonts w:eastAsia="Arial Unicode MS" w:cs="Arial"/>
                <w:color w:val="000000"/>
                <w:szCs w:val="22"/>
                <w:u w:color="000000"/>
              </w:rPr>
              <w:t>GHS57.66</w:t>
            </w:r>
            <w:bookmarkEnd w:id="456"/>
            <w:bookmarkEnd w:id="457"/>
            <w:bookmarkEnd w:id="458"/>
          </w:p>
          <w:p w:rsidR="00052899" w:rsidRDefault="00052899" w:rsidP="00052899">
            <w:pPr>
              <w:pStyle w:val="Body1"/>
              <w:jc w:val="center"/>
              <w:rPr>
                <w:rFonts w:cs="Arial"/>
                <w:szCs w:val="22"/>
              </w:rPr>
            </w:pPr>
            <w:bookmarkStart w:id="459" w:name="_Toc377026160"/>
            <w:bookmarkStart w:id="460" w:name="_Toc377543754"/>
            <w:bookmarkStart w:id="461" w:name="_Toc377545347"/>
            <w:r w:rsidRPr="009E3797">
              <w:rPr>
                <w:rFonts w:cs="Arial"/>
                <w:szCs w:val="22"/>
              </w:rPr>
              <w:t>US$39.12</w:t>
            </w:r>
            <w:bookmarkEnd w:id="459"/>
            <w:bookmarkEnd w:id="460"/>
            <w:bookmarkEnd w:id="461"/>
          </w:p>
        </w:tc>
        <w:tc>
          <w:tcPr>
            <w:tcW w:w="102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462" w:name="_Toc377026161"/>
            <w:bookmarkStart w:id="463" w:name="_Toc377543755"/>
            <w:bookmarkStart w:id="464" w:name="_Toc377545348"/>
            <w:r w:rsidRPr="009E3797">
              <w:rPr>
                <w:rFonts w:eastAsia="Arial Unicode MS" w:cs="Arial"/>
                <w:color w:val="000000"/>
                <w:szCs w:val="22"/>
                <w:u w:color="000000"/>
              </w:rPr>
              <w:t>2010</w:t>
            </w:r>
            <w:bookmarkEnd w:id="462"/>
            <w:bookmarkEnd w:id="463"/>
            <w:bookmarkEnd w:id="464"/>
          </w:p>
        </w:tc>
      </w:tr>
      <w:tr w:rsidR="00052899" w:rsidRPr="00B40A7C">
        <w:trPr>
          <w:cantSplit/>
          <w:trHeight w:val="345"/>
        </w:trPr>
        <w:tc>
          <w:tcPr>
            <w:tcW w:w="1180"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outlineLvl w:val="0"/>
              <w:rPr>
                <w:rFonts w:eastAsia="Arial Unicode MS" w:cs="Arial"/>
                <w:color w:val="000000"/>
                <w:szCs w:val="22"/>
                <w:u w:color="000000"/>
              </w:rPr>
            </w:pPr>
            <w:bookmarkStart w:id="465" w:name="_Toc377026162"/>
            <w:bookmarkStart w:id="466" w:name="_Toc377543756"/>
            <w:bookmarkStart w:id="467" w:name="_Toc377545349"/>
            <w:r w:rsidRPr="00B40A7C">
              <w:rPr>
                <w:rFonts w:eastAsia="Arial Unicode MS" w:cs="Arial"/>
                <w:color w:val="000000"/>
                <w:szCs w:val="22"/>
                <w:u w:color="000000"/>
              </w:rPr>
              <w:t>Total health sector budget for the year of application</w:t>
            </w:r>
            <w:bookmarkEnd w:id="465"/>
            <w:bookmarkEnd w:id="466"/>
            <w:bookmarkEnd w:id="467"/>
          </w:p>
        </w:tc>
        <w:tc>
          <w:tcPr>
            <w:tcW w:w="1689"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468" w:name="_Toc377026163"/>
            <w:bookmarkStart w:id="469" w:name="_Toc377543757"/>
            <w:bookmarkStart w:id="470" w:name="_Toc377545350"/>
            <w:r w:rsidRPr="00B40A7C">
              <w:rPr>
                <w:rFonts w:eastAsia="Arial Unicode MS" w:cs="Arial"/>
                <w:color w:val="000000"/>
                <w:szCs w:val="22"/>
                <w:u w:color="000000"/>
              </w:rPr>
              <w:t>Other*</w:t>
            </w:r>
            <w:bookmarkEnd w:id="468"/>
            <w:bookmarkEnd w:id="469"/>
            <w:bookmarkEnd w:id="470"/>
          </w:p>
          <w:p w:rsidR="00052899" w:rsidRDefault="00052899" w:rsidP="00052899">
            <w:pPr>
              <w:jc w:val="center"/>
              <w:outlineLvl w:val="0"/>
              <w:rPr>
                <w:rFonts w:eastAsia="Arial Unicode MS" w:cs="Arial"/>
                <w:color w:val="000000"/>
                <w:szCs w:val="22"/>
                <w:u w:color="000000"/>
              </w:rPr>
            </w:pPr>
            <w:bookmarkStart w:id="471" w:name="_Toc377026164"/>
            <w:bookmarkStart w:id="472" w:name="_Toc377543758"/>
            <w:bookmarkStart w:id="473" w:name="_Toc377545351"/>
            <w:r w:rsidRPr="00B40A7C">
              <w:rPr>
                <w:rFonts w:eastAsia="Arial Unicode MS" w:cs="Arial"/>
                <w:color w:val="000000"/>
                <w:szCs w:val="22"/>
                <w:u w:color="000000"/>
              </w:rPr>
              <w:t>(state source)</w:t>
            </w:r>
            <w:bookmarkEnd w:id="471"/>
            <w:bookmarkEnd w:id="472"/>
            <w:bookmarkEnd w:id="473"/>
          </w:p>
        </w:tc>
        <w:tc>
          <w:tcPr>
            <w:tcW w:w="110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rPr>
                <w:rFonts w:cs="Arial"/>
                <w:szCs w:val="22"/>
              </w:rPr>
            </w:pPr>
          </w:p>
        </w:tc>
        <w:tc>
          <w:tcPr>
            <w:tcW w:w="102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rPr>
                <w:rFonts w:cs="Arial"/>
                <w:szCs w:val="22"/>
              </w:rPr>
            </w:pPr>
          </w:p>
        </w:tc>
      </w:tr>
      <w:tr w:rsidR="00052899" w:rsidRPr="00B40A7C">
        <w:trPr>
          <w:cantSplit/>
          <w:trHeight w:val="345"/>
        </w:trPr>
        <w:tc>
          <w:tcPr>
            <w:tcW w:w="1180" w:type="pct"/>
            <w:vMerge/>
            <w:tcBorders>
              <w:top w:val="single" w:sz="6" w:space="0" w:color="215868"/>
              <w:left w:val="single" w:sz="6" w:space="0" w:color="215868"/>
              <w:bottom w:val="single" w:sz="6" w:space="0" w:color="215868"/>
              <w:right w:val="single" w:sz="6" w:space="0" w:color="215868"/>
            </w:tcBorders>
            <w:shd w:val="clear" w:color="auto" w:fill="FFFFFF"/>
          </w:tcPr>
          <w:p w:rsidR="00052899" w:rsidRDefault="00052899" w:rsidP="00052899">
            <w:pPr>
              <w:rPr>
                <w:rFonts w:eastAsia="Arial Unicode MS" w:cs="Arial"/>
                <w:color w:val="000000"/>
                <w:szCs w:val="22"/>
              </w:rPr>
            </w:pPr>
          </w:p>
        </w:tc>
        <w:tc>
          <w:tcPr>
            <w:tcW w:w="1689"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474" w:name="_Toc377026165"/>
            <w:bookmarkStart w:id="475" w:name="_Toc377543759"/>
            <w:bookmarkStart w:id="476" w:name="_Toc377545352"/>
            <w:r w:rsidRPr="00B40A7C">
              <w:rPr>
                <w:rFonts w:eastAsia="Arial Unicode MS" w:cs="Arial"/>
                <w:color w:val="000000"/>
                <w:szCs w:val="22"/>
                <w:u w:color="000000"/>
              </w:rPr>
              <w:t>Administrative</w:t>
            </w:r>
            <w:bookmarkEnd w:id="474"/>
            <w:bookmarkEnd w:id="475"/>
            <w:bookmarkEnd w:id="476"/>
          </w:p>
          <w:p w:rsidR="00052899" w:rsidRDefault="00052899" w:rsidP="00052899">
            <w:pPr>
              <w:jc w:val="center"/>
              <w:outlineLvl w:val="0"/>
              <w:rPr>
                <w:rFonts w:eastAsia="Arial Unicode MS" w:cs="Arial"/>
                <w:color w:val="000000"/>
                <w:szCs w:val="22"/>
                <w:u w:color="000000"/>
              </w:rPr>
            </w:pPr>
            <w:bookmarkStart w:id="477" w:name="_Toc377026166"/>
            <w:bookmarkStart w:id="478" w:name="_Toc377543760"/>
            <w:bookmarkStart w:id="479" w:name="_Toc377545353"/>
            <w:r w:rsidRPr="00B40A7C">
              <w:rPr>
                <w:rFonts w:eastAsia="Arial Unicode MS" w:cs="Arial"/>
                <w:color w:val="000000"/>
                <w:szCs w:val="22"/>
                <w:u w:color="000000"/>
              </w:rPr>
              <w:t>Data ((MoH, 2013 Annual Programme of Work)</w:t>
            </w:r>
            <w:bookmarkEnd w:id="477"/>
            <w:bookmarkEnd w:id="478"/>
            <w:bookmarkEnd w:id="479"/>
          </w:p>
        </w:tc>
        <w:tc>
          <w:tcPr>
            <w:tcW w:w="110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480" w:name="_Toc377026167"/>
            <w:bookmarkStart w:id="481" w:name="_Toc377543761"/>
            <w:bookmarkStart w:id="482" w:name="_Toc377545354"/>
            <w:r w:rsidRPr="009E3797">
              <w:rPr>
                <w:rFonts w:eastAsia="Arial Unicode MS" w:cs="Arial"/>
                <w:color w:val="000000"/>
                <w:szCs w:val="22"/>
                <w:u w:color="000000"/>
              </w:rPr>
              <w:t>GHS 3,529.44 MILLION</w:t>
            </w:r>
            <w:bookmarkEnd w:id="480"/>
            <w:bookmarkEnd w:id="481"/>
            <w:bookmarkEnd w:id="482"/>
          </w:p>
        </w:tc>
        <w:tc>
          <w:tcPr>
            <w:tcW w:w="102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483" w:name="_Toc377026168"/>
            <w:bookmarkStart w:id="484" w:name="_Toc377543762"/>
            <w:bookmarkStart w:id="485" w:name="_Toc377545355"/>
            <w:r w:rsidRPr="009E3797">
              <w:rPr>
                <w:rFonts w:eastAsia="Arial Unicode MS" w:cs="Arial"/>
                <w:color w:val="000000"/>
                <w:szCs w:val="22"/>
                <w:u w:color="000000"/>
              </w:rPr>
              <w:t>2013</w:t>
            </w:r>
            <w:bookmarkEnd w:id="483"/>
            <w:bookmarkEnd w:id="484"/>
            <w:bookmarkEnd w:id="485"/>
          </w:p>
        </w:tc>
      </w:tr>
      <w:tr w:rsidR="00052899" w:rsidRPr="00B40A7C">
        <w:trPr>
          <w:cantSplit/>
          <w:trHeight w:val="345"/>
        </w:trPr>
        <w:tc>
          <w:tcPr>
            <w:tcW w:w="1180"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outlineLvl w:val="0"/>
              <w:rPr>
                <w:rFonts w:eastAsia="Arial Unicode MS" w:cs="Arial"/>
                <w:color w:val="000000"/>
                <w:szCs w:val="22"/>
                <w:u w:color="000000"/>
              </w:rPr>
            </w:pPr>
            <w:bookmarkStart w:id="486" w:name="_Toc377026169"/>
            <w:bookmarkStart w:id="487" w:name="_Toc377543763"/>
            <w:bookmarkStart w:id="488" w:name="_Toc377545356"/>
            <w:r w:rsidRPr="00B40A7C">
              <w:rPr>
                <w:rFonts w:eastAsia="Arial Unicode MS" w:cs="Arial"/>
                <w:color w:val="000000"/>
                <w:szCs w:val="22"/>
                <w:u w:color="000000"/>
              </w:rPr>
              <w:t>Percent of the health sector budget funded by the government from domestic sources</w:t>
            </w:r>
            <w:bookmarkEnd w:id="486"/>
            <w:bookmarkEnd w:id="487"/>
            <w:bookmarkEnd w:id="488"/>
          </w:p>
        </w:tc>
        <w:tc>
          <w:tcPr>
            <w:tcW w:w="1689"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489" w:name="_Toc377026170"/>
            <w:bookmarkStart w:id="490" w:name="_Toc377543764"/>
            <w:bookmarkStart w:id="491" w:name="_Toc377545357"/>
            <w:r w:rsidRPr="00B40A7C">
              <w:rPr>
                <w:rFonts w:eastAsia="Arial Unicode MS" w:cs="Arial"/>
                <w:color w:val="000000"/>
                <w:szCs w:val="22"/>
                <w:u w:color="000000"/>
              </w:rPr>
              <w:t>Other*</w:t>
            </w:r>
            <w:bookmarkEnd w:id="489"/>
            <w:bookmarkEnd w:id="490"/>
            <w:bookmarkEnd w:id="491"/>
          </w:p>
          <w:p w:rsidR="00052899" w:rsidRDefault="00052899" w:rsidP="00052899">
            <w:pPr>
              <w:jc w:val="center"/>
              <w:outlineLvl w:val="0"/>
              <w:rPr>
                <w:rFonts w:eastAsia="Arial Unicode MS" w:cs="Arial"/>
                <w:color w:val="000000"/>
                <w:szCs w:val="22"/>
                <w:u w:color="000000"/>
              </w:rPr>
            </w:pPr>
            <w:bookmarkStart w:id="492" w:name="_Toc377026171"/>
            <w:bookmarkStart w:id="493" w:name="_Toc377543765"/>
            <w:bookmarkStart w:id="494" w:name="_Toc377545358"/>
            <w:r w:rsidRPr="00B40A7C">
              <w:rPr>
                <w:rFonts w:eastAsia="Arial Unicode MS" w:cs="Arial"/>
                <w:color w:val="000000"/>
                <w:szCs w:val="22"/>
                <w:u w:color="000000"/>
              </w:rPr>
              <w:t>(state source)</w:t>
            </w:r>
            <w:bookmarkEnd w:id="492"/>
            <w:bookmarkEnd w:id="493"/>
            <w:bookmarkEnd w:id="494"/>
          </w:p>
        </w:tc>
        <w:tc>
          <w:tcPr>
            <w:tcW w:w="110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rPr>
                <w:rFonts w:cs="Arial"/>
                <w:szCs w:val="22"/>
              </w:rPr>
            </w:pPr>
            <w:r>
              <w:rPr>
                <w:rFonts w:cs="Arial"/>
                <w:szCs w:val="22"/>
              </w:rPr>
              <w:t>N/A</w:t>
            </w:r>
          </w:p>
        </w:tc>
        <w:tc>
          <w:tcPr>
            <w:tcW w:w="102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rPr>
                <w:rFonts w:cs="Arial"/>
                <w:szCs w:val="22"/>
              </w:rPr>
            </w:pPr>
            <w:r>
              <w:rPr>
                <w:rFonts w:cs="Arial"/>
                <w:szCs w:val="22"/>
              </w:rPr>
              <w:t>N/A</w:t>
            </w:r>
          </w:p>
        </w:tc>
      </w:tr>
      <w:tr w:rsidR="00052899" w:rsidRPr="00B40A7C">
        <w:trPr>
          <w:cantSplit/>
          <w:trHeight w:val="345"/>
        </w:trPr>
        <w:tc>
          <w:tcPr>
            <w:tcW w:w="1180" w:type="pct"/>
            <w:vMerge/>
            <w:tcBorders>
              <w:top w:val="single" w:sz="6" w:space="0" w:color="215868"/>
              <w:left w:val="single" w:sz="6" w:space="0" w:color="215868"/>
              <w:bottom w:val="single" w:sz="6" w:space="0" w:color="215868"/>
              <w:right w:val="single" w:sz="6" w:space="0" w:color="215868"/>
            </w:tcBorders>
            <w:shd w:val="clear" w:color="auto" w:fill="FFFFFF"/>
          </w:tcPr>
          <w:p w:rsidR="00052899" w:rsidRDefault="00052899" w:rsidP="00052899">
            <w:pPr>
              <w:rPr>
                <w:rFonts w:eastAsia="Arial Unicode MS" w:cs="Arial"/>
                <w:color w:val="000000"/>
                <w:szCs w:val="22"/>
              </w:rPr>
            </w:pPr>
          </w:p>
        </w:tc>
        <w:tc>
          <w:tcPr>
            <w:tcW w:w="1689"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495" w:name="_Toc377026172"/>
            <w:bookmarkStart w:id="496" w:name="_Toc377543766"/>
            <w:bookmarkStart w:id="497" w:name="_Toc377545359"/>
            <w:r w:rsidRPr="00B40A7C">
              <w:rPr>
                <w:rFonts w:eastAsia="Arial Unicode MS" w:cs="Arial"/>
                <w:color w:val="000000"/>
                <w:szCs w:val="22"/>
                <w:u w:color="000000"/>
              </w:rPr>
              <w:t>Administrative</w:t>
            </w:r>
            <w:bookmarkEnd w:id="495"/>
            <w:bookmarkEnd w:id="496"/>
            <w:bookmarkEnd w:id="497"/>
          </w:p>
          <w:p w:rsidR="00052899" w:rsidRDefault="00052899" w:rsidP="00052899">
            <w:pPr>
              <w:jc w:val="center"/>
              <w:outlineLvl w:val="0"/>
              <w:rPr>
                <w:rFonts w:eastAsia="Arial Unicode MS" w:cs="Arial"/>
                <w:color w:val="000000"/>
                <w:szCs w:val="22"/>
                <w:u w:color="000000"/>
              </w:rPr>
            </w:pPr>
            <w:bookmarkStart w:id="498" w:name="_Toc377026173"/>
            <w:bookmarkStart w:id="499" w:name="_Toc377543767"/>
            <w:bookmarkStart w:id="500" w:name="_Toc377545360"/>
            <w:r w:rsidRPr="00B40A7C">
              <w:rPr>
                <w:rFonts w:eastAsia="Arial Unicode MS" w:cs="Arial"/>
                <w:color w:val="000000"/>
                <w:szCs w:val="22"/>
                <w:u w:color="000000"/>
              </w:rPr>
              <w:t>Data</w:t>
            </w:r>
            <w:bookmarkEnd w:id="498"/>
            <w:bookmarkEnd w:id="499"/>
            <w:bookmarkEnd w:id="500"/>
          </w:p>
        </w:tc>
        <w:tc>
          <w:tcPr>
            <w:tcW w:w="110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tcPr>
          <w:p w:rsidR="00052899" w:rsidRDefault="00052899" w:rsidP="00052899">
            <w:pPr>
              <w:jc w:val="center"/>
              <w:rPr>
                <w:rFonts w:cs="Arial"/>
                <w:szCs w:val="22"/>
              </w:rPr>
            </w:pPr>
            <w:r w:rsidRPr="002A241E">
              <w:rPr>
                <w:rFonts w:cs="Arial"/>
                <w:szCs w:val="22"/>
              </w:rPr>
              <w:t>N/A</w:t>
            </w:r>
          </w:p>
        </w:tc>
        <w:tc>
          <w:tcPr>
            <w:tcW w:w="102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tcPr>
          <w:p w:rsidR="00052899" w:rsidRDefault="00052899" w:rsidP="00052899">
            <w:pPr>
              <w:jc w:val="center"/>
              <w:rPr>
                <w:rFonts w:cs="Arial"/>
                <w:szCs w:val="22"/>
              </w:rPr>
            </w:pPr>
            <w:r w:rsidRPr="002A241E">
              <w:rPr>
                <w:rFonts w:cs="Arial"/>
                <w:szCs w:val="22"/>
              </w:rPr>
              <w:t>N/A</w:t>
            </w:r>
          </w:p>
        </w:tc>
      </w:tr>
      <w:tr w:rsidR="00052899" w:rsidRPr="00B40A7C">
        <w:trPr>
          <w:cantSplit/>
          <w:trHeight w:val="345"/>
        </w:trPr>
        <w:tc>
          <w:tcPr>
            <w:tcW w:w="1180"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outlineLvl w:val="0"/>
              <w:rPr>
                <w:rFonts w:eastAsia="Arial Unicode MS" w:cs="Arial"/>
                <w:color w:val="000000"/>
                <w:szCs w:val="22"/>
                <w:u w:color="000000"/>
              </w:rPr>
            </w:pPr>
            <w:bookmarkStart w:id="501" w:name="_Toc377026174"/>
            <w:bookmarkStart w:id="502" w:name="_Toc377543768"/>
            <w:bookmarkStart w:id="503" w:name="_Toc377545361"/>
            <w:r w:rsidRPr="00B40A7C">
              <w:rPr>
                <w:rFonts w:eastAsia="Arial Unicode MS" w:cs="Arial"/>
                <w:color w:val="000000"/>
                <w:szCs w:val="22"/>
                <w:u w:color="000000"/>
              </w:rPr>
              <w:t>Budget of EPI programme for the year of application</w:t>
            </w:r>
            <w:bookmarkEnd w:id="501"/>
            <w:bookmarkEnd w:id="502"/>
            <w:bookmarkEnd w:id="503"/>
          </w:p>
        </w:tc>
        <w:tc>
          <w:tcPr>
            <w:tcW w:w="1689"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504" w:name="_Toc377026175"/>
            <w:bookmarkStart w:id="505" w:name="_Toc377543769"/>
            <w:bookmarkStart w:id="506" w:name="_Toc377545362"/>
            <w:r w:rsidRPr="00B40A7C">
              <w:rPr>
                <w:rFonts w:eastAsia="Arial Unicode MS" w:cs="Arial"/>
                <w:color w:val="000000"/>
                <w:szCs w:val="22"/>
                <w:u w:color="000000"/>
              </w:rPr>
              <w:t>Other*</w:t>
            </w:r>
            <w:bookmarkEnd w:id="504"/>
            <w:bookmarkEnd w:id="505"/>
            <w:bookmarkEnd w:id="506"/>
          </w:p>
          <w:p w:rsidR="00052899" w:rsidRDefault="00052899" w:rsidP="00052899">
            <w:pPr>
              <w:jc w:val="center"/>
              <w:outlineLvl w:val="0"/>
              <w:rPr>
                <w:rFonts w:eastAsia="Arial Unicode MS" w:cs="Arial"/>
                <w:color w:val="000000"/>
                <w:szCs w:val="22"/>
                <w:u w:color="000000"/>
              </w:rPr>
            </w:pPr>
            <w:bookmarkStart w:id="507" w:name="_Toc377026176"/>
            <w:bookmarkStart w:id="508" w:name="_Toc377543770"/>
            <w:bookmarkStart w:id="509" w:name="_Toc377545363"/>
            <w:r w:rsidRPr="00B40A7C">
              <w:rPr>
                <w:rFonts w:eastAsia="Arial Unicode MS" w:cs="Arial"/>
                <w:color w:val="000000"/>
                <w:szCs w:val="22"/>
                <w:u w:color="000000"/>
              </w:rPr>
              <w:t>(state source)</w:t>
            </w:r>
            <w:bookmarkEnd w:id="507"/>
            <w:bookmarkEnd w:id="508"/>
            <w:bookmarkEnd w:id="509"/>
          </w:p>
        </w:tc>
        <w:tc>
          <w:tcPr>
            <w:tcW w:w="110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tcPr>
          <w:p w:rsidR="00052899" w:rsidRDefault="00052899" w:rsidP="00052899">
            <w:pPr>
              <w:jc w:val="center"/>
              <w:rPr>
                <w:rFonts w:cs="Arial"/>
                <w:szCs w:val="22"/>
              </w:rPr>
            </w:pPr>
            <w:r w:rsidRPr="002A241E">
              <w:rPr>
                <w:rFonts w:cs="Arial"/>
                <w:szCs w:val="22"/>
              </w:rPr>
              <w:t>N/A</w:t>
            </w:r>
          </w:p>
        </w:tc>
        <w:tc>
          <w:tcPr>
            <w:tcW w:w="102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tcPr>
          <w:p w:rsidR="00052899" w:rsidRDefault="00052899" w:rsidP="00052899">
            <w:pPr>
              <w:jc w:val="center"/>
              <w:rPr>
                <w:rFonts w:cs="Arial"/>
                <w:szCs w:val="22"/>
              </w:rPr>
            </w:pPr>
            <w:r w:rsidRPr="002A241E">
              <w:rPr>
                <w:rFonts w:cs="Arial"/>
                <w:szCs w:val="22"/>
              </w:rPr>
              <w:t>N/A</w:t>
            </w:r>
          </w:p>
        </w:tc>
      </w:tr>
      <w:tr w:rsidR="00052899" w:rsidRPr="00B40A7C">
        <w:trPr>
          <w:cantSplit/>
          <w:trHeight w:val="345"/>
        </w:trPr>
        <w:tc>
          <w:tcPr>
            <w:tcW w:w="1180" w:type="pct"/>
            <w:vMerge/>
            <w:tcBorders>
              <w:top w:val="single" w:sz="6" w:space="0" w:color="215868"/>
              <w:left w:val="single" w:sz="6" w:space="0" w:color="215868"/>
              <w:bottom w:val="single" w:sz="6" w:space="0" w:color="215868"/>
              <w:right w:val="single" w:sz="6" w:space="0" w:color="215868"/>
            </w:tcBorders>
            <w:shd w:val="clear" w:color="auto" w:fill="FFFFFF"/>
          </w:tcPr>
          <w:p w:rsidR="00052899" w:rsidRDefault="00052899" w:rsidP="00052899">
            <w:pPr>
              <w:rPr>
                <w:rFonts w:eastAsia="Arial Unicode MS" w:cs="Arial"/>
                <w:color w:val="000000"/>
                <w:szCs w:val="22"/>
              </w:rPr>
            </w:pPr>
          </w:p>
        </w:tc>
        <w:tc>
          <w:tcPr>
            <w:tcW w:w="1689"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510" w:name="_Toc377026177"/>
            <w:bookmarkStart w:id="511" w:name="_Toc377543771"/>
            <w:bookmarkStart w:id="512" w:name="_Toc377545364"/>
            <w:r w:rsidRPr="00B40A7C">
              <w:rPr>
                <w:rFonts w:eastAsia="Arial Unicode MS" w:cs="Arial"/>
                <w:color w:val="000000"/>
                <w:szCs w:val="22"/>
                <w:u w:color="000000"/>
              </w:rPr>
              <w:t>Administrative</w:t>
            </w:r>
            <w:bookmarkEnd w:id="510"/>
            <w:bookmarkEnd w:id="511"/>
            <w:bookmarkEnd w:id="512"/>
          </w:p>
          <w:p w:rsidR="00052899" w:rsidRDefault="00052899" w:rsidP="00052899">
            <w:pPr>
              <w:jc w:val="center"/>
              <w:outlineLvl w:val="0"/>
              <w:rPr>
                <w:rFonts w:eastAsia="Arial Unicode MS" w:cs="Arial"/>
                <w:color w:val="000000"/>
                <w:szCs w:val="22"/>
                <w:u w:color="000000"/>
              </w:rPr>
            </w:pPr>
            <w:bookmarkStart w:id="513" w:name="_Toc377026178"/>
            <w:bookmarkStart w:id="514" w:name="_Toc377543772"/>
            <w:bookmarkStart w:id="515" w:name="_Toc377545365"/>
            <w:r w:rsidRPr="00B40A7C">
              <w:rPr>
                <w:rFonts w:eastAsia="Arial Unicode MS" w:cs="Arial"/>
                <w:color w:val="000000"/>
                <w:szCs w:val="22"/>
                <w:u w:color="000000"/>
              </w:rPr>
              <w:t>Data</w:t>
            </w:r>
            <w:bookmarkEnd w:id="513"/>
            <w:bookmarkEnd w:id="514"/>
            <w:bookmarkEnd w:id="515"/>
          </w:p>
        </w:tc>
        <w:tc>
          <w:tcPr>
            <w:tcW w:w="110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tcPr>
          <w:p w:rsidR="00052899" w:rsidRDefault="00052899" w:rsidP="00052899">
            <w:pPr>
              <w:jc w:val="center"/>
              <w:rPr>
                <w:rFonts w:cs="Arial"/>
                <w:szCs w:val="22"/>
              </w:rPr>
            </w:pPr>
            <w:r w:rsidRPr="002A241E">
              <w:rPr>
                <w:rFonts w:cs="Arial"/>
                <w:szCs w:val="22"/>
              </w:rPr>
              <w:t>N/A</w:t>
            </w:r>
          </w:p>
        </w:tc>
        <w:tc>
          <w:tcPr>
            <w:tcW w:w="102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tcPr>
          <w:p w:rsidR="00052899" w:rsidRDefault="00052899" w:rsidP="00052899">
            <w:pPr>
              <w:jc w:val="center"/>
              <w:rPr>
                <w:rFonts w:cs="Arial"/>
                <w:szCs w:val="22"/>
              </w:rPr>
            </w:pPr>
            <w:r w:rsidRPr="002A241E">
              <w:rPr>
                <w:rFonts w:cs="Arial"/>
                <w:szCs w:val="22"/>
              </w:rPr>
              <w:t>N/A</w:t>
            </w:r>
          </w:p>
        </w:tc>
      </w:tr>
      <w:tr w:rsidR="00052899" w:rsidRPr="00B40A7C">
        <w:trPr>
          <w:cantSplit/>
          <w:trHeight w:val="345"/>
        </w:trPr>
        <w:tc>
          <w:tcPr>
            <w:tcW w:w="1180"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outlineLvl w:val="0"/>
              <w:rPr>
                <w:rFonts w:eastAsia="Arial Unicode MS" w:cs="Arial"/>
                <w:color w:val="000000"/>
                <w:szCs w:val="22"/>
                <w:u w:color="000000"/>
              </w:rPr>
            </w:pPr>
            <w:bookmarkStart w:id="516" w:name="_Toc377026179"/>
            <w:bookmarkStart w:id="517" w:name="_Toc377543773"/>
            <w:bookmarkStart w:id="518" w:name="_Toc377545366"/>
            <w:r w:rsidRPr="00B40A7C">
              <w:rPr>
                <w:rFonts w:eastAsia="Arial Unicode MS" w:cs="Arial"/>
                <w:color w:val="000000"/>
                <w:szCs w:val="22"/>
                <w:u w:color="000000"/>
              </w:rPr>
              <w:t>Percent of sub national level facilities with cold chain capacities fit for purpose (based on WHO definition “fit for purpose”)</w:t>
            </w:r>
            <w:bookmarkEnd w:id="516"/>
            <w:bookmarkEnd w:id="517"/>
            <w:bookmarkEnd w:id="518"/>
          </w:p>
        </w:tc>
        <w:tc>
          <w:tcPr>
            <w:tcW w:w="1689"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519" w:name="_Toc377026180"/>
            <w:bookmarkStart w:id="520" w:name="_Toc377543774"/>
            <w:bookmarkStart w:id="521" w:name="_Toc377545367"/>
            <w:r w:rsidRPr="00B40A7C">
              <w:rPr>
                <w:rFonts w:eastAsia="Arial Unicode MS" w:cs="Arial"/>
                <w:color w:val="000000"/>
                <w:szCs w:val="22"/>
                <w:u w:color="000000"/>
              </w:rPr>
              <w:t>Other* Cold Chain Utilization  Analysis: By ACCEMTURE Project, Bill and Melinda Gates Foundation</w:t>
            </w:r>
            <w:bookmarkEnd w:id="519"/>
            <w:bookmarkEnd w:id="520"/>
            <w:bookmarkEnd w:id="521"/>
          </w:p>
          <w:p w:rsidR="00052899" w:rsidRDefault="00052899" w:rsidP="00052899">
            <w:pPr>
              <w:jc w:val="center"/>
              <w:outlineLvl w:val="0"/>
              <w:rPr>
                <w:rFonts w:eastAsia="Arial Unicode MS" w:cs="Arial"/>
                <w:color w:val="000000"/>
                <w:szCs w:val="22"/>
                <w:u w:color="000000"/>
              </w:rPr>
            </w:pPr>
            <w:bookmarkStart w:id="522" w:name="_Toc377026181"/>
            <w:bookmarkStart w:id="523" w:name="_Toc377543775"/>
            <w:bookmarkStart w:id="524" w:name="_Toc377545368"/>
            <w:r w:rsidRPr="00B40A7C">
              <w:rPr>
                <w:rFonts w:eastAsia="Arial Unicode MS" w:cs="Arial"/>
                <w:color w:val="000000"/>
                <w:szCs w:val="22"/>
                <w:u w:color="000000"/>
              </w:rPr>
              <w:t>(state source)</w:t>
            </w:r>
            <w:bookmarkEnd w:id="522"/>
            <w:bookmarkEnd w:id="523"/>
            <w:bookmarkEnd w:id="524"/>
          </w:p>
        </w:tc>
        <w:tc>
          <w:tcPr>
            <w:tcW w:w="110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525" w:name="_Toc377026182"/>
            <w:bookmarkStart w:id="526" w:name="_Toc377543776"/>
            <w:bookmarkStart w:id="527" w:name="_Toc377545369"/>
            <w:r w:rsidRPr="009E3797">
              <w:rPr>
                <w:rFonts w:eastAsia="Arial Unicode MS" w:cs="Arial"/>
                <w:color w:val="000000"/>
                <w:szCs w:val="22"/>
                <w:u w:color="000000"/>
              </w:rPr>
              <w:t>65%</w:t>
            </w:r>
            <w:bookmarkEnd w:id="525"/>
            <w:bookmarkEnd w:id="526"/>
            <w:bookmarkEnd w:id="527"/>
          </w:p>
        </w:tc>
        <w:tc>
          <w:tcPr>
            <w:tcW w:w="102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528" w:name="_Toc377026183"/>
            <w:bookmarkStart w:id="529" w:name="_Toc377543777"/>
            <w:bookmarkStart w:id="530" w:name="_Toc377545370"/>
            <w:r w:rsidRPr="009E3797">
              <w:rPr>
                <w:rFonts w:eastAsia="Arial Unicode MS" w:cs="Arial"/>
                <w:color w:val="000000"/>
                <w:szCs w:val="22"/>
                <w:u w:color="000000"/>
              </w:rPr>
              <w:t>2013</w:t>
            </w:r>
            <w:bookmarkEnd w:id="528"/>
            <w:bookmarkEnd w:id="529"/>
            <w:bookmarkEnd w:id="530"/>
          </w:p>
        </w:tc>
      </w:tr>
      <w:tr w:rsidR="00052899" w:rsidRPr="00B40A7C">
        <w:trPr>
          <w:cantSplit/>
          <w:trHeight w:val="345"/>
        </w:trPr>
        <w:tc>
          <w:tcPr>
            <w:tcW w:w="1180" w:type="pct"/>
            <w:vMerge/>
            <w:tcBorders>
              <w:top w:val="single" w:sz="6" w:space="0" w:color="215868"/>
              <w:left w:val="single" w:sz="6" w:space="0" w:color="215868"/>
              <w:bottom w:val="single" w:sz="6" w:space="0" w:color="215868"/>
              <w:right w:val="single" w:sz="6" w:space="0" w:color="215868"/>
            </w:tcBorders>
            <w:shd w:val="clear" w:color="auto" w:fill="FFFFFF"/>
          </w:tcPr>
          <w:p w:rsidR="00052899" w:rsidRDefault="00052899" w:rsidP="00052899">
            <w:pPr>
              <w:rPr>
                <w:rFonts w:eastAsia="Arial Unicode MS" w:cs="Arial"/>
                <w:color w:val="000000"/>
                <w:szCs w:val="22"/>
              </w:rPr>
            </w:pPr>
          </w:p>
        </w:tc>
        <w:tc>
          <w:tcPr>
            <w:tcW w:w="1689"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531" w:name="_Toc377026184"/>
            <w:bookmarkStart w:id="532" w:name="_Toc377543778"/>
            <w:bookmarkStart w:id="533" w:name="_Toc377545371"/>
            <w:r w:rsidRPr="00B40A7C">
              <w:rPr>
                <w:rFonts w:eastAsia="Arial Unicode MS" w:cs="Arial"/>
                <w:color w:val="000000"/>
                <w:szCs w:val="22"/>
                <w:u w:color="000000"/>
              </w:rPr>
              <w:t>Administrative</w:t>
            </w:r>
            <w:bookmarkEnd w:id="531"/>
            <w:bookmarkEnd w:id="532"/>
            <w:bookmarkEnd w:id="533"/>
          </w:p>
          <w:p w:rsidR="00052899" w:rsidRDefault="00052899" w:rsidP="00052899">
            <w:pPr>
              <w:jc w:val="center"/>
              <w:outlineLvl w:val="0"/>
              <w:rPr>
                <w:rFonts w:eastAsia="Arial Unicode MS" w:cs="Arial"/>
                <w:color w:val="000000"/>
                <w:szCs w:val="22"/>
                <w:u w:color="000000"/>
              </w:rPr>
            </w:pPr>
            <w:bookmarkStart w:id="534" w:name="_Toc377026185"/>
            <w:bookmarkStart w:id="535" w:name="_Toc377543779"/>
            <w:bookmarkStart w:id="536" w:name="_Toc377545372"/>
            <w:r w:rsidRPr="00B40A7C">
              <w:rPr>
                <w:rFonts w:eastAsia="Arial Unicode MS" w:cs="Arial"/>
                <w:color w:val="000000"/>
                <w:szCs w:val="22"/>
                <w:u w:color="000000"/>
              </w:rPr>
              <w:t>Data</w:t>
            </w:r>
            <w:bookmarkEnd w:id="534"/>
            <w:bookmarkEnd w:id="535"/>
            <w:bookmarkEnd w:id="536"/>
          </w:p>
        </w:tc>
        <w:tc>
          <w:tcPr>
            <w:tcW w:w="110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tcPr>
          <w:p w:rsidR="00052899" w:rsidRDefault="00052899" w:rsidP="00052899">
            <w:pPr>
              <w:jc w:val="center"/>
              <w:rPr>
                <w:rFonts w:cs="Arial"/>
                <w:szCs w:val="22"/>
              </w:rPr>
            </w:pPr>
            <w:r w:rsidRPr="00865BD3">
              <w:rPr>
                <w:rFonts w:cs="Arial"/>
                <w:szCs w:val="22"/>
              </w:rPr>
              <w:t>N/A</w:t>
            </w:r>
          </w:p>
        </w:tc>
        <w:tc>
          <w:tcPr>
            <w:tcW w:w="102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tcPr>
          <w:p w:rsidR="00052899" w:rsidRDefault="00052899" w:rsidP="00052899">
            <w:pPr>
              <w:jc w:val="center"/>
              <w:rPr>
                <w:rFonts w:cs="Arial"/>
                <w:szCs w:val="22"/>
              </w:rPr>
            </w:pPr>
            <w:r w:rsidRPr="00865BD3">
              <w:rPr>
                <w:rFonts w:cs="Arial"/>
                <w:szCs w:val="22"/>
              </w:rPr>
              <w:t>N/A</w:t>
            </w:r>
          </w:p>
        </w:tc>
      </w:tr>
      <w:tr w:rsidR="00052899" w:rsidRPr="00B40A7C">
        <w:trPr>
          <w:cantSplit/>
          <w:trHeight w:val="345"/>
        </w:trPr>
        <w:tc>
          <w:tcPr>
            <w:tcW w:w="1180" w:type="pct"/>
            <w:vMerge w:val="restar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outlineLvl w:val="0"/>
              <w:rPr>
                <w:rFonts w:eastAsia="Arial Unicode MS" w:cs="Arial"/>
                <w:color w:val="000000"/>
                <w:szCs w:val="22"/>
                <w:u w:color="000000"/>
              </w:rPr>
            </w:pPr>
            <w:bookmarkStart w:id="537" w:name="_Toc377026186"/>
            <w:bookmarkStart w:id="538" w:name="_Toc377543780"/>
            <w:bookmarkStart w:id="539" w:name="_Toc377545373"/>
            <w:r w:rsidRPr="00B40A7C">
              <w:rPr>
                <w:rFonts w:eastAsia="Arial Unicode MS" w:cs="Arial"/>
                <w:color w:val="000000"/>
                <w:szCs w:val="22"/>
                <w:u w:color="000000"/>
              </w:rPr>
              <w:t>Timeliness and completeness of facility and district (or equivalent) reporting</w:t>
            </w:r>
            <w:bookmarkEnd w:id="537"/>
            <w:bookmarkEnd w:id="538"/>
            <w:bookmarkEnd w:id="539"/>
          </w:p>
        </w:tc>
        <w:tc>
          <w:tcPr>
            <w:tcW w:w="1689"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540" w:name="_Toc377026187"/>
            <w:bookmarkStart w:id="541" w:name="_Toc377543781"/>
            <w:bookmarkStart w:id="542" w:name="_Toc377545374"/>
            <w:r w:rsidRPr="00B40A7C">
              <w:rPr>
                <w:rFonts w:eastAsia="Arial Unicode MS" w:cs="Arial"/>
                <w:color w:val="000000"/>
                <w:szCs w:val="22"/>
                <w:u w:color="000000"/>
              </w:rPr>
              <w:t>Other*</w:t>
            </w:r>
            <w:bookmarkEnd w:id="540"/>
            <w:bookmarkEnd w:id="541"/>
            <w:bookmarkEnd w:id="542"/>
          </w:p>
          <w:p w:rsidR="00052899" w:rsidRDefault="00052899" w:rsidP="00052899">
            <w:pPr>
              <w:jc w:val="center"/>
              <w:outlineLvl w:val="0"/>
              <w:rPr>
                <w:rFonts w:eastAsia="Arial Unicode MS" w:cs="Arial"/>
                <w:color w:val="000000"/>
                <w:szCs w:val="22"/>
                <w:u w:color="000000"/>
              </w:rPr>
            </w:pPr>
            <w:bookmarkStart w:id="543" w:name="_Toc377026188"/>
            <w:bookmarkStart w:id="544" w:name="_Toc377543782"/>
            <w:bookmarkStart w:id="545" w:name="_Toc377545375"/>
            <w:r w:rsidRPr="00B40A7C">
              <w:rPr>
                <w:rFonts w:eastAsia="Arial Unicode MS" w:cs="Arial"/>
                <w:color w:val="000000"/>
                <w:szCs w:val="22"/>
                <w:u w:color="000000"/>
              </w:rPr>
              <w:t>(state source)</w:t>
            </w:r>
            <w:bookmarkEnd w:id="543"/>
            <w:bookmarkEnd w:id="544"/>
            <w:bookmarkEnd w:id="545"/>
          </w:p>
        </w:tc>
        <w:tc>
          <w:tcPr>
            <w:tcW w:w="110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tcPr>
          <w:p w:rsidR="00052899" w:rsidRDefault="00052899" w:rsidP="00052899">
            <w:pPr>
              <w:jc w:val="center"/>
              <w:rPr>
                <w:rFonts w:cs="Arial"/>
                <w:szCs w:val="22"/>
              </w:rPr>
            </w:pPr>
            <w:r w:rsidRPr="00865BD3">
              <w:rPr>
                <w:rFonts w:cs="Arial"/>
                <w:szCs w:val="22"/>
              </w:rPr>
              <w:t>N/A</w:t>
            </w:r>
          </w:p>
        </w:tc>
        <w:tc>
          <w:tcPr>
            <w:tcW w:w="102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tcPr>
          <w:p w:rsidR="00052899" w:rsidRDefault="00052899" w:rsidP="00052899">
            <w:pPr>
              <w:jc w:val="center"/>
              <w:rPr>
                <w:rFonts w:cs="Arial"/>
                <w:szCs w:val="22"/>
              </w:rPr>
            </w:pPr>
            <w:r w:rsidRPr="00865BD3">
              <w:rPr>
                <w:rFonts w:cs="Arial"/>
                <w:szCs w:val="22"/>
              </w:rPr>
              <w:t>N/A</w:t>
            </w:r>
          </w:p>
        </w:tc>
      </w:tr>
      <w:tr w:rsidR="00052899" w:rsidRPr="00B40A7C">
        <w:trPr>
          <w:cantSplit/>
          <w:trHeight w:val="345"/>
        </w:trPr>
        <w:tc>
          <w:tcPr>
            <w:tcW w:w="1180" w:type="pct"/>
            <w:vMerge/>
            <w:tcBorders>
              <w:top w:val="single" w:sz="6" w:space="0" w:color="215868"/>
              <w:left w:val="single" w:sz="6" w:space="0" w:color="215868"/>
              <w:bottom w:val="single" w:sz="6" w:space="0" w:color="215868"/>
              <w:right w:val="single" w:sz="6" w:space="0" w:color="215868"/>
            </w:tcBorders>
            <w:shd w:val="clear" w:color="auto" w:fill="FFFFFF"/>
          </w:tcPr>
          <w:p w:rsidR="00052899" w:rsidRPr="00B40A7C" w:rsidRDefault="00052899" w:rsidP="00052899">
            <w:pPr>
              <w:jc w:val="both"/>
              <w:rPr>
                <w:rFonts w:eastAsia="Arial Unicode MS" w:cs="Arial"/>
                <w:color w:val="000000"/>
                <w:szCs w:val="22"/>
              </w:rPr>
            </w:pPr>
          </w:p>
        </w:tc>
        <w:tc>
          <w:tcPr>
            <w:tcW w:w="1689"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Default="00052899" w:rsidP="00052899">
            <w:pPr>
              <w:jc w:val="center"/>
              <w:outlineLvl w:val="0"/>
              <w:rPr>
                <w:rFonts w:eastAsia="Arial Unicode MS" w:cs="Arial"/>
                <w:color w:val="000000"/>
                <w:szCs w:val="22"/>
                <w:u w:color="000000"/>
              </w:rPr>
            </w:pPr>
            <w:bookmarkStart w:id="546" w:name="_Toc377026189"/>
            <w:bookmarkStart w:id="547" w:name="_Toc377543783"/>
            <w:bookmarkStart w:id="548" w:name="_Toc377545376"/>
            <w:r w:rsidRPr="009E3797">
              <w:rPr>
                <w:rFonts w:eastAsia="Arial Unicode MS" w:cs="Arial"/>
                <w:color w:val="000000"/>
                <w:szCs w:val="22"/>
                <w:u w:color="000000"/>
              </w:rPr>
              <w:t>Administrative</w:t>
            </w:r>
            <w:bookmarkEnd w:id="546"/>
            <w:bookmarkEnd w:id="547"/>
            <w:bookmarkEnd w:id="548"/>
          </w:p>
          <w:p w:rsidR="00052899" w:rsidRDefault="00052899" w:rsidP="00052899">
            <w:pPr>
              <w:jc w:val="center"/>
              <w:outlineLvl w:val="0"/>
              <w:rPr>
                <w:rFonts w:eastAsia="Arial Unicode MS" w:cs="Arial"/>
                <w:b/>
                <w:color w:val="000000"/>
                <w:szCs w:val="22"/>
                <w:u w:color="000000"/>
              </w:rPr>
            </w:pPr>
            <w:bookmarkStart w:id="549" w:name="_Toc377026190"/>
            <w:bookmarkStart w:id="550" w:name="_Toc377543784"/>
            <w:bookmarkStart w:id="551" w:name="_Toc377545377"/>
            <w:r w:rsidRPr="009E3797">
              <w:rPr>
                <w:rFonts w:eastAsia="Arial Unicode MS" w:cs="Arial"/>
                <w:color w:val="000000"/>
                <w:szCs w:val="22"/>
                <w:u w:color="000000"/>
              </w:rPr>
              <w:t>Data (2012 PoW Performance</w:t>
            </w:r>
            <w:r w:rsidRPr="00B40A7C">
              <w:rPr>
                <w:rFonts w:eastAsia="Arial Unicode MS" w:cs="Arial"/>
                <w:b/>
                <w:color w:val="000000"/>
                <w:szCs w:val="22"/>
                <w:u w:color="000000"/>
              </w:rPr>
              <w:t>)</w:t>
            </w:r>
            <w:bookmarkEnd w:id="549"/>
            <w:bookmarkEnd w:id="550"/>
            <w:bookmarkEnd w:id="551"/>
          </w:p>
        </w:tc>
        <w:tc>
          <w:tcPr>
            <w:tcW w:w="1104"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552" w:name="_Toc377026191"/>
            <w:bookmarkStart w:id="553" w:name="_Toc377543785"/>
            <w:bookmarkStart w:id="554" w:name="_Toc377545378"/>
            <w:r w:rsidRPr="009E3797">
              <w:rPr>
                <w:rFonts w:eastAsia="Arial Unicode MS" w:cs="Arial"/>
                <w:color w:val="000000"/>
                <w:szCs w:val="22"/>
                <w:u w:color="000000"/>
              </w:rPr>
              <w:t>82</w:t>
            </w:r>
            <w:bookmarkEnd w:id="552"/>
            <w:bookmarkEnd w:id="553"/>
            <w:bookmarkEnd w:id="554"/>
          </w:p>
        </w:tc>
        <w:tc>
          <w:tcPr>
            <w:tcW w:w="1027" w:type="pct"/>
            <w:tcBorders>
              <w:top w:val="single" w:sz="6" w:space="0" w:color="215868"/>
              <w:left w:val="single" w:sz="6" w:space="0" w:color="215868"/>
              <w:bottom w:val="single" w:sz="6" w:space="0" w:color="215868"/>
              <w:right w:val="single" w:sz="6" w:space="0" w:color="215868"/>
            </w:tcBorders>
            <w:shd w:val="clear" w:color="auto" w:fill="FFFFFF"/>
            <w:tcMar>
              <w:top w:w="80" w:type="dxa"/>
              <w:left w:w="0" w:type="dxa"/>
              <w:bottom w:w="80" w:type="dxa"/>
              <w:right w:w="0" w:type="dxa"/>
            </w:tcMar>
            <w:vAlign w:val="center"/>
          </w:tcPr>
          <w:p w:rsidR="00052899" w:rsidRPr="009E3797" w:rsidRDefault="00052899" w:rsidP="00052899">
            <w:pPr>
              <w:jc w:val="center"/>
              <w:outlineLvl w:val="0"/>
              <w:rPr>
                <w:rFonts w:eastAsia="Arial Unicode MS" w:cs="Arial"/>
                <w:color w:val="000000"/>
                <w:szCs w:val="22"/>
                <w:u w:color="000000"/>
              </w:rPr>
            </w:pPr>
            <w:bookmarkStart w:id="555" w:name="_Toc377026192"/>
            <w:bookmarkStart w:id="556" w:name="_Toc377543786"/>
            <w:bookmarkStart w:id="557" w:name="_Toc377545379"/>
            <w:r w:rsidRPr="009E3797">
              <w:rPr>
                <w:rFonts w:eastAsia="Arial Unicode MS" w:cs="Arial"/>
                <w:color w:val="000000"/>
                <w:szCs w:val="22"/>
                <w:u w:color="000000"/>
              </w:rPr>
              <w:t>2012</w:t>
            </w:r>
            <w:bookmarkEnd w:id="555"/>
            <w:bookmarkEnd w:id="556"/>
            <w:bookmarkEnd w:id="557"/>
          </w:p>
        </w:tc>
      </w:tr>
    </w:tbl>
    <w:p w:rsidR="00000000" w:rsidRDefault="00B02BEF">
      <w:pPr>
        <w:jc w:val="both"/>
        <w:rPr>
          <w:rFonts w:cs="Arial"/>
          <w:szCs w:val="22"/>
        </w:rPr>
      </w:pPr>
    </w:p>
    <w:tbl>
      <w:tblPr>
        <w:tblW w:w="5000" w:type="pct"/>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9576"/>
      </w:tblGrid>
      <w:tr w:rsidR="00052899" w:rsidRPr="00B40A7C">
        <w:tc>
          <w:tcPr>
            <w:tcW w:w="5000" w:type="pct"/>
            <w:shd w:val="clear" w:color="auto" w:fill="006460"/>
          </w:tcPr>
          <w:p w:rsidR="00052899" w:rsidRDefault="00052899" w:rsidP="00052899">
            <w:pPr>
              <w:pStyle w:val="Heading1"/>
              <w:rPr>
                <w:rFonts w:cs="Arial"/>
                <w:szCs w:val="22"/>
              </w:rPr>
            </w:pPr>
            <w:bookmarkStart w:id="558" w:name="_Toc346116637"/>
            <w:bookmarkStart w:id="559" w:name="_Toc372016095"/>
            <w:bookmarkStart w:id="560" w:name="_Toc372099689"/>
            <w:bookmarkStart w:id="561" w:name="_Toc377545380"/>
            <w:r w:rsidRPr="00291E76">
              <w:t>6. DESCRIPTION OF THE NATIONAL HEALTH SECTOR</w:t>
            </w:r>
            <w:bookmarkEnd w:id="558"/>
            <w:bookmarkEnd w:id="559"/>
            <w:bookmarkEnd w:id="560"/>
            <w:bookmarkEnd w:id="561"/>
            <w:r w:rsidRPr="002E292E">
              <w:rPr>
                <w:rStyle w:val="Heading2Char"/>
                <w:rFonts w:ascii="Arial" w:hAnsi="Arial" w:cs="Arial"/>
                <w:b/>
                <w:color w:val="FFFFFF"/>
                <w:sz w:val="22"/>
                <w:szCs w:val="22"/>
              </w:rPr>
              <w:t xml:space="preserve"> </w:t>
            </w:r>
          </w:p>
        </w:tc>
      </w:tr>
      <w:tr w:rsidR="00052899" w:rsidRPr="00B40A7C">
        <w:tc>
          <w:tcPr>
            <w:tcW w:w="5000" w:type="pct"/>
            <w:shd w:val="clear" w:color="auto" w:fill="auto"/>
          </w:tcPr>
          <w:p w:rsidR="00052899" w:rsidRPr="00B40A7C" w:rsidRDefault="00052899" w:rsidP="00052899">
            <w:pPr>
              <w:jc w:val="both"/>
              <w:rPr>
                <w:rFonts w:cs="Arial"/>
                <w:b/>
                <w:szCs w:val="22"/>
              </w:rPr>
            </w:pPr>
            <w:r w:rsidRPr="00B40A7C">
              <w:rPr>
                <w:rFonts w:cs="Arial"/>
                <w:b/>
                <w:szCs w:val="22"/>
              </w:rPr>
              <w:t xml:space="preserve">The </w:t>
            </w:r>
            <w:r w:rsidRPr="009E3797">
              <w:rPr>
                <w:rFonts w:cs="Arial"/>
                <w:b/>
                <w:szCs w:val="22"/>
              </w:rPr>
              <w:t xml:space="preserve">National Health Sector </w:t>
            </w:r>
          </w:p>
          <w:p w:rsidR="00052899" w:rsidRPr="00B40A7C" w:rsidRDefault="00052899" w:rsidP="00202C1C">
            <w:pPr>
              <w:tabs>
                <w:tab w:val="left" w:pos="1620"/>
              </w:tabs>
              <w:jc w:val="both"/>
              <w:rPr>
                <w:rFonts w:cs="Arial"/>
                <w:szCs w:val="22"/>
              </w:rPr>
            </w:pPr>
            <w:r w:rsidRPr="00B40A7C">
              <w:rPr>
                <w:rFonts w:cs="Arial"/>
                <w:szCs w:val="22"/>
              </w:rPr>
              <w:t>The health sector of Ghana is decentralized with established mechanisms to ensure coordination of policy formulation, resource mobilization, implementation, monitoring and evaluation of activities (CMAIII, 2010: pp 9).</w:t>
            </w:r>
            <w:r>
              <w:rPr>
                <w:rFonts w:cs="Arial"/>
                <w:szCs w:val="22"/>
              </w:rPr>
              <w:t xml:space="preserve"> </w:t>
            </w:r>
            <w:r w:rsidR="007E2F70">
              <w:rPr>
                <w:rFonts w:cs="Arial"/>
                <w:szCs w:val="22"/>
              </w:rPr>
              <w:t>H</w:t>
            </w:r>
            <w:r w:rsidR="00202C1C">
              <w:rPr>
                <w:rFonts w:cs="Arial"/>
                <w:szCs w:val="22"/>
              </w:rPr>
              <w:t>ealth workers are</w:t>
            </w:r>
            <w:r w:rsidR="007E2F70">
              <w:rPr>
                <w:rFonts w:cs="Arial"/>
                <w:szCs w:val="22"/>
              </w:rPr>
              <w:t xml:space="preserve"> recruited; train</w:t>
            </w:r>
            <w:r w:rsidR="00202C1C">
              <w:rPr>
                <w:rFonts w:cs="Arial"/>
                <w:szCs w:val="22"/>
              </w:rPr>
              <w:t>ed</w:t>
            </w:r>
            <w:r w:rsidR="007E2F70">
              <w:rPr>
                <w:rFonts w:cs="Arial"/>
                <w:szCs w:val="22"/>
              </w:rPr>
              <w:t>, post</w:t>
            </w:r>
            <w:r w:rsidR="00202C1C">
              <w:rPr>
                <w:rFonts w:cs="Arial"/>
                <w:szCs w:val="22"/>
              </w:rPr>
              <w:t>ed</w:t>
            </w:r>
            <w:r w:rsidR="007E2F70">
              <w:rPr>
                <w:rFonts w:cs="Arial"/>
                <w:szCs w:val="22"/>
              </w:rPr>
              <w:t xml:space="preserve"> and remunerat</w:t>
            </w:r>
            <w:r w:rsidR="00202C1C">
              <w:rPr>
                <w:rFonts w:cs="Arial"/>
                <w:szCs w:val="22"/>
              </w:rPr>
              <w:t>ed</w:t>
            </w:r>
            <w:r w:rsidR="007E2F70">
              <w:rPr>
                <w:rFonts w:cs="Arial"/>
                <w:szCs w:val="22"/>
              </w:rPr>
              <w:t xml:space="preserve"> at the central level. Key commodities for service delivery are procured centrally and distributed through the Regional Medical Stores to the District and health facilities. Financial management is decentralised up to the district level with sub</w:t>
            </w:r>
            <w:r w:rsidR="002B5B84">
              <w:rPr>
                <w:rFonts w:cs="Arial"/>
                <w:szCs w:val="22"/>
              </w:rPr>
              <w:t xml:space="preserve"> </w:t>
            </w:r>
            <w:r w:rsidR="007E2F70">
              <w:rPr>
                <w:rFonts w:cs="Arial"/>
                <w:szCs w:val="22"/>
              </w:rPr>
              <w:t xml:space="preserve">districts and CHPS zones managed by the DHMTs </w:t>
            </w:r>
          </w:p>
          <w:p w:rsidR="00052899" w:rsidRPr="00B40A7C" w:rsidRDefault="00B97BDB" w:rsidP="00052899">
            <w:pPr>
              <w:jc w:val="both"/>
              <w:rPr>
                <w:rFonts w:cs="Arial"/>
                <w:szCs w:val="22"/>
              </w:rPr>
            </w:pPr>
            <w:r>
              <w:rPr>
                <w:rFonts w:cs="Arial"/>
                <w:noProof/>
                <w:szCs w:val="22"/>
                <w:lang w:val="en-CA" w:eastAsia="en-CA"/>
              </w:rPr>
              <w:pict>
                <v:shapetype id="_x0000_t32" coordsize="21600,21600" o:spt="32" o:oned="t" path="m,l21600,21600e" filled="f">
                  <v:path arrowok="t" fillok="f" o:connecttype="none"/>
                  <o:lock v:ext="edit" shapetype="t"/>
                </v:shapetype>
                <v:shape id="_x0000_s1451" type="#_x0000_t32" style="position:absolute;left:0;text-align:left;margin-left:209.1pt;margin-top:27.2pt;width:0;height:12.9pt;z-index:251635200" o:connectortype="straight" strokeweight="1pt"/>
              </w:pict>
            </w:r>
            <w:r>
              <w:rPr>
                <w:rFonts w:cs="Arial"/>
                <w:noProof/>
                <w:szCs w:val="22"/>
                <w:lang w:val="en-CA" w:eastAsia="en-CA"/>
              </w:rPr>
              <w:pict>
                <v:shape id="_x0000_s1448" type="#_x0000_t202" style="position:absolute;left:0;text-align:left;margin-left:151.35pt;margin-top:7.05pt;width:123pt;height:19.75pt;z-index:251632128" strokeweight=".5pt">
                  <v:shadow color="#868686"/>
                  <v:textbox style="mso-next-textbox:#_x0000_s1448">
                    <w:txbxContent>
                      <w:p w:rsidR="00BF35A8" w:rsidRPr="00D12AA7" w:rsidRDefault="00BF35A8" w:rsidP="00052899">
                        <w:pPr>
                          <w:jc w:val="center"/>
                          <w:rPr>
                            <w:rFonts w:ascii="Cambria" w:hAnsi="Cambria"/>
                            <w:sz w:val="16"/>
                            <w:szCs w:val="16"/>
                          </w:rPr>
                        </w:pPr>
                        <w:r w:rsidRPr="00D12AA7">
                          <w:rPr>
                            <w:rFonts w:ascii="Cambria" w:hAnsi="Cambria"/>
                            <w:sz w:val="16"/>
                            <w:szCs w:val="16"/>
                          </w:rPr>
                          <w:t>Ministry of Health</w:t>
                        </w:r>
                      </w:p>
                    </w:txbxContent>
                  </v:textbox>
                </v:shape>
              </w:pict>
            </w:r>
          </w:p>
          <w:p w:rsidR="00052899" w:rsidRPr="00B40A7C" w:rsidRDefault="00B97BDB" w:rsidP="00052899">
            <w:pPr>
              <w:jc w:val="both"/>
              <w:rPr>
                <w:rFonts w:cs="Arial"/>
                <w:szCs w:val="22"/>
              </w:rPr>
            </w:pPr>
            <w:r w:rsidRPr="00B97BDB">
              <w:rPr>
                <w:rFonts w:cs="Arial"/>
                <w:noProof/>
                <w:szCs w:val="22"/>
                <w:lang w:val="en-US" w:eastAsia="en-US"/>
              </w:rPr>
              <w:pict>
                <v:shape id="_x0000_s1473" type="#_x0000_t32" style="position:absolute;left:0;text-align:left;margin-left:413.6pt;margin-top:2.4pt;width:0;height:38.1pt;z-index:251656704" o:connectortype="straight">
                  <v:stroke dashstyle="dashDot" endarrow="block"/>
                </v:shape>
              </w:pict>
            </w:r>
            <w:r w:rsidRPr="00B97BDB">
              <w:rPr>
                <w:rFonts w:cs="Arial"/>
                <w:noProof/>
                <w:szCs w:val="22"/>
                <w:lang w:val="en-US" w:eastAsia="en-US"/>
              </w:rPr>
              <w:pict>
                <v:shape id="_x0000_s1472" type="#_x0000_t32" style="position:absolute;left:0;text-align:left;margin-left:276.25pt;margin-top:1.55pt;width:137.35pt;height:.85pt;flip:y;z-index:251655680" o:connectortype="straight">
                  <v:stroke dashstyle="dashDot"/>
                </v:shape>
              </w:pict>
            </w:r>
          </w:p>
          <w:p w:rsidR="00052899" w:rsidRPr="00B40A7C" w:rsidRDefault="00052899" w:rsidP="00052899">
            <w:pPr>
              <w:jc w:val="both"/>
              <w:rPr>
                <w:rFonts w:cs="Arial"/>
                <w:szCs w:val="22"/>
              </w:rPr>
            </w:pPr>
          </w:p>
          <w:p w:rsidR="00052899" w:rsidRPr="00B40A7C" w:rsidRDefault="00B97BDB" w:rsidP="00052899">
            <w:pPr>
              <w:rPr>
                <w:szCs w:val="22"/>
              </w:rPr>
            </w:pPr>
            <w:r w:rsidRPr="00B97BDB">
              <w:rPr>
                <w:rFonts w:cs="Arial"/>
                <w:noProof/>
                <w:szCs w:val="22"/>
                <w:lang w:val="en-CA" w:eastAsia="en-CA"/>
              </w:rPr>
              <w:pict>
                <v:shape id="_x0000_s1443" type="#_x0000_t32" style="position:absolute;margin-left:54.7pt;margin-top:2pt;width:259.2pt;height:0;z-index:251627008" o:connectortype="straight" strokeweight=".5pt"/>
              </w:pict>
            </w:r>
            <w:r w:rsidRPr="00B97BDB">
              <w:rPr>
                <w:noProof/>
                <w:szCs w:val="22"/>
                <w:lang w:val="en-US" w:eastAsia="en-US"/>
              </w:rPr>
              <w:pict>
                <v:shape id="_x0000_s1470" type="#_x0000_t32" style="position:absolute;margin-left:313.25pt;margin-top:3.05pt;width:.55pt;height:17.2pt;z-index:251653632" o:connectortype="straight"/>
              </w:pict>
            </w:r>
            <w:r w:rsidRPr="00B97BDB">
              <w:rPr>
                <w:noProof/>
                <w:szCs w:val="22"/>
                <w:lang w:val="en-US" w:eastAsia="en-US"/>
              </w:rPr>
              <w:pict>
                <v:shape id="_x0000_s1467" type="#_x0000_t32" style="position:absolute;margin-left:54.15pt;margin-top:3.15pt;width:.55pt;height:17.2pt;z-index:251651584" o:connectortype="straight"/>
              </w:pict>
            </w:r>
            <w:r w:rsidRPr="00B97BDB">
              <w:rPr>
                <w:noProof/>
                <w:szCs w:val="22"/>
                <w:lang w:val="en-US" w:eastAsia="en-US"/>
              </w:rPr>
              <w:pict>
                <v:shape id="_x0000_s1468" type="#_x0000_t32" style="position:absolute;margin-left:209.1pt;margin-top:2.5pt;width:.55pt;height:12.7pt;z-index:251652608" o:connectortype="straight"/>
              </w:pict>
            </w:r>
            <w:r>
              <w:rPr>
                <w:noProof/>
                <w:szCs w:val="22"/>
                <w:lang w:val="en-CA" w:eastAsia="en-CA"/>
              </w:rPr>
              <w:pict>
                <v:shape id="_x0000_s1444" type="#_x0000_t202" style="position:absolute;margin-left:151.4pt;margin-top:16pt;width:89.9pt;height:44.75pt;z-index:251628032" strokeweight=".5pt">
                  <v:shadow color="#868686"/>
                  <v:textbox style="mso-next-textbox:#_x0000_s1444">
                    <w:txbxContent>
                      <w:p w:rsidR="00BF35A8" w:rsidRDefault="00BF35A8" w:rsidP="00052899">
                        <w:pPr>
                          <w:jc w:val="center"/>
                          <w:rPr>
                            <w:rFonts w:ascii="Calibri" w:hAnsi="Calibri"/>
                            <w:sz w:val="16"/>
                            <w:szCs w:val="16"/>
                          </w:rPr>
                        </w:pPr>
                      </w:p>
                      <w:p w:rsidR="00BF35A8" w:rsidRPr="00D12AA7" w:rsidRDefault="00BF35A8" w:rsidP="00052899">
                        <w:pPr>
                          <w:jc w:val="center"/>
                          <w:rPr>
                            <w:rFonts w:ascii="Calibri" w:hAnsi="Calibri"/>
                            <w:sz w:val="16"/>
                            <w:szCs w:val="16"/>
                          </w:rPr>
                        </w:pPr>
                        <w:r w:rsidRPr="00D12AA7">
                          <w:rPr>
                            <w:rFonts w:ascii="Calibri" w:hAnsi="Calibri"/>
                            <w:sz w:val="16"/>
                            <w:szCs w:val="16"/>
                          </w:rPr>
                          <w:t>Service Delivery</w:t>
                        </w:r>
                      </w:p>
                    </w:txbxContent>
                  </v:textbox>
                </v:shape>
              </w:pict>
            </w:r>
            <w:r>
              <w:rPr>
                <w:noProof/>
                <w:szCs w:val="22"/>
                <w:lang w:val="en-CA" w:eastAsia="en-CA"/>
              </w:rPr>
              <w:pict>
                <v:shape id="_x0000_s1445" type="#_x0000_t202" style="position:absolute;margin-left:9pt;margin-top:20.35pt;width:92.6pt;height:42.8pt;z-index:251629056" strokeweight=".5pt">
                  <v:shadow color="#868686"/>
                  <v:textbox style="mso-next-textbox:#_x0000_s1445">
                    <w:txbxContent>
                      <w:p w:rsidR="00BF35A8" w:rsidRDefault="00BF35A8" w:rsidP="00052899">
                        <w:pPr>
                          <w:jc w:val="center"/>
                          <w:rPr>
                            <w:rFonts w:ascii="Calibri" w:hAnsi="Calibri"/>
                            <w:sz w:val="16"/>
                            <w:szCs w:val="16"/>
                          </w:rPr>
                        </w:pPr>
                        <w:r>
                          <w:rPr>
                            <w:rFonts w:ascii="Calibri" w:hAnsi="Calibri"/>
                            <w:sz w:val="16"/>
                            <w:szCs w:val="16"/>
                          </w:rPr>
                          <w:t>Health Financing</w:t>
                        </w:r>
                      </w:p>
                      <w:p w:rsidR="00BF35A8" w:rsidRPr="00D12AA7" w:rsidRDefault="00BF35A8" w:rsidP="00052899">
                        <w:pPr>
                          <w:jc w:val="center"/>
                          <w:rPr>
                            <w:rFonts w:ascii="Calibri" w:hAnsi="Calibri"/>
                            <w:sz w:val="16"/>
                            <w:szCs w:val="16"/>
                          </w:rPr>
                        </w:pPr>
                        <w:r>
                          <w:rPr>
                            <w:rFonts w:ascii="Calibri" w:hAnsi="Calibri"/>
                            <w:sz w:val="16"/>
                            <w:szCs w:val="16"/>
                          </w:rPr>
                          <w:t>(</w:t>
                        </w:r>
                        <w:r w:rsidRPr="00D12AA7">
                          <w:rPr>
                            <w:rFonts w:ascii="Calibri" w:hAnsi="Calibri"/>
                            <w:sz w:val="16"/>
                            <w:szCs w:val="16"/>
                          </w:rPr>
                          <w:t>National Health Insurance Authority</w:t>
                        </w:r>
                      </w:p>
                    </w:txbxContent>
                  </v:textbox>
                </v:shape>
              </w:pict>
            </w:r>
          </w:p>
          <w:p w:rsidR="00052899" w:rsidRPr="00B40A7C" w:rsidRDefault="00B97BDB" w:rsidP="00052899">
            <w:pPr>
              <w:jc w:val="both"/>
              <w:rPr>
                <w:rFonts w:cs="Arial"/>
                <w:szCs w:val="22"/>
              </w:rPr>
            </w:pPr>
            <w:r>
              <w:rPr>
                <w:rFonts w:cs="Arial"/>
                <w:noProof/>
                <w:szCs w:val="22"/>
                <w:lang w:val="en-CA" w:eastAsia="en-CA"/>
              </w:rPr>
              <w:pict>
                <v:shape id="_x0000_s1452" type="#_x0000_t202" style="position:absolute;left:0;text-align:left;margin-left:386.5pt;margin-top:7.45pt;width:61.6pt;height:37.35pt;z-index:251636224;mso-width-relative:margin;mso-height-relative:margin" strokeweight=".5pt">
                  <v:shadow color="#868686"/>
                  <v:textbox style="mso-next-textbox:#_x0000_s1452">
                    <w:txbxContent>
                      <w:p w:rsidR="00BF35A8" w:rsidRDefault="00BF35A8" w:rsidP="00052899">
                        <w:pPr>
                          <w:jc w:val="center"/>
                          <w:rPr>
                            <w:rFonts w:ascii="Calibri" w:hAnsi="Calibri"/>
                            <w:sz w:val="16"/>
                            <w:szCs w:val="16"/>
                          </w:rPr>
                        </w:pPr>
                        <w:r w:rsidRPr="00EE0857">
                          <w:rPr>
                            <w:rFonts w:ascii="Calibri" w:hAnsi="Calibri"/>
                            <w:sz w:val="16"/>
                            <w:szCs w:val="16"/>
                          </w:rPr>
                          <w:t>Civil</w:t>
                        </w:r>
                      </w:p>
                      <w:p w:rsidR="00BF35A8" w:rsidRPr="00EE0857" w:rsidRDefault="00BF35A8" w:rsidP="00052899">
                        <w:pPr>
                          <w:jc w:val="center"/>
                          <w:rPr>
                            <w:rFonts w:ascii="Calibri" w:hAnsi="Calibri"/>
                            <w:sz w:val="16"/>
                            <w:szCs w:val="16"/>
                          </w:rPr>
                        </w:pPr>
                        <w:r w:rsidRPr="00EE0857">
                          <w:rPr>
                            <w:rFonts w:ascii="Calibri" w:hAnsi="Calibri"/>
                            <w:sz w:val="16"/>
                            <w:szCs w:val="16"/>
                          </w:rPr>
                          <w:t>Society Organisations</w:t>
                        </w:r>
                      </w:p>
                    </w:txbxContent>
                  </v:textbox>
                </v:shape>
              </w:pict>
            </w:r>
            <w:r>
              <w:rPr>
                <w:rFonts w:cs="Arial"/>
                <w:noProof/>
                <w:szCs w:val="22"/>
                <w:lang w:val="en-CA" w:eastAsia="en-CA"/>
              </w:rPr>
              <w:pict>
                <v:shape id="_x0000_s1446" type="#_x0000_t202" style="position:absolute;left:0;text-align:left;margin-left:261pt;margin-top:7.95pt;width:89.75pt;height:35.75pt;z-index:251630080" strokeweight=".5pt">
                  <v:shadow color="#868686"/>
                  <v:textbox style="mso-next-textbox:#_x0000_s1446">
                    <w:txbxContent>
                      <w:p w:rsidR="00BF35A8" w:rsidRDefault="00BF35A8" w:rsidP="00052899">
                        <w:pPr>
                          <w:rPr>
                            <w:rFonts w:ascii="Calibri" w:hAnsi="Calibri"/>
                            <w:sz w:val="16"/>
                            <w:szCs w:val="16"/>
                          </w:rPr>
                        </w:pPr>
                        <w:r w:rsidRPr="00D12AA7">
                          <w:rPr>
                            <w:rFonts w:ascii="Calibri" w:hAnsi="Calibri"/>
                            <w:sz w:val="16"/>
                            <w:szCs w:val="16"/>
                          </w:rPr>
                          <w:t>Regulatory Authorities</w:t>
                        </w:r>
                      </w:p>
                      <w:p w:rsidR="00BF35A8" w:rsidRPr="00D12AA7" w:rsidRDefault="00BF35A8" w:rsidP="00052899">
                        <w:pPr>
                          <w:rPr>
                            <w:rFonts w:ascii="Calibri" w:hAnsi="Calibri"/>
                            <w:sz w:val="16"/>
                            <w:szCs w:val="16"/>
                          </w:rPr>
                        </w:pPr>
                        <w:r>
                          <w:rPr>
                            <w:rFonts w:ascii="Calibri" w:hAnsi="Calibri"/>
                            <w:sz w:val="16"/>
                            <w:szCs w:val="16"/>
                          </w:rPr>
                          <w:t>e.g. NMC, MDC</w:t>
                        </w:r>
                      </w:p>
                    </w:txbxContent>
                  </v:textbox>
                </v:shape>
              </w:pict>
            </w:r>
          </w:p>
          <w:p w:rsidR="00052899" w:rsidRPr="00B40A7C" w:rsidRDefault="00052899" w:rsidP="00052899">
            <w:pPr>
              <w:jc w:val="both"/>
              <w:rPr>
                <w:rFonts w:cs="Arial"/>
                <w:szCs w:val="22"/>
              </w:rPr>
            </w:pPr>
          </w:p>
          <w:p w:rsidR="00052899" w:rsidRPr="00B40A7C" w:rsidRDefault="00052899" w:rsidP="00052899">
            <w:pPr>
              <w:jc w:val="both"/>
              <w:rPr>
                <w:rFonts w:cs="Arial"/>
                <w:szCs w:val="22"/>
              </w:rPr>
            </w:pPr>
          </w:p>
          <w:p w:rsidR="00052899" w:rsidRPr="00B40A7C" w:rsidRDefault="00B97BDB" w:rsidP="00052899">
            <w:pPr>
              <w:jc w:val="both"/>
              <w:rPr>
                <w:rFonts w:cs="Arial"/>
                <w:szCs w:val="22"/>
              </w:rPr>
            </w:pPr>
            <w:r w:rsidRPr="00B97BDB">
              <w:rPr>
                <w:rFonts w:cs="Arial"/>
                <w:noProof/>
                <w:szCs w:val="22"/>
                <w:lang w:val="en-US" w:eastAsia="en-US"/>
              </w:rPr>
              <w:pict>
                <v:shape id="_x0000_s1471" type="#_x0000_t32" style="position:absolute;left:0;text-align:left;margin-left:189.25pt;margin-top:10.15pt;width:0;height:12.35pt;z-index:251654656" o:connectortype="straight">
                  <v:stroke endarrow="block"/>
                </v:shape>
              </w:pict>
            </w:r>
          </w:p>
          <w:p w:rsidR="00052899" w:rsidRPr="00B40A7C" w:rsidRDefault="00B97BDB" w:rsidP="00052899">
            <w:pPr>
              <w:jc w:val="both"/>
              <w:rPr>
                <w:rFonts w:cs="Arial"/>
                <w:szCs w:val="22"/>
              </w:rPr>
            </w:pPr>
            <w:r w:rsidRPr="00B97BDB">
              <w:rPr>
                <w:rFonts w:cs="Arial"/>
                <w:noProof/>
                <w:szCs w:val="22"/>
                <w:lang w:val="en-US" w:eastAsia="en-US"/>
              </w:rPr>
              <w:pict>
                <v:shape id="_x0000_s1464" type="#_x0000_t32" style="position:absolute;left:0;text-align:left;margin-left:111.5pt;margin-top:11pt;width:0;height:22.95pt;z-index:251648512" o:connectortype="straight" strokeweight="1pt"/>
              </w:pict>
            </w:r>
            <w:r w:rsidRPr="00B97BDB">
              <w:rPr>
                <w:rFonts w:cs="Arial"/>
                <w:noProof/>
                <w:szCs w:val="22"/>
                <w:lang w:val="en-US" w:eastAsia="en-US"/>
              </w:rPr>
              <w:pict>
                <v:shape id="_x0000_s1463" type="#_x0000_t32" style="position:absolute;left:0;text-align:left;margin-left:188.65pt;margin-top:11.05pt;width:.6pt;height:25.8pt;z-index:251647488" o:connectortype="straight" strokeweight="1pt"/>
              </w:pict>
            </w:r>
            <w:r w:rsidRPr="00B97BDB">
              <w:rPr>
                <w:rFonts w:cs="Arial"/>
                <w:noProof/>
                <w:szCs w:val="22"/>
                <w:lang w:val="en-US" w:eastAsia="en-US"/>
              </w:rPr>
              <w:pict>
                <v:shape id="_x0000_s1462" type="#_x0000_t32" style="position:absolute;left:0;text-align:left;margin-left:276.2pt;margin-top:11.55pt;width:.05pt;height:20.05pt;z-index:251646464" o:connectortype="straight" strokeweight="1pt"/>
              </w:pict>
            </w:r>
            <w:r w:rsidRPr="00B97BDB">
              <w:rPr>
                <w:rFonts w:cs="Arial"/>
                <w:noProof/>
                <w:kern w:val="1"/>
                <w:szCs w:val="22"/>
                <w:u w:color="FF0000"/>
                <w:lang w:val="en-US" w:eastAsia="en-US"/>
              </w:rPr>
              <w:pict>
                <v:shape id="_x0000_s1461" type="#_x0000_t32" style="position:absolute;left:0;text-align:left;margin-left:344.8pt;margin-top:10.35pt;width:.05pt;height:20.05pt;z-index:251645440" o:connectortype="straight" strokeweight="1pt"/>
              </w:pict>
            </w:r>
            <w:r>
              <w:rPr>
                <w:rFonts w:cs="Arial"/>
                <w:noProof/>
                <w:szCs w:val="22"/>
                <w:lang w:val="en-CA" w:eastAsia="en-CA"/>
              </w:rPr>
              <w:pict>
                <v:shape id="_x0000_s1453" type="#_x0000_t32" style="position:absolute;left:0;text-align:left;margin-left:20.2pt;margin-top:10.4pt;width:.1pt;height:22.1pt;z-index:251637248" o:connectortype="straight"/>
              </w:pict>
            </w:r>
            <w:r>
              <w:rPr>
                <w:rFonts w:cs="Arial"/>
                <w:noProof/>
                <w:szCs w:val="22"/>
                <w:lang w:val="en-CA" w:eastAsia="en-CA"/>
              </w:rPr>
              <w:pict>
                <v:shape id="_x0000_s1450" type="#_x0000_t32" style="position:absolute;left:0;text-align:left;margin-left:429.55pt;margin-top:10.45pt;width:.05pt;height:20.05pt;z-index:251634176" o:connectortype="straight" strokeweight="1pt"/>
              </w:pict>
            </w:r>
            <w:r w:rsidRPr="00B97BDB">
              <w:rPr>
                <w:rFonts w:cs="Arial"/>
                <w:noProof/>
                <w:kern w:val="1"/>
                <w:szCs w:val="22"/>
                <w:u w:color="FF0000"/>
                <w:lang w:val="en-US" w:eastAsia="en-US"/>
              </w:rPr>
              <w:pict>
                <v:shape id="_x0000_s1460" type="#_x0000_t32" style="position:absolute;left:0;text-align:left;margin-left:21.3pt;margin-top:9.85pt;width:408.35pt;height:1.2pt;flip:y;z-index:251644416" o:connectortype="straight"/>
              </w:pict>
            </w:r>
          </w:p>
          <w:p w:rsidR="00052899" w:rsidRPr="00B40A7C" w:rsidRDefault="00B97BDB" w:rsidP="00052899">
            <w:pPr>
              <w:jc w:val="both"/>
              <w:rPr>
                <w:rFonts w:cs="Arial"/>
                <w:kern w:val="1"/>
                <w:szCs w:val="22"/>
                <w:u w:color="FF0000"/>
              </w:rPr>
            </w:pPr>
            <w:r w:rsidRPr="00B97BDB">
              <w:rPr>
                <w:rFonts w:cs="Arial"/>
                <w:noProof/>
                <w:szCs w:val="22"/>
                <w:lang w:val="en-CA" w:eastAsia="en-CA"/>
              </w:rPr>
              <w:pict>
                <v:shape id="_x0000_s1447" type="#_x0000_t202" style="position:absolute;left:0;text-align:left;margin-left:313.9pt;margin-top:20.9pt;width:75.05pt;height:49.45pt;z-index:251631104" strokeweight=".5pt">
                  <v:shadow color="#868686"/>
                  <v:textbox style="mso-next-textbox:#_x0000_s1447">
                    <w:txbxContent>
                      <w:p w:rsidR="00BF35A8" w:rsidRDefault="00BF35A8" w:rsidP="00052899">
                        <w:pPr>
                          <w:jc w:val="center"/>
                          <w:rPr>
                            <w:rFonts w:ascii="Calibri" w:hAnsi="Calibri"/>
                            <w:sz w:val="16"/>
                            <w:szCs w:val="16"/>
                          </w:rPr>
                        </w:pPr>
                        <w:r w:rsidRPr="00D12AA7">
                          <w:rPr>
                            <w:rFonts w:ascii="Calibri" w:hAnsi="Calibri"/>
                            <w:sz w:val="16"/>
                            <w:szCs w:val="16"/>
                          </w:rPr>
                          <w:t>Other Subvented Organisations</w:t>
                        </w:r>
                        <w:r>
                          <w:rPr>
                            <w:rFonts w:ascii="Calibri" w:hAnsi="Calibri"/>
                            <w:sz w:val="16"/>
                            <w:szCs w:val="16"/>
                          </w:rPr>
                          <w:t xml:space="preserve"> e.g. Quasi Govt Health Institutions</w:t>
                        </w:r>
                      </w:p>
                      <w:p w:rsidR="00BF35A8" w:rsidRPr="00D12AA7" w:rsidRDefault="00BF35A8" w:rsidP="00052899">
                        <w:pPr>
                          <w:jc w:val="center"/>
                          <w:rPr>
                            <w:rFonts w:ascii="Calibri" w:hAnsi="Calibri"/>
                            <w:sz w:val="16"/>
                            <w:szCs w:val="16"/>
                          </w:rPr>
                        </w:pPr>
                      </w:p>
                    </w:txbxContent>
                  </v:textbox>
                </v:shape>
              </w:pict>
            </w:r>
            <w:r w:rsidRPr="00B97BDB">
              <w:rPr>
                <w:rFonts w:cs="Arial"/>
                <w:b/>
                <w:i/>
                <w:noProof/>
                <w:szCs w:val="22"/>
                <w:lang w:val="en-US" w:eastAsia="en-US"/>
              </w:rPr>
              <w:pict>
                <v:shape id="_x0000_s1457" type="#_x0000_t202" style="position:absolute;left:0;text-align:left;margin-left:242.1pt;margin-top:21.7pt;width:62.75pt;height:26.75pt;z-index:251641344;mso-wrap-edited:f" wrapcoords="-151 0 -151 20618 21751 20618 21751 0 -151 0" strokeweight=".5pt">
                  <v:shadow color="#868686"/>
                  <v:textbox style="mso-next-textbox:#_x0000_s1457">
                    <w:txbxContent>
                      <w:p w:rsidR="00BF35A8" w:rsidRPr="003B78A7" w:rsidRDefault="00BF35A8" w:rsidP="00052899">
                        <w:pPr>
                          <w:rPr>
                            <w:szCs w:val="16"/>
                          </w:rPr>
                        </w:pPr>
                        <w:r w:rsidRPr="00D12AA7">
                          <w:rPr>
                            <w:rFonts w:ascii="Calibri" w:hAnsi="Calibri"/>
                            <w:sz w:val="16"/>
                            <w:szCs w:val="16"/>
                          </w:rPr>
                          <w:t>Mental Health Service</w:t>
                        </w:r>
                      </w:p>
                    </w:txbxContent>
                  </v:textbox>
                  <w10:wrap type="tight"/>
                </v:shape>
              </w:pict>
            </w:r>
          </w:p>
          <w:p w:rsidR="00052899" w:rsidRPr="00B40A7C" w:rsidRDefault="00B97BDB" w:rsidP="00052899">
            <w:pPr>
              <w:jc w:val="both"/>
              <w:rPr>
                <w:rFonts w:cs="Arial"/>
                <w:szCs w:val="22"/>
              </w:rPr>
            </w:pPr>
            <w:r w:rsidRPr="00B97BDB">
              <w:rPr>
                <w:rFonts w:cs="Arial"/>
                <w:b/>
                <w:i/>
                <w:noProof/>
                <w:szCs w:val="22"/>
                <w:lang w:val="en-US" w:eastAsia="en-US"/>
              </w:rPr>
              <w:pict>
                <v:shape id="_x0000_s1455" type="#_x0000_t202" style="position:absolute;left:0;text-align:left;margin-left:143.55pt;margin-top:11.05pt;width:89.75pt;height:18.5pt;z-index:251639296;mso-wrap-edited:f" wrapcoords="-151 0 -151 20618 21751 20618 21751 0 -151 0" strokeweight=".5pt">
                  <v:shadow color="#868686"/>
                  <v:textbox style="mso-next-textbox:#_x0000_s1455">
                    <w:txbxContent>
                      <w:p w:rsidR="00BF35A8" w:rsidRPr="003B78A7" w:rsidRDefault="00BF35A8" w:rsidP="00052899">
                        <w:pPr>
                          <w:rPr>
                            <w:szCs w:val="16"/>
                          </w:rPr>
                        </w:pPr>
                        <w:r w:rsidRPr="00D12AA7">
                          <w:rPr>
                            <w:rFonts w:ascii="Calibri" w:hAnsi="Calibri"/>
                            <w:sz w:val="16"/>
                            <w:szCs w:val="16"/>
                          </w:rPr>
                          <w:t>Ghana He</w:t>
                        </w:r>
                        <w:r>
                          <w:rPr>
                            <w:rFonts w:ascii="Calibri" w:hAnsi="Calibri"/>
                            <w:sz w:val="16"/>
                            <w:szCs w:val="16"/>
                          </w:rPr>
                          <w:t>alth Service</w:t>
                        </w:r>
                      </w:p>
                    </w:txbxContent>
                  </v:textbox>
                  <w10:wrap type="tight"/>
                </v:shape>
              </w:pict>
            </w:r>
            <w:r w:rsidRPr="00B97BDB">
              <w:rPr>
                <w:rFonts w:cs="Arial"/>
                <w:b/>
                <w:i/>
                <w:noProof/>
                <w:szCs w:val="22"/>
                <w:lang w:val="en-US" w:eastAsia="en-US"/>
              </w:rPr>
              <w:pict>
                <v:shape id="_x0000_s1459" type="#_x0000_t202" style="position:absolute;left:0;text-align:left;margin-left:404.85pt;margin-top:.7pt;width:42.9pt;height:32.1pt;z-index:251643392;mso-wrap-edited:f;mso-width-relative:margin;mso-height-relative:margin" wrapcoords="-378 0 -378 21097 21978 21097 21978 0 -378 0" strokeweight=".5pt">
                  <v:shadow color="#868686"/>
                  <v:textbox style="mso-next-textbox:#_x0000_s1459">
                    <w:txbxContent>
                      <w:p w:rsidR="00BF35A8" w:rsidRPr="00EE0857" w:rsidRDefault="00BF35A8" w:rsidP="00052899">
                        <w:pPr>
                          <w:jc w:val="center"/>
                          <w:rPr>
                            <w:rFonts w:ascii="Calibri" w:hAnsi="Calibri"/>
                            <w:sz w:val="16"/>
                            <w:szCs w:val="16"/>
                          </w:rPr>
                        </w:pPr>
                        <w:r w:rsidRPr="00EE0857">
                          <w:rPr>
                            <w:rFonts w:ascii="Calibri" w:hAnsi="Calibri"/>
                            <w:sz w:val="16"/>
                            <w:szCs w:val="16"/>
                          </w:rPr>
                          <w:t>Private Sector</w:t>
                        </w:r>
                      </w:p>
                    </w:txbxContent>
                  </v:textbox>
                  <w10:wrap type="tight"/>
                </v:shape>
              </w:pict>
            </w:r>
          </w:p>
          <w:p w:rsidR="00052899" w:rsidRPr="00B40A7C" w:rsidRDefault="00052899" w:rsidP="00052899">
            <w:pPr>
              <w:jc w:val="both"/>
              <w:rPr>
                <w:rFonts w:cs="Arial"/>
                <w:b/>
                <w:i/>
                <w:szCs w:val="22"/>
              </w:rPr>
            </w:pPr>
          </w:p>
          <w:p w:rsidR="00052899" w:rsidRPr="00B40A7C" w:rsidRDefault="00B97BDB" w:rsidP="00052899">
            <w:pPr>
              <w:jc w:val="both"/>
              <w:rPr>
                <w:rFonts w:cs="Arial"/>
                <w:b/>
                <w:i/>
                <w:szCs w:val="22"/>
              </w:rPr>
            </w:pPr>
            <w:r w:rsidRPr="00B97BDB">
              <w:rPr>
                <w:rFonts w:cs="Arial"/>
                <w:b/>
                <w:i/>
                <w:noProof/>
                <w:szCs w:val="22"/>
                <w:lang w:val="en-US" w:eastAsia="en-US"/>
              </w:rPr>
              <w:pict>
                <v:shape id="_x0000_s1465" type="#_x0000_t32" style="position:absolute;left:0;text-align:left;margin-left:-126.55pt;margin-top:4.75pt;width:.05pt;height:13.25pt;z-index:251649536" o:connectortype="straight">
                  <v:stroke endarrow="block"/>
                </v:shape>
              </w:pict>
            </w:r>
          </w:p>
          <w:p w:rsidR="00052899" w:rsidRPr="00B40A7C" w:rsidRDefault="00B97BDB" w:rsidP="00052899">
            <w:pPr>
              <w:jc w:val="both"/>
              <w:rPr>
                <w:rFonts w:cs="Arial"/>
                <w:szCs w:val="22"/>
              </w:rPr>
            </w:pPr>
            <w:r>
              <w:rPr>
                <w:rFonts w:cs="Arial"/>
                <w:noProof/>
                <w:szCs w:val="22"/>
                <w:lang w:val="en-CA" w:eastAsia="en-CA"/>
              </w:rPr>
              <w:pict>
                <v:shape id="_x0000_s1449" type="#_x0000_t202" style="position:absolute;left:0;text-align:left;margin-left:2in;margin-top:6.6pt;width:71.75pt;height:17.75pt;z-index:251633152" strokeweight=".5pt">
                  <v:shadow color="#868686"/>
                  <v:textbox style="mso-next-textbox:#_x0000_s1449">
                    <w:txbxContent>
                      <w:p w:rsidR="00BF35A8" w:rsidRPr="00D12AA7" w:rsidRDefault="00BF35A8" w:rsidP="00052899">
                        <w:pPr>
                          <w:jc w:val="center"/>
                          <w:rPr>
                            <w:rFonts w:ascii="Calibri" w:hAnsi="Calibri"/>
                            <w:sz w:val="16"/>
                            <w:szCs w:val="16"/>
                          </w:rPr>
                        </w:pPr>
                        <w:r w:rsidRPr="00D12AA7">
                          <w:rPr>
                            <w:rFonts w:ascii="Calibri" w:hAnsi="Calibri"/>
                            <w:sz w:val="16"/>
                            <w:szCs w:val="16"/>
                          </w:rPr>
                          <w:t>Regional Level</w:t>
                        </w:r>
                      </w:p>
                    </w:txbxContent>
                  </v:textbox>
                </v:shape>
              </w:pict>
            </w:r>
          </w:p>
          <w:p w:rsidR="00052899" w:rsidRPr="00B40A7C" w:rsidRDefault="00B97BDB" w:rsidP="00052899">
            <w:pPr>
              <w:jc w:val="both"/>
              <w:rPr>
                <w:rFonts w:cs="Arial"/>
                <w:szCs w:val="22"/>
              </w:rPr>
            </w:pPr>
            <w:r w:rsidRPr="00B97BDB">
              <w:rPr>
                <w:rFonts w:cs="Arial"/>
                <w:noProof/>
                <w:szCs w:val="22"/>
                <w:lang w:val="en-US" w:eastAsia="en-US"/>
              </w:rPr>
              <w:pict>
                <v:shape id="_x0000_s1466" type="#_x0000_t32" style="position:absolute;left:0;text-align:left;margin-left:186pt;margin-top:12.25pt;width:.55pt;height:14.4pt;flip:x;z-index:251650560" o:connectortype="straight">
                  <v:stroke endarrow="block"/>
                </v:shape>
              </w:pict>
            </w:r>
          </w:p>
          <w:p w:rsidR="00052899" w:rsidRPr="00B40A7C" w:rsidRDefault="00052899" w:rsidP="00052899">
            <w:pPr>
              <w:jc w:val="both"/>
              <w:rPr>
                <w:rFonts w:cs="Arial"/>
                <w:szCs w:val="22"/>
              </w:rPr>
            </w:pPr>
          </w:p>
          <w:p w:rsidR="00052899" w:rsidRPr="00B40A7C" w:rsidRDefault="00B97BDB" w:rsidP="00052899">
            <w:pPr>
              <w:jc w:val="both"/>
              <w:rPr>
                <w:rFonts w:cs="Arial"/>
                <w:szCs w:val="22"/>
              </w:rPr>
            </w:pPr>
            <w:r w:rsidRPr="00B97BDB">
              <w:rPr>
                <w:rFonts w:cs="Arial"/>
                <w:noProof/>
                <w:szCs w:val="22"/>
                <w:lang w:val="en-US" w:eastAsia="en-US"/>
              </w:rPr>
              <w:pict>
                <v:shape id="_x0000_s1458" type="#_x0000_t202" style="position:absolute;left:0;text-align:left;margin-left:150.8pt;margin-top:1.4pt;width:71.75pt;height:16.55pt;z-index:251642368;mso-wrap-edited:f" wrapcoords="-151 0 -151 20618 21751 20618 21751 0 -151 0" strokeweight=".5pt">
                  <v:shadow color="#868686"/>
                  <v:textbox style="mso-next-textbox:#_x0000_s1458">
                    <w:txbxContent>
                      <w:p w:rsidR="00BF35A8" w:rsidRPr="00D12AA7" w:rsidRDefault="00BF35A8" w:rsidP="00052899">
                        <w:pPr>
                          <w:jc w:val="center"/>
                          <w:rPr>
                            <w:rFonts w:ascii="Calibri" w:hAnsi="Calibri"/>
                            <w:sz w:val="16"/>
                            <w:szCs w:val="16"/>
                          </w:rPr>
                        </w:pPr>
                        <w:r>
                          <w:rPr>
                            <w:rFonts w:ascii="Calibri" w:hAnsi="Calibri"/>
                            <w:sz w:val="16"/>
                            <w:szCs w:val="16"/>
                          </w:rPr>
                          <w:t>District</w:t>
                        </w:r>
                        <w:r w:rsidRPr="00D12AA7">
                          <w:rPr>
                            <w:rFonts w:ascii="Calibri" w:hAnsi="Calibri"/>
                            <w:sz w:val="16"/>
                            <w:szCs w:val="16"/>
                          </w:rPr>
                          <w:t xml:space="preserve"> Level</w:t>
                        </w:r>
                      </w:p>
                    </w:txbxContent>
                  </v:textbox>
                  <w10:wrap type="tight"/>
                </v:shape>
              </w:pict>
            </w:r>
          </w:p>
          <w:p w:rsidR="00052899" w:rsidRPr="00B40A7C" w:rsidRDefault="00052899" w:rsidP="00052899">
            <w:pPr>
              <w:jc w:val="both"/>
              <w:rPr>
                <w:rFonts w:cs="Arial"/>
                <w:szCs w:val="22"/>
              </w:rPr>
            </w:pPr>
          </w:p>
          <w:p w:rsidR="00052899" w:rsidRPr="009E3797" w:rsidRDefault="00B97BDB" w:rsidP="00052899">
            <w:pPr>
              <w:jc w:val="both"/>
              <w:rPr>
                <w:rFonts w:cs="Arial"/>
                <w:szCs w:val="22"/>
              </w:rPr>
            </w:pPr>
            <w:r w:rsidRPr="00B97BDB">
              <w:rPr>
                <w:rFonts w:cs="Arial"/>
                <w:noProof/>
                <w:szCs w:val="22"/>
                <w:lang w:val="en-US" w:eastAsia="en-US"/>
              </w:rPr>
              <w:pict>
                <v:shape id="_x0000_s1456" type="#_x0000_t202" style="position:absolute;left:0;text-align:left;margin-left:100.85pt;margin-top:-90.4pt;width:35.75pt;height:17.75pt;z-index:251640320;mso-wrap-edited:f" wrapcoords="-151 0 -151 20618 21751 20618 21751 0 -151 0" strokeweight=".5pt">
                  <v:shadow color="#868686"/>
                  <v:textbox style="mso-next-textbox:#_x0000_s1456">
                    <w:txbxContent>
                      <w:p w:rsidR="00BF35A8" w:rsidRPr="00D12AA7" w:rsidRDefault="00BF35A8" w:rsidP="00052899">
                        <w:pPr>
                          <w:jc w:val="center"/>
                          <w:rPr>
                            <w:rFonts w:ascii="Calibri" w:hAnsi="Calibri"/>
                            <w:sz w:val="16"/>
                            <w:szCs w:val="16"/>
                          </w:rPr>
                        </w:pPr>
                        <w:r>
                          <w:rPr>
                            <w:rFonts w:ascii="Calibri" w:hAnsi="Calibri"/>
                            <w:sz w:val="16"/>
                            <w:szCs w:val="16"/>
                          </w:rPr>
                          <w:t>CHAG</w:t>
                        </w:r>
                      </w:p>
                      <w:p w:rsidR="00BF35A8" w:rsidRPr="003B78A7" w:rsidRDefault="00BF35A8" w:rsidP="00052899">
                        <w:pPr>
                          <w:rPr>
                            <w:szCs w:val="16"/>
                          </w:rPr>
                        </w:pPr>
                      </w:p>
                    </w:txbxContent>
                  </v:textbox>
                  <w10:wrap type="tight"/>
                </v:shape>
              </w:pict>
            </w:r>
            <w:r w:rsidRPr="00B97BDB">
              <w:rPr>
                <w:rFonts w:cs="Arial"/>
                <w:noProof/>
                <w:szCs w:val="22"/>
                <w:lang w:val="en-US" w:eastAsia="en-US"/>
              </w:rPr>
              <w:pict>
                <v:shape id="_x0000_s1454" type="#_x0000_t202" style="position:absolute;left:0;text-align:left;margin-left:-4.75pt;margin-top:-92.35pt;width:99.45pt;height:22.8pt;z-index:251638272;mso-wrap-edited:f" wrapcoords="-151 0 -151 20618 21751 20618 21751 0 -151 0" strokeweight=".5pt">
                  <v:shadow color="#868686"/>
                  <v:textbox style="mso-next-textbox:#_x0000_s1454">
                    <w:txbxContent>
                      <w:p w:rsidR="00BF35A8" w:rsidRPr="00D12AA7" w:rsidRDefault="00BF35A8" w:rsidP="00052899">
                        <w:pPr>
                          <w:jc w:val="center"/>
                          <w:rPr>
                            <w:rFonts w:ascii="Calibri" w:hAnsi="Calibri"/>
                            <w:sz w:val="16"/>
                            <w:szCs w:val="16"/>
                          </w:rPr>
                        </w:pPr>
                        <w:r>
                          <w:rPr>
                            <w:rFonts w:ascii="Calibri" w:hAnsi="Calibri"/>
                            <w:sz w:val="16"/>
                            <w:szCs w:val="16"/>
                          </w:rPr>
                          <w:t>Teaching Hospitals</w:t>
                        </w:r>
                      </w:p>
                    </w:txbxContent>
                  </v:textbox>
                  <w10:wrap type="tight"/>
                </v:shape>
              </w:pict>
            </w:r>
            <w:r w:rsidR="00052899" w:rsidRPr="009E3797">
              <w:rPr>
                <w:rFonts w:cs="Arial"/>
                <w:szCs w:val="22"/>
              </w:rPr>
              <w:t>Figure 1: The Structure of Ghana Health Sector</w:t>
            </w:r>
          </w:p>
          <w:p w:rsidR="00052899" w:rsidRPr="00B40A7C" w:rsidRDefault="00052899" w:rsidP="00052899">
            <w:pPr>
              <w:jc w:val="both"/>
              <w:rPr>
                <w:rFonts w:cs="Arial"/>
                <w:b/>
                <w:i/>
                <w:szCs w:val="22"/>
              </w:rPr>
            </w:pPr>
          </w:p>
          <w:p w:rsidR="00052899" w:rsidRPr="00B40A7C" w:rsidRDefault="00052899" w:rsidP="00052899">
            <w:pPr>
              <w:jc w:val="both"/>
              <w:rPr>
                <w:rFonts w:cs="Arial"/>
                <w:szCs w:val="22"/>
              </w:rPr>
            </w:pPr>
            <w:r w:rsidRPr="00B40A7C">
              <w:rPr>
                <w:rFonts w:cs="Arial"/>
                <w:szCs w:val="22"/>
              </w:rPr>
              <w:t xml:space="preserve">The </w:t>
            </w:r>
            <w:r w:rsidR="00472AFA">
              <w:rPr>
                <w:rFonts w:cs="Arial"/>
                <w:szCs w:val="22"/>
              </w:rPr>
              <w:t>MoH</w:t>
            </w:r>
            <w:r w:rsidR="007D7503">
              <w:rPr>
                <w:rFonts w:cs="Arial"/>
                <w:szCs w:val="22"/>
              </w:rPr>
              <w:t xml:space="preserve"> </w:t>
            </w:r>
            <w:r w:rsidRPr="00B40A7C">
              <w:rPr>
                <w:rFonts w:cs="Arial"/>
                <w:szCs w:val="22"/>
              </w:rPr>
              <w:t xml:space="preserve">has oversight responsibility over all agencies within the health sector. GHS, Teaching hospitals, </w:t>
            </w:r>
            <w:r>
              <w:rPr>
                <w:rFonts w:cs="Arial"/>
                <w:szCs w:val="22"/>
              </w:rPr>
              <w:t>Christian Health Association of Ghana (</w:t>
            </w:r>
            <w:r w:rsidRPr="00B40A7C">
              <w:rPr>
                <w:rFonts w:cs="Arial"/>
                <w:szCs w:val="22"/>
              </w:rPr>
              <w:t>CHAG</w:t>
            </w:r>
            <w:r>
              <w:rPr>
                <w:rFonts w:cs="Arial"/>
                <w:szCs w:val="22"/>
              </w:rPr>
              <w:t>)</w:t>
            </w:r>
            <w:r w:rsidRPr="00B40A7C">
              <w:rPr>
                <w:rFonts w:cs="Arial"/>
                <w:szCs w:val="22"/>
              </w:rPr>
              <w:t>, Quasi Government Health Institutions and private sector are responsible for service delivery.</w:t>
            </w:r>
            <w:r>
              <w:rPr>
                <w:rFonts w:cs="Arial"/>
                <w:szCs w:val="22"/>
              </w:rPr>
              <w:t xml:space="preserve"> </w:t>
            </w:r>
            <w:r w:rsidRPr="00B40A7C">
              <w:rPr>
                <w:rFonts w:cs="Arial"/>
                <w:szCs w:val="22"/>
              </w:rPr>
              <w:t>CHAG and private sector provide about 40% of service delivery</w:t>
            </w:r>
            <w:r w:rsidRPr="009E3797">
              <w:rPr>
                <w:rFonts w:cs="Arial"/>
                <w:szCs w:val="22"/>
              </w:rPr>
              <w:t>.</w:t>
            </w:r>
            <w:r w:rsidRPr="00B40A7C">
              <w:rPr>
                <w:rFonts w:cs="Arial"/>
                <w:szCs w:val="22"/>
              </w:rPr>
              <w:t xml:space="preserve"> The regulatory agencies ensure that health care providers practice within agreed standards and their services are accessible to the whole population. There are both public and private health-training institutions producing trained health professionals for the health sector. CSOs also play a considerable role in delivering </w:t>
            </w:r>
            <w:r>
              <w:rPr>
                <w:rFonts w:cs="Arial"/>
                <w:szCs w:val="22"/>
              </w:rPr>
              <w:t xml:space="preserve">health services to communities. </w:t>
            </w:r>
            <w:r w:rsidRPr="00B40A7C">
              <w:rPr>
                <w:rFonts w:cs="Arial"/>
                <w:szCs w:val="22"/>
              </w:rPr>
              <w:t xml:space="preserve">They are effective medium for community mobilisation for immunisation service delivery. </w:t>
            </w:r>
          </w:p>
          <w:p w:rsidR="00052899" w:rsidRDefault="00052899" w:rsidP="00052899">
            <w:pPr>
              <w:widowControl w:val="0"/>
              <w:autoSpaceDE w:val="0"/>
              <w:autoSpaceDN w:val="0"/>
              <w:adjustRightInd w:val="0"/>
              <w:ind w:right="152"/>
              <w:jc w:val="both"/>
              <w:rPr>
                <w:rFonts w:cs="Arial"/>
                <w:b/>
                <w:kern w:val="1"/>
                <w:szCs w:val="22"/>
                <w:u w:color="FF0000"/>
              </w:rPr>
            </w:pPr>
          </w:p>
          <w:p w:rsidR="00052899" w:rsidRPr="00B40A7C" w:rsidRDefault="00052899" w:rsidP="00052899">
            <w:pPr>
              <w:widowControl w:val="0"/>
              <w:autoSpaceDE w:val="0"/>
              <w:autoSpaceDN w:val="0"/>
              <w:adjustRightInd w:val="0"/>
              <w:ind w:right="152"/>
              <w:jc w:val="both"/>
              <w:rPr>
                <w:rFonts w:cs="Arial"/>
                <w:b/>
                <w:kern w:val="1"/>
                <w:szCs w:val="22"/>
                <w:u w:color="FF0000"/>
              </w:rPr>
            </w:pPr>
            <w:r w:rsidRPr="00B40A7C">
              <w:rPr>
                <w:rFonts w:cs="Arial"/>
                <w:b/>
                <w:kern w:val="1"/>
                <w:szCs w:val="22"/>
                <w:u w:color="FF0000"/>
              </w:rPr>
              <w:t>Health Service Delivery</w:t>
            </w:r>
          </w:p>
          <w:p w:rsidR="00052899" w:rsidRDefault="00052899" w:rsidP="00052899">
            <w:pPr>
              <w:widowControl w:val="0"/>
              <w:autoSpaceDE w:val="0"/>
              <w:autoSpaceDN w:val="0"/>
              <w:adjustRightInd w:val="0"/>
              <w:ind w:right="152"/>
              <w:jc w:val="both"/>
              <w:rPr>
                <w:rFonts w:cs="Arial"/>
                <w:kern w:val="1"/>
                <w:szCs w:val="22"/>
                <w:u w:color="FF0000"/>
              </w:rPr>
            </w:pPr>
            <w:r w:rsidRPr="00B40A7C">
              <w:rPr>
                <w:rFonts w:cs="Arial"/>
                <w:kern w:val="1"/>
                <w:szCs w:val="22"/>
                <w:u w:color="FF0000"/>
              </w:rPr>
              <w:t>Service delivery within the health sector is organised at four main levels; (1) tertiary services - mainly provided by the 4 teaching hospitals, 3 psychiatry and other specialised hospitals. (2) At the secondary level there are 9 regional hospitals in the country which serve as referral centres to the lower levels. (3) The country has 216 administrative districts with 109 district hospitals. (4) At the sub-district level, there are 1005 health administrative sub-districts with 789 health centres and 1,676 Community Based Health Planning and Services zones (CHPS). There is an average of 5 CHPS Zones in each sub district. A Zone is a geographical area covering a population of about 5000 people. It is made up of about 5-8 communities and is managed by two Community Health Officers. There are also 969 clinics, 263 hospitals, 348 materni</w:t>
            </w:r>
            <w:r>
              <w:rPr>
                <w:rFonts w:cs="Arial"/>
                <w:kern w:val="1"/>
                <w:szCs w:val="22"/>
                <w:u w:color="FF0000"/>
              </w:rPr>
              <w:t>ty homes, 20 polyclinics and 2 University H</w:t>
            </w:r>
            <w:r w:rsidRPr="00B40A7C">
              <w:rPr>
                <w:rFonts w:cs="Arial"/>
                <w:kern w:val="1"/>
                <w:szCs w:val="22"/>
                <w:u w:color="FF0000"/>
              </w:rPr>
              <w:t>ospitals. There are over 3000 immunisation centres in the country.</w:t>
            </w:r>
            <w:r>
              <w:rPr>
                <w:rFonts w:cs="Arial"/>
                <w:kern w:val="1"/>
                <w:szCs w:val="22"/>
                <w:u w:color="FF0000"/>
              </w:rPr>
              <w:t xml:space="preserve"> There are plans to increase functional CHPS</w:t>
            </w:r>
            <w:r w:rsidR="00202C1C">
              <w:rPr>
                <w:rFonts w:cs="Arial"/>
                <w:kern w:val="1"/>
                <w:szCs w:val="22"/>
                <w:u w:color="FF0000"/>
              </w:rPr>
              <w:t xml:space="preserve"> zones</w:t>
            </w:r>
            <w:r>
              <w:rPr>
                <w:rFonts w:cs="Arial"/>
                <w:kern w:val="1"/>
                <w:szCs w:val="22"/>
                <w:u w:color="FF0000"/>
              </w:rPr>
              <w:t xml:space="preserve"> to cover all 6500 electoral areas by 2018.</w:t>
            </w:r>
          </w:p>
          <w:p w:rsidR="00052899" w:rsidRPr="00B40A7C" w:rsidRDefault="00052899" w:rsidP="00052899">
            <w:pPr>
              <w:widowControl w:val="0"/>
              <w:autoSpaceDE w:val="0"/>
              <w:autoSpaceDN w:val="0"/>
              <w:adjustRightInd w:val="0"/>
              <w:ind w:right="152"/>
              <w:jc w:val="both"/>
              <w:rPr>
                <w:rFonts w:cs="Arial"/>
                <w:kern w:val="1"/>
                <w:szCs w:val="22"/>
                <w:u w:color="FF0000"/>
              </w:rPr>
            </w:pPr>
          </w:p>
          <w:p w:rsidR="00052899" w:rsidRPr="00B40A7C" w:rsidRDefault="00052899" w:rsidP="00052899">
            <w:pPr>
              <w:widowControl w:val="0"/>
              <w:autoSpaceDE w:val="0"/>
              <w:autoSpaceDN w:val="0"/>
              <w:adjustRightInd w:val="0"/>
              <w:ind w:right="152"/>
              <w:jc w:val="both"/>
              <w:rPr>
                <w:rFonts w:cs="Arial"/>
                <w:kern w:val="1"/>
                <w:szCs w:val="22"/>
                <w:u w:color="FF0000"/>
              </w:rPr>
            </w:pPr>
            <w:r w:rsidRPr="00B40A7C">
              <w:rPr>
                <w:rFonts w:cs="Arial"/>
                <w:color w:val="000000"/>
                <w:szCs w:val="22"/>
              </w:rPr>
              <w:t>The private health sector in Ghana is large hence</w:t>
            </w:r>
            <w:r>
              <w:rPr>
                <w:rFonts w:cs="Arial"/>
                <w:color w:val="000000"/>
                <w:szCs w:val="22"/>
              </w:rPr>
              <w:t>,</w:t>
            </w:r>
            <w:r w:rsidRPr="00B40A7C">
              <w:rPr>
                <w:rFonts w:cs="Arial"/>
                <w:color w:val="000000"/>
                <w:szCs w:val="22"/>
              </w:rPr>
              <w:t xml:space="preserve"> an important actor in the health industry for health-related goods and services. The private self-financing sector is concentrated in the urban and peri-urban areas, with low rural penetration. Private self-financing health providers in rural areas face more challenges given the higher poverty rate of the population. </w:t>
            </w:r>
          </w:p>
          <w:p w:rsidR="00052899" w:rsidRPr="00B40A7C" w:rsidRDefault="00052899" w:rsidP="00052899">
            <w:pPr>
              <w:autoSpaceDE w:val="0"/>
              <w:autoSpaceDN w:val="0"/>
              <w:adjustRightInd w:val="0"/>
              <w:jc w:val="both"/>
              <w:rPr>
                <w:rFonts w:cs="Arial"/>
                <w:color w:val="000000"/>
                <w:szCs w:val="22"/>
              </w:rPr>
            </w:pPr>
          </w:p>
          <w:p w:rsidR="00052899" w:rsidRPr="00B40A7C" w:rsidRDefault="00052899" w:rsidP="00052899">
            <w:pPr>
              <w:autoSpaceDE w:val="0"/>
              <w:autoSpaceDN w:val="0"/>
              <w:adjustRightInd w:val="0"/>
              <w:jc w:val="both"/>
              <w:rPr>
                <w:rFonts w:cs="Arial"/>
                <w:b/>
                <w:szCs w:val="22"/>
              </w:rPr>
            </w:pPr>
            <w:r w:rsidRPr="00B40A7C">
              <w:rPr>
                <w:rFonts w:cs="Arial"/>
                <w:b/>
                <w:szCs w:val="22"/>
              </w:rPr>
              <w:t>Mechanisms for ensuring quality of service delivery</w:t>
            </w:r>
          </w:p>
          <w:p w:rsidR="00052899" w:rsidRPr="00B40A7C" w:rsidRDefault="00052899" w:rsidP="00202C1C">
            <w:pPr>
              <w:autoSpaceDE w:val="0"/>
              <w:autoSpaceDN w:val="0"/>
              <w:adjustRightInd w:val="0"/>
              <w:jc w:val="both"/>
              <w:rPr>
                <w:rFonts w:cs="Arial"/>
                <w:color w:val="000000"/>
                <w:szCs w:val="22"/>
              </w:rPr>
            </w:pPr>
            <w:r w:rsidRPr="00B40A7C">
              <w:rPr>
                <w:rFonts w:cs="Arial"/>
                <w:color w:val="000000"/>
                <w:szCs w:val="22"/>
              </w:rPr>
              <w:t>The mechanisms to ensure good quality service delivery include policy dialogue and performance monitoring at all levels. Structures put in place to enforce the implementation of these mechanisms include</w:t>
            </w:r>
            <w:r>
              <w:rPr>
                <w:rFonts w:cs="Arial"/>
                <w:color w:val="000000"/>
                <w:szCs w:val="22"/>
              </w:rPr>
              <w:t xml:space="preserve">: </w:t>
            </w:r>
            <w:r w:rsidRPr="00B40A7C">
              <w:rPr>
                <w:rFonts w:cs="Arial"/>
                <w:color w:val="000000"/>
                <w:szCs w:val="22"/>
              </w:rPr>
              <w:t>Inter</w:t>
            </w:r>
            <w:r w:rsidR="00202C1C">
              <w:rPr>
                <w:rFonts w:cs="Arial"/>
                <w:color w:val="000000"/>
                <w:szCs w:val="22"/>
              </w:rPr>
              <w:t xml:space="preserve"> A</w:t>
            </w:r>
            <w:r w:rsidRPr="00B40A7C">
              <w:rPr>
                <w:rFonts w:cs="Arial"/>
                <w:color w:val="000000"/>
                <w:szCs w:val="22"/>
              </w:rPr>
              <w:t xml:space="preserve">gency </w:t>
            </w:r>
            <w:r w:rsidR="00202C1C">
              <w:rPr>
                <w:rFonts w:cs="Arial"/>
                <w:color w:val="000000"/>
                <w:szCs w:val="22"/>
              </w:rPr>
              <w:t>L</w:t>
            </w:r>
            <w:r w:rsidRPr="00B40A7C">
              <w:rPr>
                <w:rFonts w:cs="Arial"/>
                <w:color w:val="000000"/>
                <w:szCs w:val="22"/>
              </w:rPr>
              <w:t xml:space="preserve">eadership </w:t>
            </w:r>
            <w:r w:rsidR="00202C1C">
              <w:rPr>
                <w:rFonts w:cs="Arial"/>
                <w:color w:val="000000"/>
                <w:szCs w:val="22"/>
              </w:rPr>
              <w:t>C</w:t>
            </w:r>
            <w:r w:rsidRPr="00B40A7C">
              <w:rPr>
                <w:rFonts w:cs="Arial"/>
                <w:color w:val="000000"/>
                <w:szCs w:val="22"/>
              </w:rPr>
              <w:t>ommittee, Health Sector Working Group, Inter-</w:t>
            </w:r>
            <w:r w:rsidR="00202C1C">
              <w:rPr>
                <w:rFonts w:cs="Arial"/>
                <w:color w:val="000000"/>
                <w:szCs w:val="22"/>
              </w:rPr>
              <w:t>A</w:t>
            </w:r>
            <w:r w:rsidRPr="00B40A7C">
              <w:rPr>
                <w:rFonts w:cs="Arial"/>
                <w:color w:val="000000"/>
                <w:szCs w:val="22"/>
              </w:rPr>
              <w:t xml:space="preserve">gency </w:t>
            </w:r>
            <w:r w:rsidR="00202C1C">
              <w:rPr>
                <w:rFonts w:cs="Arial"/>
                <w:color w:val="000000"/>
                <w:szCs w:val="22"/>
              </w:rPr>
              <w:t>C</w:t>
            </w:r>
            <w:r w:rsidRPr="00B40A7C">
              <w:rPr>
                <w:rFonts w:cs="Arial"/>
                <w:color w:val="000000"/>
                <w:szCs w:val="22"/>
              </w:rPr>
              <w:t xml:space="preserve">oordinating </w:t>
            </w:r>
            <w:r w:rsidR="00202C1C">
              <w:rPr>
                <w:rFonts w:cs="Arial"/>
                <w:color w:val="000000"/>
                <w:szCs w:val="22"/>
              </w:rPr>
              <w:t>C</w:t>
            </w:r>
            <w:r w:rsidRPr="00B40A7C">
              <w:rPr>
                <w:rFonts w:cs="Arial"/>
                <w:color w:val="000000"/>
                <w:szCs w:val="22"/>
              </w:rPr>
              <w:t xml:space="preserve">ommittees, Business Meetings, Annual health summit, Decentralised sector dialogue, </w:t>
            </w:r>
            <w:r w:rsidR="00202C1C">
              <w:rPr>
                <w:rFonts w:cs="Arial"/>
                <w:color w:val="000000"/>
                <w:szCs w:val="22"/>
              </w:rPr>
              <w:t>s</w:t>
            </w:r>
            <w:r w:rsidRPr="00B40A7C">
              <w:rPr>
                <w:rFonts w:cs="Arial"/>
                <w:color w:val="000000"/>
                <w:szCs w:val="22"/>
              </w:rPr>
              <w:t xml:space="preserve">upportive supervision and </w:t>
            </w:r>
            <w:r w:rsidR="00202C1C">
              <w:rPr>
                <w:rFonts w:cs="Arial"/>
                <w:color w:val="000000"/>
                <w:szCs w:val="22"/>
              </w:rPr>
              <w:t>e</w:t>
            </w:r>
            <w:r w:rsidRPr="00B40A7C">
              <w:rPr>
                <w:rFonts w:cs="Arial"/>
                <w:color w:val="000000"/>
                <w:szCs w:val="22"/>
              </w:rPr>
              <w:t xml:space="preserve">ngagement with the </w:t>
            </w:r>
            <w:r w:rsidR="00202C1C">
              <w:rPr>
                <w:rFonts w:cs="Arial"/>
                <w:color w:val="000000"/>
                <w:szCs w:val="22"/>
              </w:rPr>
              <w:t>p</w:t>
            </w:r>
            <w:r w:rsidRPr="00B40A7C">
              <w:rPr>
                <w:rFonts w:cs="Arial"/>
                <w:color w:val="000000"/>
                <w:szCs w:val="22"/>
              </w:rPr>
              <w:t xml:space="preserve">rivate </w:t>
            </w:r>
            <w:r w:rsidR="00202C1C">
              <w:rPr>
                <w:rFonts w:cs="Arial"/>
                <w:color w:val="000000"/>
                <w:szCs w:val="22"/>
              </w:rPr>
              <w:t>s</w:t>
            </w:r>
            <w:r w:rsidRPr="00B40A7C">
              <w:rPr>
                <w:rFonts w:cs="Arial"/>
                <w:color w:val="000000"/>
                <w:szCs w:val="22"/>
              </w:rPr>
              <w:t xml:space="preserve">ector and </w:t>
            </w:r>
            <w:r w:rsidR="00202C1C">
              <w:rPr>
                <w:rFonts w:cs="Arial"/>
                <w:color w:val="000000"/>
                <w:szCs w:val="22"/>
              </w:rPr>
              <w:t>c</w:t>
            </w:r>
            <w:r w:rsidRPr="00B40A7C">
              <w:rPr>
                <w:rFonts w:cs="Arial"/>
                <w:color w:val="000000"/>
                <w:szCs w:val="22"/>
              </w:rPr>
              <w:t xml:space="preserve">ivil </w:t>
            </w:r>
            <w:r w:rsidR="00202C1C">
              <w:rPr>
                <w:rFonts w:cs="Arial"/>
                <w:color w:val="000000"/>
                <w:szCs w:val="22"/>
              </w:rPr>
              <w:t>s</w:t>
            </w:r>
            <w:r w:rsidRPr="00B40A7C">
              <w:rPr>
                <w:rFonts w:cs="Arial"/>
                <w:color w:val="000000"/>
                <w:szCs w:val="22"/>
              </w:rPr>
              <w:t>ociety</w:t>
            </w:r>
            <w:r w:rsidRPr="00B40A7C">
              <w:rPr>
                <w:rFonts w:eastAsia="Calibri" w:cs="Arial"/>
                <w:i/>
                <w:color w:val="000000"/>
                <w:szCs w:val="22"/>
                <w:lang w:val="en-CA"/>
              </w:rPr>
              <w:t xml:space="preserve"> (see CMA III, 2010:pp.8-15)</w:t>
            </w:r>
            <w:r w:rsidR="00202C1C">
              <w:rPr>
                <w:rFonts w:eastAsia="Calibri" w:cs="Arial"/>
                <w:i/>
                <w:color w:val="000000"/>
                <w:szCs w:val="22"/>
                <w:lang w:val="en-CA"/>
              </w:rPr>
              <w:t>.</w:t>
            </w:r>
          </w:p>
          <w:p w:rsidR="00052899" w:rsidRPr="00B40A7C" w:rsidRDefault="00052899" w:rsidP="00052899">
            <w:pPr>
              <w:autoSpaceDE w:val="0"/>
              <w:autoSpaceDN w:val="0"/>
              <w:adjustRightInd w:val="0"/>
              <w:jc w:val="both"/>
              <w:rPr>
                <w:rFonts w:cs="Arial"/>
                <w:color w:val="000000"/>
                <w:szCs w:val="22"/>
              </w:rPr>
            </w:pPr>
          </w:p>
          <w:p w:rsidR="00052899" w:rsidRPr="00B40A7C" w:rsidRDefault="00052899" w:rsidP="00052899">
            <w:pPr>
              <w:autoSpaceDE w:val="0"/>
              <w:autoSpaceDN w:val="0"/>
              <w:adjustRightInd w:val="0"/>
              <w:jc w:val="both"/>
              <w:rPr>
                <w:rFonts w:cs="Arial"/>
                <w:b/>
                <w:color w:val="000000"/>
                <w:szCs w:val="22"/>
                <w:lang w:eastAsia="en-CA"/>
              </w:rPr>
            </w:pPr>
            <w:r w:rsidRPr="00B40A7C">
              <w:rPr>
                <w:rFonts w:cs="Arial"/>
                <w:b/>
                <w:color w:val="000000"/>
                <w:szCs w:val="22"/>
                <w:lang w:eastAsia="en-CA"/>
              </w:rPr>
              <w:t>Workforce and Human Resource</w:t>
            </w:r>
          </w:p>
          <w:p w:rsidR="00052899" w:rsidRPr="00B40A7C" w:rsidRDefault="00052899" w:rsidP="00052899">
            <w:pPr>
              <w:jc w:val="both"/>
              <w:rPr>
                <w:rFonts w:cs="Arial"/>
                <w:szCs w:val="22"/>
              </w:rPr>
            </w:pPr>
            <w:r w:rsidRPr="00B40A7C">
              <w:rPr>
                <w:rFonts w:cs="Arial"/>
                <w:szCs w:val="22"/>
              </w:rPr>
              <w:t xml:space="preserve">The draft Human Resource Policy </w:t>
            </w:r>
            <w:r>
              <w:rPr>
                <w:rFonts w:cs="Arial"/>
                <w:szCs w:val="22"/>
              </w:rPr>
              <w:t xml:space="preserve">and </w:t>
            </w:r>
            <w:r w:rsidRPr="00B40A7C">
              <w:rPr>
                <w:rFonts w:cs="Arial"/>
                <w:szCs w:val="22"/>
              </w:rPr>
              <w:t>Strategies</w:t>
            </w:r>
            <w:r>
              <w:rPr>
                <w:rFonts w:cs="Arial"/>
                <w:szCs w:val="22"/>
              </w:rPr>
              <w:t xml:space="preserve"> </w:t>
            </w:r>
            <w:r w:rsidRPr="00B40A7C">
              <w:rPr>
                <w:rFonts w:cs="Arial"/>
                <w:szCs w:val="22"/>
              </w:rPr>
              <w:t>for the Health Sector 2014 – 2017 identify prio</w:t>
            </w:r>
            <w:r>
              <w:rPr>
                <w:rFonts w:cs="Arial"/>
                <w:szCs w:val="22"/>
              </w:rPr>
              <w:t>rity areas and challenges</w:t>
            </w:r>
            <w:r w:rsidRPr="00B40A7C">
              <w:rPr>
                <w:rFonts w:cs="Arial"/>
                <w:szCs w:val="22"/>
              </w:rPr>
              <w:t xml:space="preserve"> with a four-fold thrust to increase the</w:t>
            </w:r>
            <w:r w:rsidRPr="00B40A7C">
              <w:rPr>
                <w:rFonts w:cs="Arial"/>
                <w:color w:val="000000"/>
                <w:szCs w:val="22"/>
              </w:rPr>
              <w:t xml:space="preserve"> production of quality health professionals, ensure equitable distribution of health workers, improve health worker productivity and cross-cutting issues affecting health workforce.</w:t>
            </w:r>
          </w:p>
          <w:p w:rsidR="00052899" w:rsidRPr="00B40A7C" w:rsidRDefault="00052899" w:rsidP="00052899">
            <w:pPr>
              <w:jc w:val="both"/>
              <w:rPr>
                <w:rFonts w:cs="Arial"/>
                <w:szCs w:val="22"/>
              </w:rPr>
            </w:pPr>
          </w:p>
          <w:p w:rsidR="00052899" w:rsidRDefault="00052899" w:rsidP="00052899">
            <w:pPr>
              <w:jc w:val="both"/>
              <w:rPr>
                <w:rFonts w:cs="Arial"/>
                <w:szCs w:val="22"/>
              </w:rPr>
            </w:pPr>
            <w:r w:rsidRPr="00B40A7C">
              <w:rPr>
                <w:rFonts w:cs="Arial"/>
                <w:szCs w:val="22"/>
              </w:rPr>
              <w:t>The health workforce includes those offering clinical services and health support services respectively. The clinical staff include medical, nursing and other health professional whose work impact directly on service delivery</w:t>
            </w:r>
            <w:r w:rsidRPr="00B40A7C">
              <w:rPr>
                <w:rFonts w:cs="Arial"/>
                <w:color w:val="000000"/>
                <w:szCs w:val="22"/>
              </w:rPr>
              <w:t>.</w:t>
            </w:r>
            <w:r w:rsidRPr="00B40A7C">
              <w:rPr>
                <w:rFonts w:cs="Arial"/>
                <w:szCs w:val="22"/>
              </w:rPr>
              <w:t xml:space="preserve"> The doctor-population ratio has not changed significantly within the last three years (1:11,698 in 2010 to 1:10,452 in 2012). Large regional variations however persist with Greater Accra Region, which has the capital city, having 11 times more doctors per population compared to Upper West Region. The nurse-population ratio has improved from 1:1,497 (2009) to 1:1,251 (2012.). The number of midwives reduced from 4,034 in 2011 to 3,863 midwives in 2012. (Human Resource Annual Report, MoH, 2012). The training and deployment of midwives is not keeping pace with those going on retirement. There are 11,056 community health nurses offering primary health care services</w:t>
            </w:r>
            <w:r>
              <w:rPr>
                <w:rFonts w:cs="Arial"/>
                <w:szCs w:val="22"/>
              </w:rPr>
              <w:t xml:space="preserve"> (See Annex 2 for Trend of Sector-wide Indicators).</w:t>
            </w:r>
          </w:p>
          <w:p w:rsidR="00052899" w:rsidRPr="00B40A7C" w:rsidRDefault="00052899" w:rsidP="00052899">
            <w:pPr>
              <w:jc w:val="both"/>
              <w:rPr>
                <w:rFonts w:cs="Arial"/>
                <w:szCs w:val="22"/>
              </w:rPr>
            </w:pPr>
          </w:p>
          <w:p w:rsidR="00052899" w:rsidRPr="00B40A7C" w:rsidRDefault="00052899" w:rsidP="00052899">
            <w:pPr>
              <w:jc w:val="both"/>
              <w:rPr>
                <w:rFonts w:cs="Arial"/>
                <w:b/>
                <w:szCs w:val="22"/>
              </w:rPr>
            </w:pPr>
            <w:r w:rsidRPr="00B40A7C">
              <w:rPr>
                <w:rFonts w:cs="Arial"/>
                <w:b/>
                <w:szCs w:val="22"/>
              </w:rPr>
              <w:t>Procurement and Supply Chain Management</w:t>
            </w:r>
          </w:p>
          <w:p w:rsidR="00052899" w:rsidRDefault="00052899" w:rsidP="00267F82">
            <w:pPr>
              <w:spacing w:after="200"/>
              <w:jc w:val="both"/>
              <w:rPr>
                <w:rFonts w:cs="Arial"/>
                <w:b/>
                <w:bCs/>
                <w:szCs w:val="22"/>
              </w:rPr>
            </w:pPr>
            <w:r w:rsidRPr="00B40A7C">
              <w:rPr>
                <w:rFonts w:cs="Arial"/>
                <w:szCs w:val="22"/>
              </w:rPr>
              <w:t>EPI vaccines are procured from international manufacturers and bundled with safe inje</w:t>
            </w:r>
            <w:r>
              <w:rPr>
                <w:rFonts w:cs="Arial"/>
                <w:szCs w:val="22"/>
              </w:rPr>
              <w:t xml:space="preserve">ction equipment through UNICEF. </w:t>
            </w:r>
            <w:r w:rsidRPr="00B40A7C">
              <w:rPr>
                <w:rFonts w:cs="Arial"/>
                <w:szCs w:val="22"/>
              </w:rPr>
              <w:t xml:space="preserve">There is no local production of vaccines and safe injection equipment. The procurement of cold chain equipment and vehicles follow the legal and regulative process outlined in the Procurement ACT, 2003 (ACT 663) of the Republic of Ghana and the Common Management Arrangement III (CMAIII: pp.30-31). Ghana practices a mixture of “push and pull” systems for vaccines and logistics supply chain system. The national level “pushes” vaccines and diluents to regions based on their target population and previous consumption patterns on quarterly basis. The devices are however “pulled" by the regions. The districts also pull their vaccines and logistics from the regions in much the same way that facilities also pull them from the districts. In all these, the principles </w:t>
            </w:r>
            <w:r w:rsidRPr="009E3797">
              <w:rPr>
                <w:rFonts w:cs="Arial"/>
                <w:szCs w:val="22"/>
              </w:rPr>
              <w:t>of bundling vaccines and logistics are followed. In terms of storage and distributin</w:t>
            </w:r>
            <w:r w:rsidR="00267F82">
              <w:rPr>
                <w:rFonts w:cs="Arial"/>
                <w:szCs w:val="22"/>
              </w:rPr>
              <w:t>g</w:t>
            </w:r>
            <w:r w:rsidRPr="009E3797">
              <w:rPr>
                <w:rFonts w:cs="Arial"/>
                <w:szCs w:val="22"/>
              </w:rPr>
              <w:t xml:space="preserve"> </w:t>
            </w:r>
            <w:r w:rsidR="00267F82">
              <w:rPr>
                <w:rFonts w:cs="Arial"/>
                <w:szCs w:val="22"/>
              </w:rPr>
              <w:t xml:space="preserve">to </w:t>
            </w:r>
            <w:r w:rsidRPr="009E3797">
              <w:rPr>
                <w:rFonts w:cs="Arial"/>
                <w:szCs w:val="22"/>
              </w:rPr>
              <w:t>facilities, particularly for vaccine products, all the regions have walk-In Cold Rooms (WICRs) with adequate storage capacities. However</w:t>
            </w:r>
            <w:r>
              <w:rPr>
                <w:rFonts w:cs="Arial"/>
                <w:szCs w:val="22"/>
              </w:rPr>
              <w:t>,</w:t>
            </w:r>
            <w:r w:rsidRPr="009E3797">
              <w:rPr>
                <w:rFonts w:cs="Arial"/>
                <w:szCs w:val="22"/>
              </w:rPr>
              <w:t xml:space="preserve"> there is the need to increase the storage capacity of the national cold room to an additional 40m3 capacity WICR.</w:t>
            </w:r>
          </w:p>
          <w:p w:rsidR="00052899" w:rsidRPr="00B40A7C" w:rsidRDefault="00052899" w:rsidP="00052899">
            <w:pPr>
              <w:autoSpaceDE w:val="0"/>
              <w:autoSpaceDN w:val="0"/>
              <w:adjustRightInd w:val="0"/>
              <w:jc w:val="both"/>
              <w:rPr>
                <w:rFonts w:cs="Arial"/>
                <w:b/>
                <w:szCs w:val="22"/>
              </w:rPr>
            </w:pPr>
            <w:r w:rsidRPr="00B40A7C">
              <w:rPr>
                <w:rFonts w:cs="Arial"/>
                <w:b/>
                <w:color w:val="000000"/>
                <w:szCs w:val="22"/>
                <w:lang w:eastAsia="en-CA"/>
              </w:rPr>
              <w:t>Health Information Management System</w:t>
            </w:r>
          </w:p>
          <w:p w:rsidR="00052899" w:rsidRPr="00B40A7C" w:rsidRDefault="00052899" w:rsidP="00267F82">
            <w:pPr>
              <w:autoSpaceDE w:val="0"/>
              <w:autoSpaceDN w:val="0"/>
              <w:adjustRightInd w:val="0"/>
              <w:jc w:val="both"/>
              <w:rPr>
                <w:rFonts w:cs="Arial"/>
                <w:color w:val="000000"/>
                <w:szCs w:val="22"/>
                <w:lang w:eastAsia="en-CA"/>
              </w:rPr>
            </w:pPr>
            <w:r w:rsidRPr="00B40A7C">
              <w:rPr>
                <w:rFonts w:cs="Arial"/>
                <w:color w:val="000000"/>
                <w:szCs w:val="22"/>
                <w:lang w:eastAsia="en-CA"/>
              </w:rPr>
              <w:t xml:space="preserve">The District Health Information Management System (DHIMS) which is </w:t>
            </w:r>
            <w:r>
              <w:rPr>
                <w:rFonts w:cs="Arial"/>
                <w:color w:val="000000"/>
                <w:szCs w:val="22"/>
                <w:lang w:eastAsia="en-CA"/>
              </w:rPr>
              <w:t>a web-</w:t>
            </w:r>
            <w:r w:rsidRPr="00B40A7C">
              <w:rPr>
                <w:rFonts w:cs="Arial"/>
                <w:color w:val="000000"/>
                <w:szCs w:val="22"/>
                <w:lang w:eastAsia="en-CA"/>
              </w:rPr>
              <w:t xml:space="preserve">based application is the main database information software for recording and reporting health indicators in Ghana. Most primary data are collected using community registers and this is aggregated and entered into DHIMS at the district level and reviewed electronically by the regional and national levels. Strategies to improve data quality include the introduction of electronic registers to </w:t>
            </w:r>
            <w:r w:rsidRPr="00B40A7C">
              <w:rPr>
                <w:rFonts w:cs="Arial"/>
                <w:color w:val="000000"/>
                <w:szCs w:val="22"/>
                <w:lang w:eastAsia="en-CA"/>
              </w:rPr>
              <w:lastRenderedPageBreak/>
              <w:t xml:space="preserve">gradually replace the manual community registers and institutionalising data quality audit. Data validation is conducted monthly by EPI. The MOH’s Integrated Monitoring and Evaluation Framework provides the levels and frequency of data reporting as well as key performance assessment indicators; which also focuses on EPI. The timeliness and completeness of health information has significantly improved with the upgrading of DHIMS-I to DHIMS-II. Ghana conducts Demographic and Health Survey (DHS) every five years and Multiple Indicator Cluster Survey (MICS) in between DHS.  The EPI undertakes periodic performance reviews which are in tandem </w:t>
            </w:r>
            <w:r>
              <w:rPr>
                <w:rFonts w:cs="Arial"/>
                <w:color w:val="000000"/>
                <w:szCs w:val="22"/>
                <w:lang w:eastAsia="en-CA"/>
              </w:rPr>
              <w:t>with</w:t>
            </w:r>
            <w:r w:rsidRPr="00B40A7C">
              <w:rPr>
                <w:rFonts w:cs="Arial"/>
                <w:color w:val="000000"/>
                <w:szCs w:val="22"/>
                <w:lang w:eastAsia="en-CA"/>
              </w:rPr>
              <w:t xml:space="preserve"> the overall health sector performance review and reporting requirements. Additionally</w:t>
            </w:r>
            <w:r>
              <w:rPr>
                <w:rFonts w:cs="Arial"/>
                <w:color w:val="000000"/>
                <w:szCs w:val="22"/>
                <w:lang w:eastAsia="en-CA"/>
              </w:rPr>
              <w:t>,</w:t>
            </w:r>
            <w:r w:rsidRPr="00B40A7C">
              <w:rPr>
                <w:rFonts w:cs="Arial"/>
                <w:color w:val="000000"/>
                <w:szCs w:val="22"/>
                <w:lang w:eastAsia="en-CA"/>
              </w:rPr>
              <w:t xml:space="preserve"> specific reports and assessment are undertaken periodically</w:t>
            </w:r>
            <w:r>
              <w:rPr>
                <w:rFonts w:cs="Arial"/>
                <w:color w:val="000000"/>
                <w:szCs w:val="22"/>
                <w:lang w:eastAsia="en-CA"/>
              </w:rPr>
              <w:t>,</w:t>
            </w:r>
            <w:r w:rsidRPr="00B40A7C">
              <w:rPr>
                <w:rFonts w:cs="Arial"/>
                <w:color w:val="000000"/>
                <w:szCs w:val="22"/>
                <w:lang w:eastAsia="en-CA"/>
              </w:rPr>
              <w:t xml:space="preserve"> which are quarterly reported to the Inter Agency Coordinating Committee</w:t>
            </w:r>
            <w:r>
              <w:rPr>
                <w:rFonts w:cs="Arial"/>
                <w:color w:val="000000"/>
                <w:szCs w:val="22"/>
                <w:lang w:eastAsia="en-CA"/>
              </w:rPr>
              <w:t xml:space="preserve"> (ICC)</w:t>
            </w:r>
            <w:r w:rsidRPr="00B40A7C">
              <w:rPr>
                <w:rFonts w:cs="Arial"/>
                <w:color w:val="000000"/>
                <w:szCs w:val="22"/>
                <w:lang w:eastAsia="en-CA"/>
              </w:rPr>
              <w:t xml:space="preserve">. In addition, assessments such as the Effective Vaccine Management Assessment (EVMA), Ghana Immunisation Service Review and Coverage surveys provide an indication of EPI performance; </w:t>
            </w:r>
            <w:r w:rsidR="00267F82">
              <w:rPr>
                <w:rFonts w:cs="Arial"/>
                <w:color w:val="000000"/>
                <w:szCs w:val="22"/>
                <w:lang w:eastAsia="en-CA"/>
              </w:rPr>
              <w:t xml:space="preserve">which enables </w:t>
            </w:r>
            <w:r w:rsidRPr="00B40A7C">
              <w:rPr>
                <w:rFonts w:cs="Arial"/>
                <w:color w:val="000000"/>
                <w:szCs w:val="22"/>
                <w:lang w:eastAsia="en-CA"/>
              </w:rPr>
              <w:t>identif</w:t>
            </w:r>
            <w:r w:rsidR="00267F82">
              <w:rPr>
                <w:rFonts w:cs="Arial"/>
                <w:color w:val="000000"/>
                <w:szCs w:val="22"/>
                <w:lang w:eastAsia="en-CA"/>
              </w:rPr>
              <w:t>ication</w:t>
            </w:r>
            <w:r w:rsidRPr="00B40A7C">
              <w:rPr>
                <w:rFonts w:cs="Arial"/>
                <w:color w:val="000000"/>
                <w:szCs w:val="22"/>
                <w:lang w:eastAsia="en-CA"/>
              </w:rPr>
              <w:t xml:space="preserve"> </w:t>
            </w:r>
            <w:r w:rsidR="00267F82">
              <w:rPr>
                <w:rFonts w:cs="Arial"/>
                <w:color w:val="000000"/>
                <w:szCs w:val="22"/>
                <w:lang w:eastAsia="en-CA"/>
              </w:rPr>
              <w:t xml:space="preserve">of </w:t>
            </w:r>
            <w:r w:rsidRPr="00B40A7C">
              <w:rPr>
                <w:rFonts w:cs="Arial"/>
                <w:color w:val="000000"/>
                <w:szCs w:val="22"/>
                <w:lang w:eastAsia="en-CA"/>
              </w:rPr>
              <w:t xml:space="preserve">strength and weaknesses and strategies </w:t>
            </w:r>
            <w:r w:rsidR="00267F82">
              <w:rPr>
                <w:rFonts w:cs="Arial"/>
                <w:color w:val="000000"/>
                <w:szCs w:val="22"/>
                <w:lang w:eastAsia="en-CA"/>
              </w:rPr>
              <w:t>for</w:t>
            </w:r>
            <w:r w:rsidRPr="00B40A7C">
              <w:rPr>
                <w:rFonts w:cs="Arial"/>
                <w:color w:val="000000"/>
                <w:szCs w:val="22"/>
                <w:lang w:eastAsia="en-CA"/>
              </w:rPr>
              <w:t xml:space="preserve"> </w:t>
            </w:r>
            <w:r w:rsidR="00267F82">
              <w:rPr>
                <w:rFonts w:cs="Arial"/>
                <w:color w:val="000000"/>
                <w:szCs w:val="22"/>
                <w:lang w:eastAsia="en-CA"/>
              </w:rPr>
              <w:t>re</w:t>
            </w:r>
            <w:r w:rsidRPr="00B40A7C">
              <w:rPr>
                <w:rFonts w:cs="Arial"/>
                <w:color w:val="000000"/>
                <w:szCs w:val="22"/>
                <w:lang w:eastAsia="en-CA"/>
              </w:rPr>
              <w:t>dress.</w:t>
            </w:r>
          </w:p>
          <w:p w:rsidR="00052899" w:rsidRPr="00B40A7C" w:rsidRDefault="00052899" w:rsidP="00052899">
            <w:pPr>
              <w:autoSpaceDE w:val="0"/>
              <w:autoSpaceDN w:val="0"/>
              <w:adjustRightInd w:val="0"/>
              <w:jc w:val="both"/>
              <w:rPr>
                <w:rFonts w:cs="Arial"/>
                <w:color w:val="000000"/>
                <w:szCs w:val="22"/>
                <w:lang w:eastAsia="en-CA"/>
              </w:rPr>
            </w:pPr>
          </w:p>
          <w:p w:rsidR="00052899" w:rsidRPr="00B40A7C" w:rsidRDefault="00052899" w:rsidP="00052899">
            <w:pPr>
              <w:autoSpaceDE w:val="0"/>
              <w:autoSpaceDN w:val="0"/>
              <w:adjustRightInd w:val="0"/>
              <w:jc w:val="both"/>
              <w:rPr>
                <w:rFonts w:cs="Arial"/>
                <w:b/>
                <w:szCs w:val="22"/>
              </w:rPr>
            </w:pPr>
            <w:r w:rsidRPr="00B40A7C">
              <w:rPr>
                <w:rFonts w:cs="Arial"/>
                <w:b/>
                <w:szCs w:val="22"/>
              </w:rPr>
              <w:t>Legal, Policy and Regulatory Environments</w:t>
            </w:r>
          </w:p>
          <w:p w:rsidR="00052899" w:rsidRPr="00B40A7C" w:rsidRDefault="009B46C8" w:rsidP="002B5B84">
            <w:pPr>
              <w:jc w:val="both"/>
              <w:rPr>
                <w:rFonts w:cs="Arial"/>
                <w:szCs w:val="22"/>
              </w:rPr>
            </w:pPr>
            <w:r w:rsidRPr="00B40A7C">
              <w:rPr>
                <w:rFonts w:cs="Arial"/>
                <w:szCs w:val="22"/>
              </w:rPr>
              <w:t xml:space="preserve">The Public Health Act of Ghana </w:t>
            </w:r>
            <w:r w:rsidR="002B5B84">
              <w:rPr>
                <w:rFonts w:cs="Arial"/>
                <w:szCs w:val="22"/>
              </w:rPr>
              <w:t>sets out the</w:t>
            </w:r>
            <w:r w:rsidRPr="00B40A7C">
              <w:rPr>
                <w:rFonts w:cs="Arial"/>
                <w:szCs w:val="22"/>
              </w:rPr>
              <w:t xml:space="preserve"> framework for vaccination</w:t>
            </w:r>
            <w:r w:rsidR="002B5B84">
              <w:rPr>
                <w:rFonts w:cs="Arial"/>
                <w:szCs w:val="22"/>
              </w:rPr>
              <w:t xml:space="preserve"> in Ghana including the </w:t>
            </w:r>
            <w:r w:rsidR="002B5B84" w:rsidRPr="00B40A7C">
              <w:rPr>
                <w:rFonts w:cs="Arial"/>
                <w:szCs w:val="22"/>
              </w:rPr>
              <w:t>responsibilities</w:t>
            </w:r>
            <w:r w:rsidRPr="00B40A7C">
              <w:rPr>
                <w:rFonts w:cs="Arial"/>
                <w:szCs w:val="22"/>
              </w:rPr>
              <w:t xml:space="preserve"> of health professionals and the general public</w:t>
            </w:r>
            <w:r w:rsidR="002B5B84">
              <w:rPr>
                <w:rFonts w:cs="Arial"/>
                <w:szCs w:val="22"/>
              </w:rPr>
              <w:t>.</w:t>
            </w:r>
            <w:r w:rsidRPr="00B40A7C">
              <w:rPr>
                <w:rFonts w:cs="Arial"/>
                <w:szCs w:val="22"/>
              </w:rPr>
              <w:t xml:space="preserve"> </w:t>
            </w:r>
            <w:r w:rsidR="00052899" w:rsidRPr="00B40A7C">
              <w:rPr>
                <w:rFonts w:cs="Arial"/>
                <w:szCs w:val="22"/>
              </w:rPr>
              <w:t>The Policy for Immunizations in Ghana (2011) provides guidelines and standards for the EPI Programme.</w:t>
            </w:r>
          </w:p>
          <w:p w:rsidR="00052899" w:rsidRPr="00B40A7C" w:rsidRDefault="00052899" w:rsidP="00052899">
            <w:pPr>
              <w:jc w:val="both"/>
              <w:rPr>
                <w:rFonts w:cs="Arial"/>
                <w:szCs w:val="22"/>
              </w:rPr>
            </w:pPr>
          </w:p>
          <w:p w:rsidR="00052899" w:rsidRPr="00B40A7C" w:rsidRDefault="00052899" w:rsidP="00607128">
            <w:pPr>
              <w:jc w:val="both"/>
              <w:rPr>
                <w:rFonts w:cs="Arial"/>
                <w:szCs w:val="22"/>
              </w:rPr>
            </w:pPr>
            <w:r w:rsidRPr="00B40A7C">
              <w:rPr>
                <w:rFonts w:cs="Arial"/>
                <w:szCs w:val="22"/>
              </w:rPr>
              <w:t xml:space="preserve">The sector maintains a participatory approach involving key stakeholders in planning, budgeting and implementation of activities including that of HSS and immunisation interventions. This includes representatives from the </w:t>
            </w:r>
            <w:r w:rsidR="00472AFA">
              <w:rPr>
                <w:rFonts w:cs="Arial"/>
                <w:szCs w:val="22"/>
              </w:rPr>
              <w:t>MoH</w:t>
            </w:r>
            <w:r w:rsidR="007D7503">
              <w:rPr>
                <w:rFonts w:cs="Arial"/>
                <w:szCs w:val="22"/>
              </w:rPr>
              <w:t xml:space="preserve"> </w:t>
            </w:r>
            <w:r w:rsidRPr="00B40A7C">
              <w:rPr>
                <w:rFonts w:cs="Arial"/>
                <w:szCs w:val="22"/>
              </w:rPr>
              <w:t>and its agencies (GHS and Teaching Hospitals, Regulatory agencies, Development Partners (DPs) and CSOs).</w:t>
            </w:r>
            <w:r>
              <w:rPr>
                <w:rFonts w:cs="Arial"/>
                <w:szCs w:val="22"/>
              </w:rPr>
              <w:t>Pl</w:t>
            </w:r>
            <w:r w:rsidRPr="00B40A7C">
              <w:rPr>
                <w:rFonts w:cs="Arial"/>
                <w:szCs w:val="22"/>
              </w:rPr>
              <w:t xml:space="preserve">anning and budgeting for </w:t>
            </w:r>
            <w:r w:rsidR="00607128">
              <w:rPr>
                <w:rFonts w:cs="Arial"/>
                <w:szCs w:val="22"/>
              </w:rPr>
              <w:t xml:space="preserve">sector programmes including that of </w:t>
            </w:r>
            <w:r w:rsidRPr="00B40A7C">
              <w:rPr>
                <w:rFonts w:cs="Arial"/>
                <w:szCs w:val="22"/>
              </w:rPr>
              <w:t>HSS and immunisation services is done at the sub-district level. Cross-sectional discussion</w:t>
            </w:r>
            <w:r w:rsidR="00774496">
              <w:rPr>
                <w:rFonts w:cs="Arial"/>
                <w:szCs w:val="22"/>
              </w:rPr>
              <w:t>s</w:t>
            </w:r>
            <w:r w:rsidRPr="00B40A7C">
              <w:rPr>
                <w:rFonts w:cs="Arial"/>
                <w:szCs w:val="22"/>
              </w:rPr>
              <w:t xml:space="preserve"> at various health sector forums, including HSCC monthly meeting and other senior managers meetings are used to review the proposal and its implementation. All sub-districts prepare micro plans at least once in a year in conjunction with key stakeholders like District Assembly, Opinion leaders and NGO’s. Micro plans address specific challenges like hard to reach areas and special populations. These micro sub-districts plans are aggregated into the district, regional and national plans and funded by the sector budget and other funding sources. The aggregated plans and budgets are approved by HSCC.</w:t>
            </w:r>
          </w:p>
          <w:p w:rsidR="00052899" w:rsidRPr="00B40A7C" w:rsidRDefault="00052899" w:rsidP="00052899">
            <w:pPr>
              <w:pStyle w:val="Default"/>
              <w:rPr>
                <w:sz w:val="22"/>
                <w:szCs w:val="22"/>
              </w:rPr>
            </w:pPr>
          </w:p>
          <w:p w:rsidR="00052899" w:rsidRPr="00B40A7C" w:rsidRDefault="00052899" w:rsidP="00052899">
            <w:pPr>
              <w:autoSpaceDE w:val="0"/>
              <w:autoSpaceDN w:val="0"/>
              <w:adjustRightInd w:val="0"/>
              <w:jc w:val="both"/>
              <w:rPr>
                <w:rFonts w:cs="Arial"/>
                <w:b/>
                <w:color w:val="000000"/>
                <w:szCs w:val="22"/>
                <w:lang w:eastAsia="en-CA"/>
              </w:rPr>
            </w:pPr>
            <w:r w:rsidRPr="00B40A7C">
              <w:rPr>
                <w:rFonts w:cs="Arial"/>
                <w:b/>
                <w:color w:val="000000"/>
                <w:szCs w:val="22"/>
                <w:lang w:eastAsia="en-CA"/>
              </w:rPr>
              <w:t>Health Systems Financing</w:t>
            </w:r>
          </w:p>
          <w:p w:rsidR="00052899" w:rsidRPr="00B40A7C" w:rsidRDefault="00052899" w:rsidP="00052899">
            <w:pPr>
              <w:pStyle w:val="Default"/>
              <w:jc w:val="both"/>
              <w:rPr>
                <w:rFonts w:ascii="Arial" w:hAnsi="Arial" w:cs="Arial"/>
                <w:sz w:val="22"/>
                <w:szCs w:val="22"/>
              </w:rPr>
            </w:pPr>
            <w:r w:rsidRPr="00B40A7C">
              <w:rPr>
                <w:rFonts w:ascii="Arial" w:hAnsi="Arial" w:cs="Arial"/>
                <w:sz w:val="22"/>
                <w:szCs w:val="22"/>
              </w:rPr>
              <w:t>The Government of Ghana (GoG) is the major source of funding of the health sector, with substantial resources also coming from DPs, mainly bilateral donors. A total of GHC 3,353.70m has been allocated to the health sector for 2014 (Budget Statement and Economic Policy of Ghana government as presented to the Parliament on 19</w:t>
            </w:r>
            <w:r w:rsidRPr="00B40A7C">
              <w:rPr>
                <w:rFonts w:ascii="Arial" w:hAnsi="Arial" w:cs="Arial"/>
                <w:sz w:val="22"/>
                <w:szCs w:val="22"/>
                <w:vertAlign w:val="superscript"/>
              </w:rPr>
              <w:t>th</w:t>
            </w:r>
            <w:r w:rsidRPr="00B40A7C">
              <w:rPr>
                <w:rFonts w:ascii="Arial" w:hAnsi="Arial" w:cs="Arial"/>
                <w:sz w:val="22"/>
                <w:szCs w:val="22"/>
              </w:rPr>
              <w:t xml:space="preserve"> Novem</w:t>
            </w:r>
            <w:r w:rsidRPr="00B40A7C">
              <w:rPr>
                <w:rFonts w:cs="Arial"/>
                <w:sz w:val="22"/>
                <w:szCs w:val="22"/>
              </w:rPr>
              <w:t>ber 2013)</w:t>
            </w:r>
            <w:r w:rsidRPr="00B40A7C">
              <w:rPr>
                <w:rFonts w:ascii="Arial" w:hAnsi="Arial" w:cs="Arial"/>
                <w:sz w:val="22"/>
                <w:szCs w:val="22"/>
              </w:rPr>
              <w:t>. This comprises the discretionary budget: GOG (36.4%), IGF (40.66%), DP (23.30%). An amount of GH¢926.6</w:t>
            </w:r>
            <w:r>
              <w:rPr>
                <w:rFonts w:ascii="Arial" w:hAnsi="Arial" w:cs="Arial"/>
                <w:sz w:val="22"/>
                <w:szCs w:val="22"/>
              </w:rPr>
              <w:t>m</w:t>
            </w:r>
            <w:r w:rsidRPr="00B40A7C">
              <w:rPr>
                <w:rFonts w:ascii="Arial" w:hAnsi="Arial" w:cs="Arial"/>
                <w:sz w:val="22"/>
                <w:szCs w:val="22"/>
              </w:rPr>
              <w:t xml:space="preserve"> is estimated to be transferred into the National Health Insurance Fund. The trend of budgetary allocation to the health sector shows improvement from GHC </w:t>
            </w:r>
            <w:r w:rsidRPr="00B40A7C">
              <w:rPr>
                <w:rFonts w:ascii="Arial" w:hAnsi="Arial" w:cs="Arial"/>
                <w:sz w:val="22"/>
                <w:szCs w:val="22"/>
                <w:lang w:val="en-CA" w:eastAsia="en-CA"/>
              </w:rPr>
              <w:t xml:space="preserve">1,805.25m in 2011, GHC 2,287.50m in 2012 to GH 3,529.44m in 2013 </w:t>
            </w:r>
            <w:r w:rsidRPr="00B40A7C">
              <w:rPr>
                <w:rFonts w:ascii="Arial" w:hAnsi="Arial" w:cs="Arial"/>
                <w:sz w:val="22"/>
                <w:szCs w:val="22"/>
              </w:rPr>
              <w:t>(MoH, 2013 Programme  of Work:pp.19) but fell nominally by about 5% in 2014.</w:t>
            </w:r>
          </w:p>
          <w:p w:rsidR="00052899" w:rsidRPr="00B40A7C" w:rsidRDefault="00052899" w:rsidP="00052899">
            <w:pPr>
              <w:jc w:val="both"/>
              <w:rPr>
                <w:rFonts w:cs="Arial"/>
                <w:szCs w:val="22"/>
              </w:rPr>
            </w:pPr>
          </w:p>
          <w:p w:rsidR="00052899" w:rsidRPr="009E3797" w:rsidRDefault="00052899" w:rsidP="00052899">
            <w:pPr>
              <w:ind w:right="-78"/>
              <w:jc w:val="both"/>
              <w:rPr>
                <w:rFonts w:cs="Arial"/>
                <w:szCs w:val="22"/>
              </w:rPr>
            </w:pPr>
            <w:r w:rsidRPr="00B40A7C">
              <w:rPr>
                <w:rFonts w:cs="Arial"/>
                <w:szCs w:val="22"/>
              </w:rPr>
              <w:t>The National Health Insurance Act (Act 650) was revised into Act 852 and passed in 2012 to improve coordination in the Health Insurance System throughout the country.  The scheme was initiated to address the problem of financial barrier to health care posed by “out-of-pocket” payment at the point of service delivery in both private and public facilities. Enrolment of new members has increased from 8.16 million in 2010 to 8.30 million in 2011 and 8.65 million at the end of 2012. This represent</w:t>
            </w:r>
            <w:r w:rsidR="00774496">
              <w:rPr>
                <w:rFonts w:cs="Arial"/>
                <w:szCs w:val="22"/>
              </w:rPr>
              <w:t>s</w:t>
            </w:r>
            <w:r w:rsidRPr="00B40A7C">
              <w:rPr>
                <w:rFonts w:cs="Arial"/>
                <w:szCs w:val="22"/>
              </w:rPr>
              <w:t xml:space="preserve"> about 33.4% of the population registered for health Insurance.</w:t>
            </w:r>
          </w:p>
        </w:tc>
      </w:tr>
    </w:tbl>
    <w:p w:rsidR="00052899" w:rsidRPr="00B40A7C" w:rsidRDefault="00052899" w:rsidP="00052899">
      <w:pPr>
        <w:jc w:val="both"/>
        <w:rPr>
          <w:rFonts w:cs="Arial"/>
          <w:szCs w:val="22"/>
        </w:rPr>
      </w:pPr>
    </w:p>
    <w:p w:rsidR="00052899" w:rsidRPr="00B40A7C" w:rsidRDefault="00987A6B" w:rsidP="00052899">
      <w:pPr>
        <w:spacing w:after="200"/>
        <w:jc w:val="both"/>
        <w:rPr>
          <w:rFonts w:cs="Arial"/>
          <w:szCs w:val="22"/>
        </w:rPr>
      </w:pPr>
      <w:r>
        <w:rPr>
          <w:rFonts w:cs="Arial"/>
          <w:szCs w:val="22"/>
        </w:rPr>
        <w:br w:type="page"/>
      </w:r>
    </w:p>
    <w:tbl>
      <w:tblPr>
        <w:tblW w:w="5000" w:type="pct"/>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9576"/>
      </w:tblGrid>
      <w:tr w:rsidR="00052899" w:rsidRPr="00B40A7C">
        <w:tc>
          <w:tcPr>
            <w:tcW w:w="5000" w:type="pct"/>
            <w:shd w:val="clear" w:color="auto" w:fill="006460"/>
          </w:tcPr>
          <w:p w:rsidR="00052899" w:rsidRDefault="00052899">
            <w:pPr>
              <w:pStyle w:val="Heading1"/>
            </w:pPr>
            <w:bookmarkStart w:id="562" w:name="_Toc346116638"/>
            <w:bookmarkStart w:id="563" w:name="_Toc372016096"/>
            <w:bookmarkStart w:id="564" w:name="_Toc372099690"/>
            <w:bookmarkStart w:id="565" w:name="_Toc377545381"/>
            <w:r w:rsidRPr="00291E76">
              <w:t>7.  NATIONAL HEALTH STRATEGY AND JOINT ASSESSMENT OF NATIONAL HEALTH STRATEGY (JANS)</w:t>
            </w:r>
            <w:bookmarkEnd w:id="562"/>
            <w:bookmarkEnd w:id="563"/>
            <w:bookmarkEnd w:id="564"/>
            <w:bookmarkEnd w:id="565"/>
          </w:p>
        </w:tc>
      </w:tr>
      <w:tr w:rsidR="00052899" w:rsidRPr="00B40A7C">
        <w:trPr>
          <w:trHeight w:val="5657"/>
        </w:trPr>
        <w:tc>
          <w:tcPr>
            <w:tcW w:w="5000" w:type="pct"/>
            <w:shd w:val="clear" w:color="auto" w:fill="FFFFFF"/>
          </w:tcPr>
          <w:p w:rsidR="00052899" w:rsidRDefault="00052899" w:rsidP="00052899">
            <w:pPr>
              <w:jc w:val="both"/>
              <w:rPr>
                <w:rFonts w:cs="Arial"/>
                <w:szCs w:val="22"/>
              </w:rPr>
            </w:pPr>
          </w:p>
          <w:p w:rsidR="00052899" w:rsidRPr="00B40A7C" w:rsidRDefault="00052899" w:rsidP="00A8579B">
            <w:pPr>
              <w:jc w:val="both"/>
              <w:rPr>
                <w:rFonts w:cs="Arial"/>
                <w:szCs w:val="22"/>
              </w:rPr>
            </w:pPr>
            <w:r w:rsidRPr="00B40A7C">
              <w:rPr>
                <w:rFonts w:cs="Arial"/>
                <w:szCs w:val="22"/>
              </w:rPr>
              <w:t>The Ministry of Health has completed the implementation of its HSMTDP 2010-2013. Currently, the HSMTDP 2014-2017 is being developed and a timetable for its completion has been provided as part of section 2 (and attached). The HSMTDP 2010-2013 was assessed by JANS and the recommendations used to complete the plan (see attach</w:t>
            </w:r>
            <w:r w:rsidR="00472AFA">
              <w:rPr>
                <w:rFonts w:cs="Arial"/>
                <w:szCs w:val="22"/>
              </w:rPr>
              <w:t>ed</w:t>
            </w:r>
            <w:r w:rsidR="00A8579B">
              <w:rPr>
                <w:rFonts w:cs="Arial"/>
                <w:szCs w:val="22"/>
              </w:rPr>
              <w:t>; JANS 2010</w:t>
            </w:r>
            <w:r w:rsidRPr="00B40A7C">
              <w:rPr>
                <w:rFonts w:cs="Arial"/>
                <w:szCs w:val="22"/>
              </w:rPr>
              <w:t xml:space="preserve">). </w:t>
            </w:r>
          </w:p>
          <w:p w:rsidR="00052899" w:rsidRPr="00B40A7C" w:rsidRDefault="00052899" w:rsidP="00052899">
            <w:pPr>
              <w:jc w:val="both"/>
              <w:rPr>
                <w:rFonts w:cs="Arial"/>
                <w:szCs w:val="22"/>
              </w:rPr>
            </w:pPr>
          </w:p>
          <w:p w:rsidR="00052899" w:rsidRPr="00B40A7C" w:rsidRDefault="00052899" w:rsidP="00052899">
            <w:pPr>
              <w:jc w:val="both"/>
              <w:rPr>
                <w:rFonts w:cs="Arial"/>
                <w:szCs w:val="22"/>
              </w:rPr>
            </w:pPr>
            <w:r w:rsidRPr="00B40A7C">
              <w:rPr>
                <w:rFonts w:cs="Arial"/>
                <w:szCs w:val="22"/>
              </w:rPr>
              <w:t>The current plan which is in draft, acknowledges the need to articulate issues from the previous JANS to strengthen the resolve of the Ministry to improve health care delivery from a system perspective. The attributes of JANS will be used in assessing the quality of the HSMTDP 2014-2017.</w:t>
            </w:r>
          </w:p>
          <w:p w:rsidR="00052899" w:rsidRPr="00B40A7C" w:rsidRDefault="00052899" w:rsidP="00052899">
            <w:pPr>
              <w:jc w:val="both"/>
              <w:rPr>
                <w:rFonts w:cs="Arial"/>
                <w:szCs w:val="22"/>
              </w:rPr>
            </w:pPr>
          </w:p>
          <w:p w:rsidR="00052899" w:rsidRPr="00B40A7C" w:rsidRDefault="00052899" w:rsidP="00052899">
            <w:pPr>
              <w:jc w:val="both"/>
              <w:rPr>
                <w:rFonts w:cs="Arial"/>
                <w:szCs w:val="22"/>
              </w:rPr>
            </w:pPr>
            <w:r w:rsidRPr="00B40A7C">
              <w:rPr>
                <w:rFonts w:cs="Arial"/>
                <w:szCs w:val="22"/>
              </w:rPr>
              <w:t>In the draft HSMTDP 2014-2017, the importance of improving child health was explicitly an integral part of health sector objectives. One objective focuses on bridging equity gaps in geographical access to health services of which strengthening the district and sub-district health systems is the bedrock of the national primary health care strategy. Another objective aims at improving efficiency in governance and management of health systems of which one of the key strategies is to deepen stakeholder engagement and partnership (public, private and community for health care delivery)</w:t>
            </w:r>
            <w:r>
              <w:rPr>
                <w:rFonts w:cs="Arial"/>
                <w:szCs w:val="22"/>
              </w:rPr>
              <w:t>.</w:t>
            </w:r>
            <w:r w:rsidRPr="00B40A7C">
              <w:rPr>
                <w:rFonts w:cs="Arial"/>
                <w:szCs w:val="22"/>
              </w:rPr>
              <w:t xml:space="preserve"> Additionally, intensifying </w:t>
            </w:r>
            <w:r>
              <w:rPr>
                <w:rFonts w:cs="Arial"/>
                <w:szCs w:val="22"/>
              </w:rPr>
              <w:t xml:space="preserve">the </w:t>
            </w:r>
            <w:r w:rsidRPr="00B40A7C">
              <w:rPr>
                <w:rFonts w:cs="Arial"/>
                <w:szCs w:val="22"/>
              </w:rPr>
              <w:t>prevention and control of non-communicable and communicable diseases is another objective. Under this objective</w:t>
            </w:r>
            <w:r>
              <w:rPr>
                <w:rFonts w:cs="Arial"/>
                <w:szCs w:val="22"/>
              </w:rPr>
              <w:t>,</w:t>
            </w:r>
            <w:r w:rsidRPr="00B40A7C">
              <w:rPr>
                <w:rFonts w:cs="Arial"/>
                <w:szCs w:val="22"/>
              </w:rPr>
              <w:t xml:space="preserve"> intensification and sustaining of EPI, the certification and eradication of polio are key components. </w:t>
            </w:r>
          </w:p>
          <w:p w:rsidR="00052899" w:rsidRPr="00B40A7C" w:rsidRDefault="00052899" w:rsidP="00052899">
            <w:pPr>
              <w:jc w:val="both"/>
              <w:rPr>
                <w:rFonts w:cs="Arial"/>
                <w:szCs w:val="22"/>
              </w:rPr>
            </w:pPr>
          </w:p>
          <w:p w:rsidR="00052899" w:rsidRPr="00B40A7C" w:rsidRDefault="00052899" w:rsidP="00052899">
            <w:pPr>
              <w:jc w:val="both"/>
              <w:rPr>
                <w:rFonts w:cs="Arial"/>
                <w:b/>
                <w:i/>
                <w:szCs w:val="22"/>
              </w:rPr>
            </w:pPr>
          </w:p>
        </w:tc>
      </w:tr>
    </w:tbl>
    <w:p w:rsidR="00052899" w:rsidRPr="00B40A7C" w:rsidRDefault="00052899" w:rsidP="00052899">
      <w:pPr>
        <w:jc w:val="both"/>
        <w:rPr>
          <w:rFonts w:cs="Arial"/>
          <w:szCs w:val="22"/>
        </w:rPr>
      </w:pPr>
    </w:p>
    <w:p w:rsidR="00052899" w:rsidRPr="00B40A7C" w:rsidRDefault="00052899" w:rsidP="00052899">
      <w:pPr>
        <w:jc w:val="both"/>
        <w:rPr>
          <w:rFonts w:cs="Arial"/>
          <w:szCs w:val="22"/>
        </w:rPr>
      </w:pPr>
    </w:p>
    <w:p w:rsidR="00052899" w:rsidRPr="00B40A7C" w:rsidRDefault="00052899" w:rsidP="00052899">
      <w:pPr>
        <w:spacing w:after="200" w:line="276" w:lineRule="auto"/>
        <w:jc w:val="both"/>
        <w:rPr>
          <w:rFonts w:cs="Arial"/>
          <w:szCs w:val="22"/>
        </w:rPr>
      </w:pPr>
      <w:r w:rsidRPr="00B40A7C">
        <w:rPr>
          <w:rFonts w:cs="Arial"/>
          <w:szCs w:val="22"/>
        </w:rPr>
        <w:br w:type="page"/>
      </w:r>
    </w:p>
    <w:tbl>
      <w:tblPr>
        <w:tblW w:w="5000" w:type="pct"/>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9576"/>
      </w:tblGrid>
      <w:tr w:rsidR="00052899" w:rsidRPr="00B40A7C">
        <w:tc>
          <w:tcPr>
            <w:tcW w:w="5000" w:type="pct"/>
            <w:shd w:val="clear" w:color="auto" w:fill="006460"/>
          </w:tcPr>
          <w:p w:rsidR="00052899" w:rsidRDefault="00052899" w:rsidP="00052899">
            <w:pPr>
              <w:pStyle w:val="Heading1"/>
              <w:rPr>
                <w:rFonts w:cs="Arial"/>
                <w:szCs w:val="22"/>
              </w:rPr>
            </w:pPr>
            <w:bookmarkStart w:id="566" w:name="_Toc346116639"/>
            <w:bookmarkStart w:id="567" w:name="_Toc372016097"/>
            <w:bookmarkStart w:id="568" w:name="_Toc372099691"/>
            <w:bookmarkStart w:id="569" w:name="_Toc377545382"/>
            <w:r w:rsidRPr="00291E76">
              <w:t xml:space="preserve">8. MONITORING AND EVALUATION PLAN FOR THE NATIONAL HEALTH </w:t>
            </w:r>
            <w:bookmarkEnd w:id="566"/>
            <w:r w:rsidRPr="00291E76">
              <w:t>PLAN</w:t>
            </w:r>
            <w:bookmarkEnd w:id="567"/>
            <w:bookmarkEnd w:id="568"/>
            <w:bookmarkEnd w:id="569"/>
            <w:r w:rsidRPr="00B40A7C">
              <w:rPr>
                <w:rFonts w:cs="Arial"/>
                <w:szCs w:val="22"/>
              </w:rPr>
              <w:t xml:space="preserve"> </w:t>
            </w:r>
          </w:p>
        </w:tc>
      </w:tr>
      <w:tr w:rsidR="00052899" w:rsidRPr="00B40A7C">
        <w:trPr>
          <w:trHeight w:val="278"/>
        </w:trPr>
        <w:tc>
          <w:tcPr>
            <w:tcW w:w="5000" w:type="pct"/>
            <w:shd w:val="clear" w:color="auto" w:fill="FFFFFF"/>
          </w:tcPr>
          <w:p w:rsidR="00052899" w:rsidRPr="00B40A7C" w:rsidRDefault="00052899" w:rsidP="00052899">
            <w:pPr>
              <w:pStyle w:val="Body1"/>
              <w:jc w:val="both"/>
              <w:rPr>
                <w:rFonts w:cs="Arial"/>
                <w:szCs w:val="22"/>
              </w:rPr>
            </w:pPr>
            <w:bookmarkStart w:id="570" w:name="_Toc369498524"/>
            <w:bookmarkStart w:id="571" w:name="_Toc377026196"/>
            <w:bookmarkStart w:id="572" w:name="_Toc377543790"/>
            <w:bookmarkStart w:id="573" w:name="_Toc377545383"/>
            <w:r w:rsidRPr="00B40A7C">
              <w:rPr>
                <w:rFonts w:cs="Arial"/>
                <w:szCs w:val="22"/>
              </w:rPr>
              <w:t>The national M&amp;E framework states that all agencies and institutions at all levels will report to a central level. Service delivery BMCs are expected to report through the DHIMS</w:t>
            </w:r>
            <w:bookmarkEnd w:id="570"/>
            <w:r w:rsidRPr="00B40A7C">
              <w:rPr>
                <w:rFonts w:cs="Arial"/>
                <w:szCs w:val="22"/>
              </w:rPr>
              <w:t>.</w:t>
            </w:r>
            <w:bookmarkStart w:id="574" w:name="_Toc369498525"/>
            <w:r w:rsidRPr="00B40A7C">
              <w:rPr>
                <w:rFonts w:cs="Arial"/>
                <w:szCs w:val="22"/>
              </w:rPr>
              <w:t xml:space="preserve"> This is managed by the Ghana Health Service on behalf of the MoH. Data generated at source are collated manually using registers, aggregated and inputted by data entry officers. The data entered in the DHIMS can be assessed by designated officers at all levels. The DHIMS reports the health sector indicators from the data entered from the registers.</w:t>
            </w:r>
            <w:bookmarkEnd w:id="571"/>
            <w:bookmarkEnd w:id="572"/>
            <w:bookmarkEnd w:id="573"/>
            <w:bookmarkEnd w:id="574"/>
          </w:p>
          <w:p w:rsidR="00052899" w:rsidRPr="00B40A7C" w:rsidRDefault="00052899" w:rsidP="00052899">
            <w:pPr>
              <w:pStyle w:val="Body1"/>
              <w:jc w:val="both"/>
              <w:rPr>
                <w:rFonts w:cs="Arial"/>
                <w:szCs w:val="22"/>
              </w:rPr>
            </w:pPr>
          </w:p>
          <w:p w:rsidR="00052899" w:rsidRPr="00B40A7C" w:rsidRDefault="00052899" w:rsidP="00052899">
            <w:pPr>
              <w:pStyle w:val="Body1"/>
              <w:jc w:val="both"/>
              <w:rPr>
                <w:rFonts w:cs="Arial"/>
                <w:szCs w:val="22"/>
              </w:rPr>
            </w:pPr>
            <w:bookmarkStart w:id="575" w:name="_Toc369498526"/>
            <w:bookmarkStart w:id="576" w:name="_Toc377026197"/>
            <w:bookmarkStart w:id="577" w:name="_Toc377543791"/>
            <w:bookmarkStart w:id="578" w:name="_Toc377545384"/>
            <w:r w:rsidRPr="00B40A7C">
              <w:rPr>
                <w:rFonts w:cs="Arial"/>
                <w:szCs w:val="22"/>
              </w:rPr>
              <w:t>Data flow from the primary source is aggregated to the national level and the process is guided by timelines</w:t>
            </w:r>
            <w:r>
              <w:rPr>
                <w:rFonts w:cs="Arial"/>
                <w:szCs w:val="22"/>
              </w:rPr>
              <w:t xml:space="preserve">. </w:t>
            </w:r>
            <w:r w:rsidRPr="00B40A7C">
              <w:rPr>
                <w:rFonts w:cs="Arial"/>
                <w:szCs w:val="22"/>
              </w:rPr>
              <w:t>Data from all reporting agencies (DHMTS, CSOs, NGOs and the private sector) flow through the regions to GHS headquarters and further to MOH. Agreed timelines are aligned to the statutory reporting requirement from the agencies to the Ministry to the government and other organizations including development partners.</w:t>
            </w:r>
            <w:bookmarkEnd w:id="575"/>
            <w:bookmarkEnd w:id="576"/>
            <w:bookmarkEnd w:id="577"/>
            <w:bookmarkEnd w:id="578"/>
          </w:p>
          <w:p w:rsidR="00052899" w:rsidRPr="00B40A7C" w:rsidRDefault="00052899" w:rsidP="00052899">
            <w:pPr>
              <w:pStyle w:val="Body1"/>
              <w:jc w:val="both"/>
              <w:rPr>
                <w:rFonts w:cs="Arial"/>
                <w:szCs w:val="22"/>
              </w:rPr>
            </w:pPr>
          </w:p>
          <w:p w:rsidR="00052899" w:rsidRPr="00B40A7C" w:rsidRDefault="00052899" w:rsidP="00052899">
            <w:pPr>
              <w:pStyle w:val="Body1"/>
              <w:jc w:val="both"/>
              <w:rPr>
                <w:rFonts w:cs="Arial"/>
                <w:szCs w:val="22"/>
              </w:rPr>
            </w:pPr>
            <w:bookmarkStart w:id="579" w:name="_Toc377026198"/>
            <w:bookmarkStart w:id="580" w:name="_Toc377543792"/>
            <w:bookmarkStart w:id="581" w:name="_Toc377545385"/>
            <w:r w:rsidRPr="00B40A7C">
              <w:rPr>
                <w:rFonts w:cs="Arial"/>
                <w:szCs w:val="22"/>
              </w:rPr>
              <w:t>There is a set of agreed sector-wide indicators amongst members of HSCC</w:t>
            </w:r>
            <w:r w:rsidR="001D772F">
              <w:rPr>
                <w:rFonts w:cs="Arial"/>
                <w:szCs w:val="22"/>
              </w:rPr>
              <w:t xml:space="preserve"> (Annex 2)</w:t>
            </w:r>
            <w:r w:rsidRPr="00B40A7C">
              <w:rPr>
                <w:rFonts w:cs="Arial"/>
                <w:szCs w:val="22"/>
              </w:rPr>
              <w:t>. These indicators are used to monitor the implementation of the HSMTDP. Other tools used include the holistic assessment which measures health system performance based upon basket of indicators. The holistic assessment is usually used as part of the annual review process to determine whether the sector has performed or under</w:t>
            </w:r>
            <w:r>
              <w:rPr>
                <w:rFonts w:cs="Arial"/>
                <w:szCs w:val="22"/>
              </w:rPr>
              <w:t>-</w:t>
            </w:r>
            <w:r w:rsidRPr="00B40A7C">
              <w:rPr>
                <w:rFonts w:cs="Arial"/>
                <w:szCs w:val="22"/>
              </w:rPr>
              <w:t xml:space="preserve">performed. </w:t>
            </w:r>
            <w:bookmarkStart w:id="582" w:name="_Toc369498527"/>
            <w:r w:rsidRPr="00B40A7C">
              <w:rPr>
                <w:rFonts w:cs="Arial"/>
                <w:szCs w:val="22"/>
              </w:rPr>
              <w:t xml:space="preserve">Periodic reviews are organized to assess performance in the health sector. Reviews start from the district level of the health delivery system to national level.  </w:t>
            </w:r>
            <w:r w:rsidR="00472AFA">
              <w:rPr>
                <w:rFonts w:cs="Arial"/>
                <w:szCs w:val="22"/>
              </w:rPr>
              <w:t>MoH</w:t>
            </w:r>
            <w:r w:rsidR="007D7503">
              <w:rPr>
                <w:rFonts w:cs="Arial"/>
                <w:szCs w:val="22"/>
              </w:rPr>
              <w:t xml:space="preserve"> </w:t>
            </w:r>
            <w:r w:rsidRPr="00B40A7C">
              <w:rPr>
                <w:rFonts w:cs="Arial"/>
                <w:szCs w:val="22"/>
              </w:rPr>
              <w:t xml:space="preserve">in conjunction with HSCC conducts quarterly joint monitoring visits to BMCs and meet half yearly to review key policy decisions, strategies and activities in the Annual Programme of Work (PoW). Joint field visits with DPs to validate data quality and performance of the sector at service delivery points are organized on regular basis.  Inputs from the HSCC meetings inform the agenda of the joint monitoring visits. Decentralised departments from other MDAs at the districts and regions in addition to CSOs, private sector and other stakeholders like chiefs and opinion leaders participate in the district and regional reviews. The standard review of the health sector starts in December with district reviews, followed by regional and national reviews. It ends with a health summit which culminates in the signing of aide memoire between </w:t>
            </w:r>
            <w:r w:rsidR="00472AFA">
              <w:rPr>
                <w:rFonts w:cs="Arial"/>
                <w:szCs w:val="22"/>
              </w:rPr>
              <w:t>MoH</w:t>
            </w:r>
            <w:r w:rsidRPr="00B40A7C">
              <w:rPr>
                <w:rFonts w:cs="Arial"/>
                <w:szCs w:val="22"/>
              </w:rPr>
              <w:t xml:space="preserve">and DPs by the second quarter of each year. </w:t>
            </w:r>
            <w:bookmarkStart w:id="583" w:name="_Toc369498528"/>
            <w:bookmarkEnd w:id="582"/>
            <w:r w:rsidRPr="00B40A7C">
              <w:rPr>
                <w:rFonts w:cs="Arial"/>
                <w:szCs w:val="22"/>
              </w:rPr>
              <w:t>A Common Management Arrangement requires that</w:t>
            </w:r>
            <w:r>
              <w:rPr>
                <w:rFonts w:cs="Arial"/>
                <w:szCs w:val="22"/>
              </w:rPr>
              <w:t>,</w:t>
            </w:r>
            <w:r w:rsidRPr="00B40A7C">
              <w:rPr>
                <w:rFonts w:cs="Arial"/>
                <w:szCs w:val="22"/>
              </w:rPr>
              <w:t xml:space="preserve"> HSCC holds monthly meetings and quarterly business meetings to discuss the progress in the implementation of the annual aide memoire.</w:t>
            </w:r>
            <w:bookmarkEnd w:id="579"/>
            <w:bookmarkEnd w:id="580"/>
            <w:bookmarkEnd w:id="581"/>
          </w:p>
          <w:bookmarkEnd w:id="583"/>
          <w:p w:rsidR="00052899" w:rsidRPr="00B40A7C" w:rsidRDefault="00052899" w:rsidP="00052899">
            <w:pPr>
              <w:pStyle w:val="Body1"/>
              <w:jc w:val="both"/>
              <w:rPr>
                <w:rFonts w:cs="Arial"/>
                <w:szCs w:val="22"/>
              </w:rPr>
            </w:pPr>
          </w:p>
          <w:p w:rsidR="00052899" w:rsidRPr="00B40A7C" w:rsidRDefault="00052899" w:rsidP="00052899">
            <w:pPr>
              <w:pStyle w:val="Body1"/>
              <w:jc w:val="both"/>
              <w:rPr>
                <w:rFonts w:cs="Arial"/>
                <w:szCs w:val="22"/>
              </w:rPr>
            </w:pPr>
            <w:bookmarkStart w:id="584" w:name="_Toc369498529"/>
            <w:bookmarkStart w:id="585" w:name="_Toc377026199"/>
            <w:bookmarkStart w:id="586" w:name="_Toc377543793"/>
            <w:bookmarkStart w:id="587" w:name="_Toc377545386"/>
            <w:r w:rsidRPr="00B40A7C">
              <w:rPr>
                <w:rFonts w:cs="Arial"/>
                <w:szCs w:val="22"/>
              </w:rPr>
              <w:t>There is EPI bi-annual review conducted at the national level with participation from MOH, GHS (divisions, regional and district health directorates), DPs, CSOs, and private sector providers. The sources of information are DHIMS, surveys (MICS, DHS), and specifics studies (EVMA, PIE). Findings and recommendations are discussed at HSCC monthly meetings, sector quarterly business meetings, and at periodic ICC meetings</w:t>
            </w:r>
            <w:bookmarkEnd w:id="584"/>
            <w:r w:rsidRPr="00B40A7C">
              <w:rPr>
                <w:rFonts w:cs="Arial"/>
                <w:szCs w:val="22"/>
              </w:rPr>
              <w:t xml:space="preserve"> and annual health sector reviews.</w:t>
            </w:r>
            <w:bookmarkEnd w:id="585"/>
            <w:bookmarkEnd w:id="586"/>
            <w:bookmarkEnd w:id="587"/>
          </w:p>
          <w:p w:rsidR="00052899" w:rsidRPr="00B40A7C" w:rsidRDefault="00052899" w:rsidP="00052899">
            <w:pPr>
              <w:pStyle w:val="Body1"/>
              <w:jc w:val="both"/>
              <w:rPr>
                <w:szCs w:val="22"/>
              </w:rPr>
            </w:pPr>
          </w:p>
        </w:tc>
      </w:tr>
    </w:tbl>
    <w:p w:rsidR="00052899" w:rsidRPr="00B40A7C" w:rsidRDefault="00052899" w:rsidP="00052899">
      <w:pPr>
        <w:jc w:val="both"/>
        <w:rPr>
          <w:rFonts w:cs="Arial"/>
          <w:szCs w:val="22"/>
        </w:rPr>
      </w:pPr>
    </w:p>
    <w:p w:rsidR="00052899" w:rsidRPr="00B40A7C" w:rsidRDefault="00052899" w:rsidP="00052899">
      <w:pPr>
        <w:spacing w:before="120" w:after="120"/>
        <w:jc w:val="both"/>
        <w:rPr>
          <w:rFonts w:cs="Arial"/>
          <w:szCs w:val="22"/>
        </w:rPr>
      </w:pPr>
      <w:r>
        <w:rPr>
          <w:rFonts w:cs="Arial"/>
          <w:szCs w:val="22"/>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52899" w:rsidRPr="00482BA9">
        <w:tc>
          <w:tcPr>
            <w:tcW w:w="5000" w:type="pct"/>
            <w:shd w:val="clear" w:color="auto" w:fill="008080"/>
          </w:tcPr>
          <w:p w:rsidR="00052899" w:rsidRDefault="00052899" w:rsidP="00052899">
            <w:pPr>
              <w:pStyle w:val="Heading1"/>
              <w:rPr>
                <w:rFonts w:cs="Arial"/>
                <w:szCs w:val="22"/>
              </w:rPr>
            </w:pPr>
            <w:bookmarkStart w:id="588" w:name="_Toc377545387"/>
            <w:r w:rsidRPr="00291E76">
              <w:t>9. HEALTH SYSTEM BOTTLENECKS TO ACHIEVING IMMUNISATION OUTCOMES</w:t>
            </w:r>
            <w:bookmarkEnd w:id="588"/>
          </w:p>
        </w:tc>
      </w:tr>
      <w:tr w:rsidR="00052899" w:rsidRPr="00482BA9">
        <w:tc>
          <w:tcPr>
            <w:tcW w:w="5000" w:type="pct"/>
          </w:tcPr>
          <w:p w:rsidR="00052899" w:rsidRDefault="00052899" w:rsidP="00472AFA">
            <w:pPr>
              <w:spacing w:before="120" w:after="120"/>
              <w:jc w:val="both"/>
              <w:rPr>
                <w:rFonts w:cs="Arial"/>
                <w:szCs w:val="22"/>
              </w:rPr>
            </w:pPr>
            <w:r w:rsidRPr="00482BA9">
              <w:rPr>
                <w:rFonts w:cs="Arial"/>
                <w:szCs w:val="22"/>
              </w:rPr>
              <w:t>The country has made steady progress in improving health outcomes over the past two decades. The total fertility rate (TFR) declined from 6.4 children per woman in 1988 to 4.3 children per woman in 2011 (MICS4, 2011).  In spite of the progress, there are large disparities between women in urban areas (3.3 births) and those in rural zones (5.5 births) with the Northern region having the highest rates (6.2 births)</w:t>
            </w:r>
            <w:r>
              <w:rPr>
                <w:rFonts w:cs="Arial"/>
                <w:szCs w:val="22"/>
              </w:rPr>
              <w:t xml:space="preserve"> </w:t>
            </w:r>
            <w:r w:rsidRPr="00482BA9">
              <w:rPr>
                <w:rFonts w:cs="Arial"/>
                <w:szCs w:val="22"/>
              </w:rPr>
              <w:t>(MICS4, 2011). Ghana has also experienced a marked decline in childhood mortality over the past decades, reaching a rate of about 82 deaths per 1,000 live births in 2011(MICS4, 2011) from 145 deaths per 1,000 live births in 1998. Over two-thirds of deaths occur in the first year of life with Ghana’s infant mortality dropping to 53 deaths per 1,000 live births (2011) from 80 deaths per 1000 live births in 2003. (MICS4, 2011). Although Maternal Mortality Ratio dropped from a high of 600 deaths per 100,000 live births in 1990 to about 451 deaths per 100,000 live births in 2007 it still remains high. (Ghana Maternal Health Survey, 2007).</w:t>
            </w:r>
          </w:p>
          <w:p w:rsidR="00052899" w:rsidRPr="00482BA9" w:rsidRDefault="00052899" w:rsidP="00172EAC">
            <w:pPr>
              <w:spacing w:before="120" w:after="120"/>
              <w:jc w:val="both"/>
              <w:rPr>
                <w:rFonts w:cs="Arial"/>
                <w:szCs w:val="22"/>
              </w:rPr>
            </w:pPr>
            <w:r w:rsidRPr="00482BA9">
              <w:rPr>
                <w:rFonts w:cs="Arial"/>
                <w:szCs w:val="22"/>
              </w:rPr>
              <w:t>One of Ghana’s key strategies to address</w:t>
            </w:r>
            <w:r>
              <w:rPr>
                <w:rFonts w:cs="Arial"/>
                <w:szCs w:val="22"/>
              </w:rPr>
              <w:t xml:space="preserve"> the</w:t>
            </w:r>
            <w:r w:rsidRPr="00482BA9">
              <w:rPr>
                <w:rFonts w:cs="Arial"/>
                <w:szCs w:val="22"/>
              </w:rPr>
              <w:t xml:space="preserve"> disparities in access to maternal and child health services is to strengthen and accelerate the CHPS implementation to complement other efforts on service delivery and health financing. The GAVI/HSS support will build on efforts initiated by the M</w:t>
            </w:r>
            <w:r w:rsidR="00472AFA">
              <w:rPr>
                <w:rFonts w:cs="Arial"/>
                <w:szCs w:val="22"/>
              </w:rPr>
              <w:t>o</w:t>
            </w:r>
            <w:r w:rsidRPr="00482BA9">
              <w:rPr>
                <w:rFonts w:cs="Arial"/>
                <w:szCs w:val="22"/>
              </w:rPr>
              <w:t>H in using the CHPS strategy to reduce geographical barriers to health care. With a focus on deprived and remote areas, the strategy brings services closer to clients and uses community-based health structures that are familiar with the socio-cultural environment. The CHPS strategy has a number of key features: (i) a bottom up planning process (micro planning) which fosters a dialogue between community representatives and service providers; (ii) greater involvement of traditional community leaders who are well respected and can effectively transmit messages about health seeking behaviour (iii) structured training and mentorship programme, whereby DHMT ensures that community health workers have the requisite skills to deliver a set of high impact interventions (e.g. immunisation, assisted deliveries, postnatal care, family planning); and (iv) reliance on personnel who are knowledgeable with the local context as they come from the local community and are able to communicate effectively on sensitive matters.</w:t>
            </w:r>
          </w:p>
          <w:p w:rsidR="00052899" w:rsidRPr="00482BA9" w:rsidRDefault="00052899" w:rsidP="00052899">
            <w:pPr>
              <w:autoSpaceDE w:val="0"/>
              <w:autoSpaceDN w:val="0"/>
              <w:adjustRightInd w:val="0"/>
              <w:jc w:val="both"/>
              <w:rPr>
                <w:rFonts w:cs="Arial"/>
                <w:b/>
                <w:szCs w:val="22"/>
              </w:rPr>
            </w:pPr>
            <w:r w:rsidRPr="00482BA9">
              <w:rPr>
                <w:rFonts w:cs="Arial"/>
                <w:b/>
                <w:szCs w:val="22"/>
              </w:rPr>
              <w:t>Major Analytical work to identify Health System Bottlenecks</w:t>
            </w:r>
          </w:p>
          <w:p w:rsidR="00000000" w:rsidRDefault="00052899">
            <w:pPr>
              <w:autoSpaceDE w:val="0"/>
              <w:autoSpaceDN w:val="0"/>
              <w:adjustRightInd w:val="0"/>
              <w:jc w:val="both"/>
              <w:rPr>
                <w:rFonts w:cs="Arial"/>
                <w:szCs w:val="22"/>
              </w:rPr>
            </w:pPr>
            <w:r w:rsidRPr="00482BA9">
              <w:rPr>
                <w:rFonts w:cs="Arial"/>
                <w:szCs w:val="22"/>
              </w:rPr>
              <w:t xml:space="preserve">A number of engagements with managers in the health sector and literature review were undertaken to inform the synthesis of the systemic bottlenecks to achieving and sustaining high immunisation coverage. </w:t>
            </w:r>
            <w:r w:rsidR="00285DC0">
              <w:rPr>
                <w:rFonts w:cs="Arial"/>
                <w:szCs w:val="22"/>
              </w:rPr>
              <w:t xml:space="preserve">The key health system challenges confronting the </w:t>
            </w:r>
            <w:r w:rsidR="00DD1963">
              <w:rPr>
                <w:rFonts w:cs="Arial"/>
                <w:szCs w:val="22"/>
              </w:rPr>
              <w:t xml:space="preserve">Ghanaian health sector </w:t>
            </w:r>
            <w:r w:rsidR="00285DC0">
              <w:rPr>
                <w:rFonts w:cs="Arial"/>
                <w:szCs w:val="22"/>
              </w:rPr>
              <w:t xml:space="preserve">are in the areas of </w:t>
            </w:r>
            <w:r w:rsidR="005D1533">
              <w:rPr>
                <w:rFonts w:cs="Arial"/>
                <w:szCs w:val="22"/>
              </w:rPr>
              <w:t>governance (</w:t>
            </w:r>
            <w:r w:rsidR="00285DC0">
              <w:rPr>
                <w:rFonts w:cs="Arial"/>
                <w:szCs w:val="22"/>
              </w:rPr>
              <w:t xml:space="preserve">weak </w:t>
            </w:r>
            <w:r w:rsidR="00DD1963">
              <w:rPr>
                <w:rFonts w:cs="Arial"/>
                <w:szCs w:val="22"/>
              </w:rPr>
              <w:t xml:space="preserve">coordination, </w:t>
            </w:r>
            <w:r w:rsidR="00285DC0">
              <w:rPr>
                <w:rFonts w:cs="Arial"/>
                <w:szCs w:val="22"/>
              </w:rPr>
              <w:t>in</w:t>
            </w:r>
            <w:r w:rsidR="00DD1963">
              <w:rPr>
                <w:rFonts w:cs="Arial"/>
                <w:szCs w:val="22"/>
              </w:rPr>
              <w:t>effective inter</w:t>
            </w:r>
            <w:r w:rsidR="005D1533">
              <w:rPr>
                <w:rFonts w:cs="Arial"/>
                <w:szCs w:val="22"/>
              </w:rPr>
              <w:t>-</w:t>
            </w:r>
            <w:r w:rsidR="00DD1963">
              <w:rPr>
                <w:rFonts w:cs="Arial"/>
                <w:szCs w:val="22"/>
              </w:rPr>
              <w:t>sectoral collaborations, participation and integration</w:t>
            </w:r>
            <w:r w:rsidR="005D1533">
              <w:rPr>
                <w:rFonts w:cs="Arial"/>
                <w:szCs w:val="22"/>
              </w:rPr>
              <w:t>); gaps in geographical and financial access to quality health care, inadequate and inequitable distribution of critical staff mix,</w:t>
            </w:r>
            <w:r w:rsidR="00DD1963">
              <w:rPr>
                <w:rFonts w:cs="Arial"/>
                <w:szCs w:val="22"/>
              </w:rPr>
              <w:t xml:space="preserve">  Specific to immunisation the number of documents reviewed include</w:t>
            </w:r>
            <w:r w:rsidR="005D1533">
              <w:rPr>
                <w:rFonts w:cs="Arial"/>
                <w:szCs w:val="22"/>
              </w:rPr>
              <w:t>d</w:t>
            </w:r>
            <w:r w:rsidRPr="00482BA9">
              <w:rPr>
                <w:rFonts w:cs="Arial"/>
                <w:szCs w:val="22"/>
              </w:rPr>
              <w:t xml:space="preserve">: (i) Effective Vaccine Management (EVM) Assessment (2010), (ii) Ghana Immunisation Service Review (2012), (iii) Post Introduction Evaluation (PIE) report for the two new vaccines (2013), (iv) cYMP (2010-2014), (v) Review of HSMTDP (2010-2013), (vi) MDG Accelerated Framework (2010) and Technical Reports. </w:t>
            </w:r>
            <w:r w:rsidR="0077132C">
              <w:rPr>
                <w:rFonts w:cs="Arial"/>
                <w:szCs w:val="22"/>
              </w:rPr>
              <w:t>The summarised priority bottlenecks and referenced documents have been attached as annexed two (2).</w:t>
            </w:r>
          </w:p>
          <w:p w:rsidR="00000000" w:rsidRDefault="00B02BEF">
            <w:pPr>
              <w:autoSpaceDE w:val="0"/>
              <w:autoSpaceDN w:val="0"/>
              <w:adjustRightInd w:val="0"/>
              <w:jc w:val="both"/>
              <w:rPr>
                <w:rFonts w:cs="Arial"/>
                <w:b/>
                <w:bCs/>
                <w:szCs w:val="22"/>
              </w:rPr>
            </w:pPr>
          </w:p>
          <w:p w:rsidR="00052899" w:rsidRPr="00482BA9" w:rsidRDefault="00052899" w:rsidP="00052899">
            <w:pPr>
              <w:autoSpaceDE w:val="0"/>
              <w:autoSpaceDN w:val="0"/>
              <w:adjustRightInd w:val="0"/>
              <w:jc w:val="both"/>
              <w:rPr>
                <w:rFonts w:eastAsia="Calibri" w:cs="Arial"/>
                <w:szCs w:val="22"/>
                <w:lang w:val="en-CA"/>
              </w:rPr>
            </w:pPr>
            <w:r w:rsidRPr="00482BA9">
              <w:rPr>
                <w:rFonts w:cs="Arial"/>
                <w:b/>
                <w:szCs w:val="22"/>
              </w:rPr>
              <w:t xml:space="preserve">The EVM </w:t>
            </w:r>
            <w:r w:rsidRPr="00482BA9">
              <w:rPr>
                <w:rFonts w:cs="Arial"/>
                <w:szCs w:val="22"/>
              </w:rPr>
              <w:t>A</w:t>
            </w:r>
            <w:r w:rsidRPr="00482BA9">
              <w:rPr>
                <w:rFonts w:cs="Arial"/>
                <w:b/>
                <w:szCs w:val="22"/>
              </w:rPr>
              <w:t>ssessment</w:t>
            </w:r>
            <w:r w:rsidRPr="00482BA9">
              <w:rPr>
                <w:rFonts w:cs="Arial"/>
                <w:szCs w:val="22"/>
              </w:rPr>
              <w:t xml:space="preserve"> (2010) was an integral part of the process to unravel the systemic constraints to the introduction of the two new vaccines (</w:t>
            </w:r>
            <w:r w:rsidRPr="00482BA9">
              <w:rPr>
                <w:rFonts w:eastAsia="Calibri" w:cs="Arial"/>
                <w:szCs w:val="22"/>
                <w:lang w:val="en-CA"/>
              </w:rPr>
              <w:t xml:space="preserve">pneumococcal and rotavirus). </w:t>
            </w:r>
            <w:r w:rsidRPr="00482BA9">
              <w:rPr>
                <w:rFonts w:eastAsia="Calibri" w:cs="Arial"/>
                <w:bCs/>
                <w:szCs w:val="22"/>
                <w:lang w:val="en-CA"/>
              </w:rPr>
              <w:t xml:space="preserve">The assessment noted among other things the need to improve temperature monitoring systems, </w:t>
            </w:r>
            <w:r w:rsidRPr="00482BA9">
              <w:rPr>
                <w:rFonts w:eastAsia="Calibri" w:cs="Arial"/>
                <w:szCs w:val="22"/>
                <w:lang w:val="en-CA"/>
              </w:rPr>
              <w:t xml:space="preserve">expansion/rehabilitation of the cold chain capacity at all levels, implement computerized stock inventory system and improve supportive supervision, including vaccine management. </w:t>
            </w:r>
          </w:p>
          <w:p w:rsidR="00052899" w:rsidRPr="00482BA9" w:rsidRDefault="00052899" w:rsidP="00052899">
            <w:pPr>
              <w:autoSpaceDE w:val="0"/>
              <w:autoSpaceDN w:val="0"/>
              <w:adjustRightInd w:val="0"/>
              <w:jc w:val="both"/>
              <w:rPr>
                <w:rFonts w:cs="Arial"/>
                <w:szCs w:val="22"/>
              </w:rPr>
            </w:pPr>
          </w:p>
          <w:p w:rsidR="00615E30" w:rsidRDefault="00052899" w:rsidP="00052899">
            <w:pPr>
              <w:autoSpaceDE w:val="0"/>
              <w:autoSpaceDN w:val="0"/>
              <w:adjustRightInd w:val="0"/>
              <w:jc w:val="both"/>
              <w:rPr>
                <w:rFonts w:cs="Arial"/>
                <w:szCs w:val="22"/>
              </w:rPr>
            </w:pPr>
            <w:r w:rsidRPr="00482BA9">
              <w:rPr>
                <w:rFonts w:cs="Arial"/>
                <w:b/>
                <w:szCs w:val="22"/>
              </w:rPr>
              <w:t>The Ghana Immunisation Services Review</w:t>
            </w:r>
            <w:r w:rsidRPr="00482BA9">
              <w:rPr>
                <w:rFonts w:cs="Arial"/>
                <w:szCs w:val="22"/>
              </w:rPr>
              <w:t xml:space="preserve"> (2012) had the overall goal to document successes and shortfalls of EPI and to inform the next cYMP. The challenges from the review </w:t>
            </w:r>
            <w:r w:rsidRPr="00482BA9">
              <w:rPr>
                <w:rFonts w:cs="Arial"/>
                <w:szCs w:val="22"/>
              </w:rPr>
              <w:lastRenderedPageBreak/>
              <w:t>were: poor quality micro-planning at the sub-district levels, inadequate data analysis and use for decision-making, inadequate supportive supervision, untapped potentials of CHPS to achieve maximum immunisation coverage, weak capacity of district staff in areas of communication for behavioural change, weaknesses in vaccine distribution and management, inadequate  transport to ensure outreach visits, routine vaccination not conducted daily in most facilities and inadequate staff at the grassroots, especially deprived and hard to reach communities (pp.6).</w:t>
            </w:r>
          </w:p>
          <w:p w:rsidR="00052899" w:rsidRPr="00482BA9" w:rsidRDefault="00052899" w:rsidP="00052899">
            <w:pPr>
              <w:autoSpaceDE w:val="0"/>
              <w:autoSpaceDN w:val="0"/>
              <w:adjustRightInd w:val="0"/>
              <w:jc w:val="both"/>
              <w:rPr>
                <w:rFonts w:cs="Arial"/>
                <w:szCs w:val="22"/>
              </w:rPr>
            </w:pPr>
            <w:r w:rsidRPr="00482BA9">
              <w:rPr>
                <w:rFonts w:cs="Arial"/>
                <w:szCs w:val="22"/>
              </w:rPr>
              <w:t xml:space="preserve"> </w:t>
            </w:r>
          </w:p>
          <w:p w:rsidR="00052899" w:rsidRPr="00482BA9" w:rsidRDefault="00052899" w:rsidP="00052899">
            <w:pPr>
              <w:autoSpaceDE w:val="0"/>
              <w:autoSpaceDN w:val="0"/>
              <w:adjustRightInd w:val="0"/>
              <w:jc w:val="both"/>
              <w:rPr>
                <w:rFonts w:cs="Arial"/>
                <w:b/>
                <w:szCs w:val="22"/>
              </w:rPr>
            </w:pPr>
            <w:r w:rsidRPr="00482BA9">
              <w:rPr>
                <w:rFonts w:cs="Arial"/>
                <w:szCs w:val="22"/>
              </w:rPr>
              <w:t xml:space="preserve">The </w:t>
            </w:r>
            <w:r w:rsidRPr="00482BA9">
              <w:rPr>
                <w:rFonts w:cs="Arial"/>
                <w:b/>
                <w:szCs w:val="22"/>
              </w:rPr>
              <w:t>Immunisation Programme Comprehensive Multi Year Plan (</w:t>
            </w:r>
            <w:r w:rsidRPr="00482BA9">
              <w:rPr>
                <w:rFonts w:cs="Arial"/>
                <w:szCs w:val="22"/>
              </w:rPr>
              <w:t xml:space="preserve">2010-2014), also underscored the challenges above and further noted the inadequacy of resources for regular outreach services to islands and lake communities, poor cold chain maintenance, injection safety and weak community involvement among others. The plan therefore sought to reduce infant and child mortality and morbidity associated with vaccine-preventable diseases (VPD). </w:t>
            </w:r>
          </w:p>
          <w:p w:rsidR="00052899" w:rsidRPr="00482BA9" w:rsidRDefault="00052899" w:rsidP="00052899">
            <w:pPr>
              <w:autoSpaceDE w:val="0"/>
              <w:autoSpaceDN w:val="0"/>
              <w:adjustRightInd w:val="0"/>
              <w:jc w:val="both"/>
              <w:rPr>
                <w:rFonts w:cs="Arial"/>
                <w:b/>
                <w:szCs w:val="22"/>
              </w:rPr>
            </w:pPr>
          </w:p>
          <w:p w:rsidR="00052899" w:rsidRPr="00482BA9" w:rsidRDefault="00052899" w:rsidP="00052899">
            <w:pPr>
              <w:autoSpaceDE w:val="0"/>
              <w:autoSpaceDN w:val="0"/>
              <w:adjustRightInd w:val="0"/>
              <w:jc w:val="both"/>
              <w:rPr>
                <w:rFonts w:cs="Arial"/>
                <w:szCs w:val="22"/>
              </w:rPr>
            </w:pPr>
            <w:r w:rsidRPr="00482BA9">
              <w:rPr>
                <w:rFonts w:cs="Arial"/>
                <w:b/>
                <w:szCs w:val="22"/>
              </w:rPr>
              <w:t xml:space="preserve">Technical Report: Peer Monitoring of Measles Second Dose Pneumococcal and Rotavirus Vaccines Introduction into the EPI Programme (2013; pp.6). </w:t>
            </w:r>
            <w:r w:rsidRPr="00482BA9">
              <w:rPr>
                <w:rFonts w:cs="Arial"/>
                <w:szCs w:val="22"/>
              </w:rPr>
              <w:t>The key challenges identified were: inadequate child health record books and the usage of old tally sheet book</w:t>
            </w:r>
            <w:r>
              <w:rPr>
                <w:rFonts w:cs="Arial"/>
                <w:szCs w:val="22"/>
              </w:rPr>
              <w:t>s which do</w:t>
            </w:r>
            <w:r w:rsidRPr="00482BA9">
              <w:rPr>
                <w:rFonts w:cs="Arial"/>
                <w:szCs w:val="22"/>
              </w:rPr>
              <w:t xml:space="preserve"> not contain column for recording new vaccines.</w:t>
            </w:r>
          </w:p>
          <w:p w:rsidR="00052899" w:rsidRPr="00482BA9" w:rsidRDefault="00052899" w:rsidP="00052899">
            <w:pPr>
              <w:spacing w:before="120" w:after="120"/>
              <w:jc w:val="both"/>
              <w:rPr>
                <w:rFonts w:cs="Arial"/>
                <w:szCs w:val="22"/>
              </w:rPr>
            </w:pPr>
            <w:r w:rsidRPr="00482BA9">
              <w:rPr>
                <w:rFonts w:cs="Arial"/>
                <w:b/>
                <w:szCs w:val="22"/>
              </w:rPr>
              <w:t>A recent analysis of the EPI cold chain system (2013)</w:t>
            </w:r>
            <w:r w:rsidRPr="00482BA9">
              <w:rPr>
                <w:rFonts w:cs="Arial"/>
                <w:szCs w:val="22"/>
              </w:rPr>
              <w:t xml:space="preserve"> in Ghana revealed significant challenges. At the operational level, there </w:t>
            </w:r>
            <w:r>
              <w:rPr>
                <w:rFonts w:cs="Arial"/>
                <w:szCs w:val="22"/>
              </w:rPr>
              <w:t>are</w:t>
            </w:r>
            <w:r w:rsidRPr="00482BA9">
              <w:rPr>
                <w:rFonts w:cs="Arial"/>
                <w:szCs w:val="22"/>
              </w:rPr>
              <w:t xml:space="preserve"> high numbers of over aged fridges and freezers, coupled with erratic power supply resulting in frequent breakdowns. The policy to replace old fridges after 10 years is also not being achieved due to inadequate funding. Additionally, there is the need to strengthen cold chain maintenance system to improve uptime. At the sub district and CHPS zone level, there are inadequate cold boxes and vaccines carriers for delivering immunisation services at the community level.</w:t>
            </w:r>
          </w:p>
          <w:p w:rsidR="003B0A53" w:rsidRPr="00482BA9" w:rsidRDefault="003B0A53" w:rsidP="003B0A53">
            <w:pPr>
              <w:autoSpaceDE w:val="0"/>
              <w:autoSpaceDN w:val="0"/>
              <w:adjustRightInd w:val="0"/>
              <w:jc w:val="both"/>
              <w:rPr>
                <w:rFonts w:cs="Arial"/>
                <w:szCs w:val="22"/>
              </w:rPr>
            </w:pPr>
            <w:r w:rsidRPr="00482BA9">
              <w:rPr>
                <w:rFonts w:cs="Arial"/>
                <w:szCs w:val="22"/>
              </w:rPr>
              <w:t xml:space="preserve">In addition to the bottlenecks associated with immunisation there are health system challenges which affect the country adversely in achieving the MDGs 4, 5 and 6. </w:t>
            </w:r>
            <w:r w:rsidR="00B6499B">
              <w:rPr>
                <w:rFonts w:cs="Arial"/>
                <w:szCs w:val="22"/>
              </w:rPr>
              <w:t xml:space="preserve">The main persisting immunisation/HSS bottlenecks which are prioritised to be addressed under the GAVI/HSS categories are as follow </w:t>
            </w:r>
            <w:r w:rsidR="00B97BDB" w:rsidRPr="00B97BDB">
              <w:rPr>
                <w:rFonts w:cs="Arial"/>
                <w:szCs w:val="22"/>
              </w:rPr>
              <w:t>(see also annexed 2):</w:t>
            </w:r>
            <w:r w:rsidRPr="00482BA9">
              <w:rPr>
                <w:rFonts w:cs="Arial"/>
                <w:szCs w:val="22"/>
              </w:rPr>
              <w:t xml:space="preserve"> </w:t>
            </w:r>
          </w:p>
          <w:p w:rsidR="00052899" w:rsidRPr="00482BA9" w:rsidRDefault="00052899" w:rsidP="00052899">
            <w:pPr>
              <w:autoSpaceDE w:val="0"/>
              <w:autoSpaceDN w:val="0"/>
              <w:adjustRightInd w:val="0"/>
              <w:jc w:val="both"/>
              <w:rPr>
                <w:rFonts w:cs="Arial"/>
                <w:szCs w:val="22"/>
              </w:rPr>
            </w:pPr>
          </w:p>
          <w:p w:rsidR="003B0A53" w:rsidRPr="00482BA9" w:rsidRDefault="003B0A53" w:rsidP="003B0A53">
            <w:pPr>
              <w:autoSpaceDE w:val="0"/>
              <w:autoSpaceDN w:val="0"/>
              <w:adjustRightInd w:val="0"/>
              <w:jc w:val="both"/>
              <w:rPr>
                <w:rFonts w:cs="Arial"/>
                <w:b/>
                <w:szCs w:val="22"/>
              </w:rPr>
            </w:pPr>
            <w:r w:rsidRPr="00482BA9">
              <w:rPr>
                <w:rFonts w:cs="Arial"/>
                <w:b/>
                <w:szCs w:val="22"/>
              </w:rPr>
              <w:t xml:space="preserve">Service Delivery: </w:t>
            </w:r>
          </w:p>
          <w:p w:rsidR="003B0A53" w:rsidRPr="00482BA9" w:rsidRDefault="003B0A53" w:rsidP="003B0A53">
            <w:pPr>
              <w:pStyle w:val="ColorfulList-Accent11"/>
              <w:numPr>
                <w:ilvl w:val="0"/>
                <w:numId w:val="3"/>
              </w:numPr>
              <w:autoSpaceDE w:val="0"/>
              <w:autoSpaceDN w:val="0"/>
              <w:adjustRightInd w:val="0"/>
              <w:jc w:val="both"/>
              <w:rPr>
                <w:rFonts w:ascii="Arial" w:hAnsi="Arial" w:cs="Arial"/>
                <w:b/>
                <w:sz w:val="22"/>
                <w:szCs w:val="22"/>
                <w:shd w:val="clear" w:color="auto" w:fill="FFFF00"/>
              </w:rPr>
            </w:pPr>
            <w:r w:rsidRPr="00482BA9">
              <w:rPr>
                <w:rFonts w:ascii="Arial" w:hAnsi="Arial" w:cs="Arial"/>
                <w:b/>
                <w:sz w:val="22"/>
                <w:szCs w:val="22"/>
                <w:lang w:eastAsia="en-US"/>
              </w:rPr>
              <w:t>Inadequate cold chain capacity at district level and below</w:t>
            </w:r>
            <w:r w:rsidRPr="00482BA9">
              <w:rPr>
                <w:rFonts w:ascii="Arial" w:hAnsi="Arial" w:cs="Arial"/>
                <w:sz w:val="22"/>
                <w:szCs w:val="22"/>
                <w:lang w:eastAsia="en-US"/>
              </w:rPr>
              <w:t xml:space="preserve">: According to 2013 cold chain inventory about 41% of fridges and freezers </w:t>
            </w:r>
            <w:r>
              <w:rPr>
                <w:rFonts w:ascii="Arial" w:hAnsi="Arial" w:cs="Arial"/>
                <w:sz w:val="22"/>
                <w:szCs w:val="22"/>
                <w:lang w:eastAsia="en-US"/>
              </w:rPr>
              <w:t>were</w:t>
            </w:r>
            <w:r w:rsidRPr="00482BA9">
              <w:rPr>
                <w:rFonts w:ascii="Arial" w:hAnsi="Arial" w:cs="Arial"/>
                <w:sz w:val="22"/>
                <w:szCs w:val="22"/>
                <w:lang w:eastAsia="en-US"/>
              </w:rPr>
              <w:t xml:space="preserve"> over 10 years, 1 out of every 4 units is not functioning. Also forty six new DHMTs have been created that need cold chain equipment. New health facilities are being set up and hence need support to provide immunisation services. There is also frequent breakdown of cold chain equipment due to poor maintenance culture and </w:t>
            </w:r>
            <w:r w:rsidR="00B97BDB" w:rsidRPr="00B97BDB">
              <w:rPr>
                <w:rFonts w:ascii="Arial" w:hAnsi="Arial" w:cs="Arial"/>
                <w:sz w:val="22"/>
                <w:szCs w:val="22"/>
                <w:lang w:eastAsia="en-US"/>
              </w:rPr>
              <w:t>erratic power supply (EVM 2010, pg 18, 19; cMYP 2010-2014, pg 17, 28)</w:t>
            </w:r>
          </w:p>
          <w:p w:rsidR="003B0A53" w:rsidRPr="00482BA9" w:rsidRDefault="003B0A53" w:rsidP="003B0A53">
            <w:pPr>
              <w:pStyle w:val="ColorfulList-Accent11"/>
              <w:numPr>
                <w:ilvl w:val="0"/>
                <w:numId w:val="1"/>
              </w:numPr>
              <w:autoSpaceDE w:val="0"/>
              <w:autoSpaceDN w:val="0"/>
              <w:adjustRightInd w:val="0"/>
              <w:jc w:val="both"/>
              <w:rPr>
                <w:rFonts w:ascii="Arial" w:hAnsi="Arial" w:cs="Arial"/>
                <w:sz w:val="22"/>
                <w:szCs w:val="22"/>
              </w:rPr>
            </w:pPr>
            <w:r w:rsidRPr="00482BA9">
              <w:rPr>
                <w:rFonts w:ascii="Arial" w:hAnsi="Arial" w:cs="Arial"/>
                <w:b/>
                <w:sz w:val="22"/>
                <w:szCs w:val="22"/>
                <w:lang w:eastAsia="en-US"/>
              </w:rPr>
              <w:t>Inadequate access of immunisation service in riverine and island communities</w:t>
            </w:r>
            <w:r w:rsidRPr="00482BA9">
              <w:rPr>
                <w:rFonts w:ascii="Arial" w:hAnsi="Arial" w:cs="Arial"/>
                <w:sz w:val="22"/>
                <w:szCs w:val="22"/>
                <w:lang w:eastAsia="en-US"/>
              </w:rPr>
              <w:t xml:space="preserve">: </w:t>
            </w:r>
          </w:p>
          <w:p w:rsidR="003B0A53" w:rsidRPr="00482BA9" w:rsidRDefault="003B0A53" w:rsidP="003B0A53">
            <w:pPr>
              <w:pStyle w:val="ColorfulList-Accent11"/>
              <w:autoSpaceDE w:val="0"/>
              <w:autoSpaceDN w:val="0"/>
              <w:adjustRightInd w:val="0"/>
              <w:jc w:val="both"/>
              <w:rPr>
                <w:rFonts w:ascii="Arial" w:hAnsi="Arial" w:cs="Arial"/>
                <w:sz w:val="22"/>
                <w:szCs w:val="22"/>
              </w:rPr>
            </w:pPr>
            <w:r w:rsidRPr="00482BA9">
              <w:rPr>
                <w:rFonts w:ascii="Arial" w:hAnsi="Arial" w:cs="Arial"/>
                <w:sz w:val="22"/>
                <w:szCs w:val="22"/>
              </w:rPr>
              <w:t xml:space="preserve">There are </w:t>
            </w:r>
            <w:commentRangeStart w:id="589"/>
            <w:r w:rsidRPr="00482BA9">
              <w:rPr>
                <w:rFonts w:ascii="Arial" w:hAnsi="Arial" w:cs="Arial"/>
                <w:sz w:val="22"/>
                <w:szCs w:val="22"/>
              </w:rPr>
              <w:t xml:space="preserve">23 districts </w:t>
            </w:r>
            <w:commentRangeEnd w:id="589"/>
            <w:r>
              <w:rPr>
                <w:rStyle w:val="CommentReference"/>
                <w:rFonts w:ascii="Arial" w:eastAsia="Times New Roman" w:hAnsi="Arial"/>
              </w:rPr>
              <w:commentReference w:id="589"/>
            </w:r>
            <w:r w:rsidRPr="00482BA9">
              <w:rPr>
                <w:rFonts w:ascii="Arial" w:hAnsi="Arial" w:cs="Arial"/>
                <w:sz w:val="22"/>
                <w:szCs w:val="22"/>
              </w:rPr>
              <w:t xml:space="preserve">which lie in the Volta lake basin whose services can only be provided by use of boats. To improve access to immunisation services in these hard-to-reach communities, there will be the need </w:t>
            </w:r>
            <w:r>
              <w:rPr>
                <w:rFonts w:ascii="Arial" w:hAnsi="Arial" w:cs="Arial"/>
                <w:sz w:val="22"/>
                <w:szCs w:val="22"/>
              </w:rPr>
              <w:t xml:space="preserve">to </w:t>
            </w:r>
            <w:r w:rsidRPr="00482BA9">
              <w:rPr>
                <w:rFonts w:ascii="Arial" w:hAnsi="Arial" w:cs="Arial"/>
                <w:sz w:val="22"/>
                <w:szCs w:val="22"/>
              </w:rPr>
              <w:t xml:space="preserve">procure fibre </w:t>
            </w:r>
            <w:commentRangeStart w:id="590"/>
            <w:commentRangeStart w:id="591"/>
            <w:r w:rsidRPr="00482BA9">
              <w:rPr>
                <w:rFonts w:ascii="Arial" w:hAnsi="Arial" w:cs="Arial"/>
                <w:sz w:val="22"/>
                <w:szCs w:val="22"/>
              </w:rPr>
              <w:t>boats</w:t>
            </w:r>
            <w:commentRangeEnd w:id="590"/>
            <w:r>
              <w:rPr>
                <w:rStyle w:val="CommentReference"/>
                <w:rFonts w:ascii="Arial" w:eastAsia="Times New Roman" w:hAnsi="Arial"/>
              </w:rPr>
              <w:commentReference w:id="590"/>
            </w:r>
            <w:commentRangeEnd w:id="591"/>
            <w:r>
              <w:rPr>
                <w:rStyle w:val="CommentReference"/>
                <w:rFonts w:ascii="Arial" w:eastAsia="Times New Roman" w:hAnsi="Arial"/>
              </w:rPr>
              <w:commentReference w:id="591"/>
            </w:r>
            <w:r w:rsidRPr="00482BA9">
              <w:rPr>
                <w:rFonts w:ascii="Arial" w:hAnsi="Arial" w:cs="Arial"/>
                <w:sz w:val="22"/>
                <w:szCs w:val="22"/>
              </w:rPr>
              <w:t>.</w:t>
            </w:r>
          </w:p>
          <w:p w:rsidR="003B0A53" w:rsidRPr="00482BA9" w:rsidRDefault="003B0A53" w:rsidP="003B0A53">
            <w:pPr>
              <w:pStyle w:val="ColorfulList-Accent11"/>
              <w:numPr>
                <w:ilvl w:val="0"/>
                <w:numId w:val="1"/>
              </w:numPr>
              <w:autoSpaceDE w:val="0"/>
              <w:autoSpaceDN w:val="0"/>
              <w:adjustRightInd w:val="0"/>
              <w:jc w:val="both"/>
              <w:rPr>
                <w:rFonts w:ascii="Arial" w:hAnsi="Arial" w:cs="Arial"/>
                <w:sz w:val="22"/>
                <w:szCs w:val="22"/>
                <w:lang w:eastAsia="en-US"/>
              </w:rPr>
            </w:pPr>
            <w:r w:rsidRPr="00482BA9">
              <w:rPr>
                <w:rFonts w:ascii="Arial" w:hAnsi="Arial" w:cs="Arial"/>
                <w:b/>
                <w:sz w:val="22"/>
                <w:szCs w:val="22"/>
                <w:lang w:eastAsia="en-US"/>
              </w:rPr>
              <w:t>Inadequate infrastructure:</w:t>
            </w:r>
            <w:r w:rsidRPr="00482BA9">
              <w:rPr>
                <w:rFonts w:ascii="Arial" w:hAnsi="Arial" w:cs="Arial"/>
                <w:sz w:val="22"/>
                <w:szCs w:val="22"/>
                <w:lang w:eastAsia="en-US"/>
              </w:rPr>
              <w:t xml:space="preserve"> Many of the existing district cold rooms </w:t>
            </w:r>
            <w:r>
              <w:rPr>
                <w:rFonts w:ascii="Arial" w:hAnsi="Arial" w:cs="Arial"/>
                <w:sz w:val="22"/>
                <w:szCs w:val="22"/>
                <w:lang w:eastAsia="en-US"/>
              </w:rPr>
              <w:t>are in deplorable states, while</w:t>
            </w:r>
            <w:r w:rsidRPr="00482BA9">
              <w:rPr>
                <w:rFonts w:ascii="Arial" w:hAnsi="Arial" w:cs="Arial"/>
                <w:sz w:val="22"/>
                <w:szCs w:val="22"/>
                <w:lang w:eastAsia="en-US"/>
              </w:rPr>
              <w:t xml:space="preserve"> most of the newly created 46 districts do not have cold roo</w:t>
            </w:r>
            <w:r w:rsidR="00B97BDB" w:rsidRPr="00B97BDB">
              <w:rPr>
                <w:rFonts w:ascii="Arial" w:hAnsi="Arial" w:cs="Arial"/>
                <w:sz w:val="22"/>
                <w:szCs w:val="22"/>
                <w:lang w:eastAsia="en-US"/>
              </w:rPr>
              <w:t xml:space="preserve">ms. Construction of cold rooms was not planned for these 46 new districts in the cMYP 2010-2014. ( </w:t>
            </w:r>
            <w:r w:rsidR="00B97BDB" w:rsidRPr="00B97BDB">
              <w:rPr>
                <w:rFonts w:ascii="Arial" w:hAnsi="Arial" w:cs="Arial"/>
                <w:sz w:val="22"/>
                <w:szCs w:val="22"/>
                <w:lang w:eastAsia="en-US"/>
              </w:rPr>
              <w:lastRenderedPageBreak/>
              <w:t xml:space="preserve">attach list of newly created districts by region and number) </w:t>
            </w:r>
            <w:r w:rsidR="00B97BDB">
              <w:rPr>
                <w:rStyle w:val="CommentReference"/>
                <w:rFonts w:ascii="Arial" w:eastAsia="Times New Roman" w:hAnsi="Arial"/>
              </w:rPr>
              <w:commentReference w:id="592"/>
            </w:r>
          </w:p>
          <w:p w:rsidR="00B6499B" w:rsidRPr="006D66E5" w:rsidRDefault="00B6499B" w:rsidP="00B6499B">
            <w:pPr>
              <w:pStyle w:val="ColorfulList-Accent11"/>
              <w:numPr>
                <w:ilvl w:val="0"/>
                <w:numId w:val="1"/>
              </w:numPr>
              <w:autoSpaceDE w:val="0"/>
              <w:autoSpaceDN w:val="0"/>
              <w:adjustRightInd w:val="0"/>
              <w:jc w:val="both"/>
              <w:rPr>
                <w:rFonts w:ascii="Arial" w:hAnsi="Arial" w:cs="Arial"/>
                <w:sz w:val="22"/>
                <w:szCs w:val="22"/>
              </w:rPr>
            </w:pPr>
            <w:commentRangeStart w:id="593"/>
            <w:r w:rsidRPr="00482BA9">
              <w:rPr>
                <w:rFonts w:ascii="Arial" w:hAnsi="Arial" w:cs="Arial"/>
                <w:b/>
                <w:sz w:val="22"/>
                <w:szCs w:val="22"/>
              </w:rPr>
              <w:t>Inadequate data collection tools:</w:t>
            </w:r>
            <w:r w:rsidRPr="00482BA9">
              <w:rPr>
                <w:rFonts w:ascii="Arial" w:hAnsi="Arial" w:cs="Arial"/>
                <w:sz w:val="22"/>
                <w:szCs w:val="22"/>
              </w:rPr>
              <w:t xml:space="preserve"> inadequate funds to procure EPI stationery (tally sheet books, child health records </w:t>
            </w:r>
            <w:r w:rsidR="00B97BDB" w:rsidRPr="00B97BDB">
              <w:rPr>
                <w:rFonts w:ascii="Arial" w:hAnsi="Arial" w:cs="Arial"/>
                <w:sz w:val="22"/>
                <w:szCs w:val="22"/>
              </w:rPr>
              <w:t>vaccine ledger etc) (EVM 2010, pg 17. PIE 2013, pg 9; HSMTDP 2014-2017 pg9, 17, 23)</w:t>
            </w:r>
          </w:p>
          <w:p w:rsidR="003B0A53" w:rsidRPr="000357CA" w:rsidRDefault="00B97BDB" w:rsidP="003B0A53">
            <w:pPr>
              <w:pStyle w:val="ColorfulList-Accent11"/>
              <w:numPr>
                <w:ilvl w:val="0"/>
                <w:numId w:val="1"/>
              </w:numPr>
              <w:autoSpaceDE w:val="0"/>
              <w:autoSpaceDN w:val="0"/>
              <w:adjustRightInd w:val="0"/>
              <w:jc w:val="both"/>
              <w:rPr>
                <w:rFonts w:ascii="Arial" w:hAnsi="Arial" w:cs="Arial"/>
                <w:sz w:val="22"/>
                <w:szCs w:val="22"/>
              </w:rPr>
            </w:pPr>
            <w:r w:rsidRPr="00B97BDB">
              <w:rPr>
                <w:rFonts w:ascii="Arial" w:hAnsi="Arial" w:cs="Arial"/>
                <w:b/>
                <w:sz w:val="22"/>
                <w:szCs w:val="22"/>
              </w:rPr>
              <w:t xml:space="preserve">Waste management is a </w:t>
            </w:r>
            <w:commentRangeEnd w:id="593"/>
            <w:r w:rsidRPr="00B97BDB">
              <w:rPr>
                <w:rFonts w:ascii="Arial" w:hAnsi="Arial" w:cs="Arial"/>
                <w:b/>
                <w:sz w:val="22"/>
                <w:szCs w:val="22"/>
              </w:rPr>
              <w:t>challenge:</w:t>
            </w:r>
            <w:r>
              <w:rPr>
                <w:rStyle w:val="CommentReference"/>
                <w:rFonts w:ascii="Arial" w:eastAsia="Times New Roman" w:hAnsi="Arial"/>
              </w:rPr>
              <w:commentReference w:id="593"/>
            </w:r>
            <w:r w:rsidRPr="00B97BDB">
              <w:rPr>
                <w:rFonts w:ascii="Arial" w:hAnsi="Arial" w:cs="Arial"/>
                <w:sz w:val="22"/>
                <w:szCs w:val="22"/>
              </w:rPr>
              <w:t xml:space="preserve"> In a bid to ensure adequate and safe waste management at health facility level it is recommended that each district should have a suitable incinerator in addition to the training of staff. </w:t>
            </w:r>
            <w:r w:rsidRPr="00B97BDB">
              <w:rPr>
                <w:rFonts w:ascii="Arial" w:hAnsi="Arial" w:cs="Arial"/>
                <w:sz w:val="22"/>
                <w:szCs w:val="22"/>
                <w:lang w:eastAsia="en-US"/>
              </w:rPr>
              <w:t xml:space="preserve">This has become necessary in view of the increasing number of vaccination and new district that have been created </w:t>
            </w:r>
            <w:r w:rsidRPr="00B97BDB">
              <w:rPr>
                <w:rFonts w:ascii="Arial" w:hAnsi="Arial" w:cs="Arial"/>
                <w:sz w:val="22"/>
                <w:szCs w:val="22"/>
              </w:rPr>
              <w:t>(Ghana EPI Review 2012 pg 94, PIE, 2013, pg. 6, cYMP, 2010-2014 pg.  42)</w:t>
            </w:r>
            <w:r w:rsidRPr="00B97BDB">
              <w:rPr>
                <w:rFonts w:ascii="Arial" w:hAnsi="Arial" w:cs="Arial"/>
                <w:sz w:val="22"/>
                <w:szCs w:val="22"/>
                <w:lang w:eastAsia="en-US"/>
              </w:rPr>
              <w:t>.</w:t>
            </w:r>
          </w:p>
          <w:p w:rsidR="00301656" w:rsidRDefault="003B0A53" w:rsidP="003B0A53">
            <w:pPr>
              <w:pStyle w:val="ColorfulList-Accent11"/>
              <w:numPr>
                <w:ilvl w:val="0"/>
                <w:numId w:val="1"/>
              </w:numPr>
              <w:autoSpaceDE w:val="0"/>
              <w:autoSpaceDN w:val="0"/>
              <w:adjustRightInd w:val="0"/>
              <w:jc w:val="both"/>
              <w:rPr>
                <w:rFonts w:ascii="Arial" w:hAnsi="Arial" w:cs="Arial"/>
                <w:sz w:val="22"/>
                <w:szCs w:val="22"/>
              </w:rPr>
            </w:pPr>
            <w:r w:rsidRPr="00482BA9">
              <w:rPr>
                <w:rFonts w:ascii="Arial" w:hAnsi="Arial" w:cs="Arial"/>
                <w:b/>
                <w:sz w:val="22"/>
                <w:szCs w:val="22"/>
                <w:lang w:eastAsia="en-US"/>
              </w:rPr>
              <w:t>Inadequate Outreach Services:</w:t>
            </w:r>
            <w:r w:rsidRPr="00482BA9">
              <w:rPr>
                <w:rFonts w:ascii="Arial" w:hAnsi="Arial" w:cs="Arial"/>
                <w:sz w:val="22"/>
                <w:szCs w:val="22"/>
                <w:lang w:eastAsia="en-US"/>
              </w:rPr>
              <w:t xml:space="preserve"> There are inadequate </w:t>
            </w:r>
            <w:r w:rsidRPr="00482BA9">
              <w:rPr>
                <w:rFonts w:ascii="Arial" w:hAnsi="Arial" w:cs="Arial"/>
                <w:sz w:val="22"/>
                <w:szCs w:val="22"/>
              </w:rPr>
              <w:t xml:space="preserve">resources for districts to undertake planned outreach service. These affect routine immunisation and vaccine preventable diseases surveillance. </w:t>
            </w:r>
            <w:r w:rsidR="00B97BDB" w:rsidRPr="00B97BDB">
              <w:rPr>
                <w:rFonts w:ascii="Arial" w:hAnsi="Arial" w:cs="Arial"/>
                <w:sz w:val="22"/>
                <w:szCs w:val="22"/>
              </w:rPr>
              <w:t xml:space="preserve">The Ghana EPI Review 2012 pg 71, 118, mentions one main constraint at district level was inadequate transport services for required outreach and recommends the procurement of four-wheel drives and adequate and accurate (i.e. durable and gender-friendly) motorbikes. </w:t>
            </w:r>
          </w:p>
          <w:p w:rsidR="003B0A53" w:rsidRPr="00482BA9" w:rsidRDefault="003B0A53" w:rsidP="003B0A53">
            <w:pPr>
              <w:pStyle w:val="ColorfulList-Accent11"/>
              <w:numPr>
                <w:ilvl w:val="0"/>
                <w:numId w:val="1"/>
              </w:numPr>
              <w:autoSpaceDE w:val="0"/>
              <w:autoSpaceDN w:val="0"/>
              <w:adjustRightInd w:val="0"/>
              <w:jc w:val="both"/>
              <w:rPr>
                <w:rFonts w:ascii="Arial" w:hAnsi="Arial" w:cs="Arial"/>
                <w:sz w:val="22"/>
                <w:szCs w:val="22"/>
              </w:rPr>
            </w:pPr>
            <w:r w:rsidRPr="00482BA9">
              <w:rPr>
                <w:rFonts w:ascii="Arial" w:hAnsi="Arial" w:cs="Arial"/>
                <w:b/>
                <w:sz w:val="22"/>
                <w:szCs w:val="22"/>
                <w:lang w:eastAsia="en-US"/>
              </w:rPr>
              <w:t xml:space="preserve">Inadequate Supportive </w:t>
            </w:r>
            <w:r w:rsidR="00B97BDB" w:rsidRPr="00B97BDB">
              <w:rPr>
                <w:rFonts w:ascii="Arial" w:hAnsi="Arial" w:cs="Arial"/>
                <w:b/>
                <w:sz w:val="22"/>
                <w:szCs w:val="22"/>
                <w:lang w:eastAsia="en-US"/>
              </w:rPr>
              <w:t xml:space="preserve">Supervision: </w:t>
            </w:r>
            <w:r w:rsidR="00B97BDB" w:rsidRPr="00B97BDB">
              <w:rPr>
                <w:rFonts w:ascii="Arial" w:hAnsi="Arial" w:cs="Arial"/>
                <w:sz w:val="22"/>
                <w:szCs w:val="22"/>
              </w:rPr>
              <w:t>There exists low capacity and resources for supportive supervision at  all levels (Ghana EPI Review 2012, pg 27, 62)</w:t>
            </w:r>
          </w:p>
          <w:p w:rsidR="003B0A53" w:rsidRPr="00482BA9" w:rsidRDefault="003B0A53" w:rsidP="003B0A53">
            <w:pPr>
              <w:pStyle w:val="ColorfulList-Accent11"/>
              <w:numPr>
                <w:ilvl w:val="0"/>
                <w:numId w:val="1"/>
              </w:numPr>
              <w:autoSpaceDE w:val="0"/>
              <w:autoSpaceDN w:val="0"/>
              <w:adjustRightInd w:val="0"/>
              <w:jc w:val="both"/>
              <w:rPr>
                <w:rFonts w:ascii="Arial" w:hAnsi="Arial" w:cs="Arial"/>
                <w:b/>
                <w:sz w:val="22"/>
                <w:szCs w:val="22"/>
              </w:rPr>
            </w:pPr>
            <w:r w:rsidRPr="00482BA9">
              <w:rPr>
                <w:rFonts w:ascii="Arial" w:hAnsi="Arial" w:cs="Arial"/>
                <w:b/>
                <w:sz w:val="22"/>
                <w:szCs w:val="22"/>
              </w:rPr>
              <w:t xml:space="preserve">Inadequate demand creation: </w:t>
            </w:r>
            <w:r w:rsidRPr="009E3797">
              <w:rPr>
                <w:rFonts w:ascii="Arial" w:hAnsi="Arial" w:cs="Arial"/>
                <w:sz w:val="22"/>
                <w:szCs w:val="22"/>
              </w:rPr>
              <w:t xml:space="preserve">There is poor community </w:t>
            </w:r>
            <w:r w:rsidR="00B97BDB" w:rsidRPr="00B97BDB">
              <w:rPr>
                <w:rFonts w:ascii="Arial" w:hAnsi="Arial" w:cs="Arial"/>
                <w:sz w:val="22"/>
                <w:szCs w:val="22"/>
              </w:rPr>
              <w:t>mobilisation and engagement as a result of inadequate resources and capacity.( Ghana EPI Review 2012 pg 54)</w:t>
            </w:r>
          </w:p>
          <w:p w:rsidR="003B0A53" w:rsidRPr="00482BA9" w:rsidRDefault="003B0A53" w:rsidP="003B0A53">
            <w:pPr>
              <w:jc w:val="both"/>
              <w:rPr>
                <w:rFonts w:cs="Arial"/>
                <w:color w:val="000000"/>
                <w:szCs w:val="22"/>
                <w:lang w:eastAsia="ja-JP"/>
              </w:rPr>
            </w:pPr>
            <w:r w:rsidRPr="00482BA9">
              <w:rPr>
                <w:rFonts w:cs="Arial"/>
                <w:b/>
                <w:szCs w:val="22"/>
              </w:rPr>
              <w:t>Health Workforce</w:t>
            </w:r>
          </w:p>
          <w:p w:rsidR="003B0A53" w:rsidRPr="000357CA" w:rsidRDefault="003B0A53" w:rsidP="003B0A53">
            <w:pPr>
              <w:pStyle w:val="ColorfulList-Accent11"/>
              <w:numPr>
                <w:ilvl w:val="0"/>
                <w:numId w:val="2"/>
              </w:numPr>
              <w:jc w:val="both"/>
              <w:rPr>
                <w:rFonts w:ascii="Arial" w:hAnsi="Arial" w:cs="Arial"/>
                <w:color w:val="000000"/>
                <w:sz w:val="22"/>
                <w:szCs w:val="22"/>
                <w:shd w:val="clear" w:color="auto" w:fill="FFFFFF"/>
                <w:lang w:eastAsia="ja-JP"/>
              </w:rPr>
            </w:pPr>
            <w:r w:rsidRPr="00482BA9">
              <w:rPr>
                <w:rFonts w:ascii="Arial" w:hAnsi="Arial" w:cs="Arial"/>
                <w:color w:val="000000"/>
                <w:sz w:val="22"/>
                <w:szCs w:val="22"/>
                <w:shd w:val="clear" w:color="auto" w:fill="FFFFFF"/>
                <w:lang w:eastAsia="ja-JP"/>
              </w:rPr>
              <w:t>There is a weakness in deployment and retention of health workforce especially CHOs in deprived and hard-to-reach communities hence the need for clear policy guidelines to address the is</w:t>
            </w:r>
            <w:r w:rsidR="00B97BDB" w:rsidRPr="00B97BDB">
              <w:rPr>
                <w:rFonts w:ascii="Arial" w:hAnsi="Arial" w:cs="Arial"/>
                <w:color w:val="000000"/>
                <w:sz w:val="22"/>
                <w:szCs w:val="22"/>
                <w:shd w:val="clear" w:color="auto" w:fill="FFFFFF"/>
                <w:lang w:eastAsia="ja-JP"/>
              </w:rPr>
              <w:t xml:space="preserve">sues (Review of HSMTDP, 2010- 2013. pg. 7,  </w:t>
            </w:r>
            <w:r w:rsidR="00B97BDB" w:rsidRPr="00B97BDB">
              <w:rPr>
                <w:rFonts w:ascii="Arial" w:hAnsi="Arial" w:cs="Arial"/>
                <w:sz w:val="22"/>
                <w:szCs w:val="22"/>
              </w:rPr>
              <w:t>HSMTDP</w:t>
            </w:r>
            <w:r w:rsidR="00B97BDB" w:rsidRPr="00B97BDB">
              <w:rPr>
                <w:rFonts w:ascii="Arial" w:hAnsi="Arial" w:cs="Arial"/>
                <w:color w:val="000000"/>
                <w:sz w:val="22"/>
                <w:szCs w:val="22"/>
                <w:shd w:val="clear" w:color="auto" w:fill="FFFFFF"/>
                <w:lang w:eastAsia="ja-JP"/>
              </w:rPr>
              <w:t xml:space="preserve"> 2014 -2017 pg 13,14).</w:t>
            </w:r>
          </w:p>
          <w:p w:rsidR="00F439D1" w:rsidRPr="000357CA" w:rsidRDefault="00B97BDB" w:rsidP="003B0A53">
            <w:pPr>
              <w:pStyle w:val="ColorfulList-Accent11"/>
              <w:numPr>
                <w:ilvl w:val="0"/>
                <w:numId w:val="2"/>
              </w:numPr>
              <w:jc w:val="both"/>
              <w:rPr>
                <w:rFonts w:ascii="Arial" w:hAnsi="Arial" w:cs="Arial"/>
                <w:sz w:val="22"/>
                <w:szCs w:val="22"/>
                <w:shd w:val="clear" w:color="auto" w:fill="FFFFFF"/>
              </w:rPr>
            </w:pPr>
            <w:r w:rsidRPr="00B97BDB">
              <w:rPr>
                <w:rFonts w:ascii="Arial" w:hAnsi="Arial" w:cs="Arial"/>
                <w:b/>
                <w:color w:val="000000"/>
                <w:sz w:val="22"/>
                <w:szCs w:val="22"/>
                <w:shd w:val="clear" w:color="auto" w:fill="FFFFFF"/>
                <w:lang w:eastAsia="ja-JP"/>
              </w:rPr>
              <w:t>Weak performance management</w:t>
            </w:r>
            <w:r w:rsidRPr="00B97BDB">
              <w:rPr>
                <w:rFonts w:ascii="Arial" w:hAnsi="Arial" w:cs="Arial"/>
                <w:color w:val="000000"/>
                <w:sz w:val="22"/>
                <w:szCs w:val="22"/>
                <w:shd w:val="clear" w:color="auto" w:fill="FFFFFF"/>
                <w:lang w:eastAsia="ja-JP"/>
              </w:rPr>
              <w:t xml:space="preserve">: There is absence of clearly defined system for measuring health worker force productivity. There is therefore the need to </w:t>
            </w:r>
            <w:r w:rsidR="0032557F">
              <w:rPr>
                <w:rFonts w:ascii="Arial" w:hAnsi="Arial" w:cs="Arial"/>
                <w:color w:val="000000"/>
                <w:sz w:val="22"/>
                <w:szCs w:val="22"/>
                <w:shd w:val="clear" w:color="auto" w:fill="FFFFFF"/>
                <w:lang w:eastAsia="ja-JP"/>
              </w:rPr>
              <w:t>develop a framework/tool to measure health workforce productivity which can be linked to improvement in service delivery</w:t>
            </w:r>
            <w:r w:rsidR="001E3E4C">
              <w:rPr>
                <w:rFonts w:ascii="Arial" w:hAnsi="Arial" w:cs="Arial"/>
                <w:color w:val="000000"/>
                <w:sz w:val="22"/>
                <w:szCs w:val="22"/>
                <w:shd w:val="clear" w:color="auto" w:fill="FFFFFF"/>
                <w:lang w:eastAsia="ja-JP"/>
              </w:rPr>
              <w:t xml:space="preserve"> (</w:t>
            </w:r>
            <w:r w:rsidR="001E3E4C" w:rsidRPr="000357CA">
              <w:rPr>
                <w:rFonts w:ascii="Arial" w:hAnsi="Arial" w:cs="Arial"/>
                <w:color w:val="000000"/>
                <w:sz w:val="22"/>
                <w:szCs w:val="22"/>
                <w:shd w:val="clear" w:color="auto" w:fill="FFFFFF"/>
                <w:lang w:eastAsia="ja-JP"/>
              </w:rPr>
              <w:t xml:space="preserve">Review of the </w:t>
            </w:r>
            <w:r w:rsidR="001E3E4C" w:rsidRPr="000357CA">
              <w:rPr>
                <w:rFonts w:ascii="Arial" w:hAnsi="Arial" w:cs="Arial"/>
                <w:sz w:val="22"/>
                <w:szCs w:val="22"/>
              </w:rPr>
              <w:t>HSMTDP</w:t>
            </w:r>
            <w:r w:rsidR="001E3E4C">
              <w:rPr>
                <w:rFonts w:ascii="Arial" w:hAnsi="Arial" w:cs="Arial"/>
                <w:color w:val="000000"/>
                <w:sz w:val="22"/>
                <w:szCs w:val="22"/>
                <w:shd w:val="clear" w:color="auto" w:fill="FFFFFF"/>
                <w:lang w:eastAsia="ja-JP"/>
              </w:rPr>
              <w:t xml:space="preserve"> 2010-2013, pg 24</w:t>
            </w:r>
            <w:r w:rsidR="001E3E4C" w:rsidRPr="000357CA">
              <w:rPr>
                <w:rFonts w:ascii="Arial" w:hAnsi="Arial" w:cs="Arial"/>
                <w:color w:val="000000"/>
                <w:sz w:val="22"/>
                <w:szCs w:val="22"/>
                <w:shd w:val="clear" w:color="auto" w:fill="FFFFFF"/>
                <w:lang w:eastAsia="ja-JP"/>
              </w:rPr>
              <w:t>)</w:t>
            </w:r>
          </w:p>
          <w:p w:rsidR="009D61A3" w:rsidRPr="000357CA" w:rsidRDefault="003B0A53">
            <w:pPr>
              <w:pStyle w:val="ColorfulList-Accent11"/>
              <w:numPr>
                <w:ilvl w:val="0"/>
                <w:numId w:val="2"/>
              </w:numPr>
              <w:jc w:val="both"/>
              <w:rPr>
                <w:rFonts w:ascii="Arial" w:hAnsi="Arial" w:cs="Arial"/>
                <w:sz w:val="22"/>
                <w:szCs w:val="22"/>
                <w:shd w:val="clear" w:color="auto" w:fill="FFFFFF"/>
              </w:rPr>
            </w:pPr>
            <w:r w:rsidRPr="00482BA9">
              <w:rPr>
                <w:rFonts w:ascii="Arial" w:hAnsi="Arial" w:cs="Arial"/>
                <w:color w:val="000000"/>
                <w:sz w:val="22"/>
                <w:szCs w:val="22"/>
                <w:shd w:val="clear" w:color="auto" w:fill="FFFFFF"/>
                <w:lang w:eastAsia="ja-JP"/>
              </w:rPr>
              <w:t xml:space="preserve"> </w:t>
            </w:r>
            <w:r w:rsidR="00B97BDB" w:rsidRPr="00B97BDB">
              <w:rPr>
                <w:rFonts w:ascii="Arial" w:hAnsi="Arial" w:cs="Arial"/>
                <w:color w:val="000000"/>
                <w:sz w:val="22"/>
                <w:szCs w:val="22"/>
                <w:shd w:val="clear" w:color="auto" w:fill="FFFFFF"/>
                <w:lang w:eastAsia="ja-JP"/>
              </w:rPr>
              <w:t xml:space="preserve">The need to scale-up management training was reiterated in the Review of the </w:t>
            </w:r>
            <w:r w:rsidR="00B97BDB" w:rsidRPr="00B97BDB">
              <w:rPr>
                <w:rFonts w:ascii="Arial" w:hAnsi="Arial" w:cs="Arial"/>
                <w:sz w:val="22"/>
                <w:szCs w:val="22"/>
              </w:rPr>
              <w:t>HSMTDP</w:t>
            </w:r>
            <w:r w:rsidR="00B97BDB" w:rsidRPr="00B97BDB">
              <w:rPr>
                <w:rFonts w:ascii="Arial" w:hAnsi="Arial" w:cs="Arial"/>
                <w:color w:val="000000"/>
                <w:sz w:val="22"/>
                <w:szCs w:val="22"/>
                <w:shd w:val="clear" w:color="auto" w:fill="FFFFFF"/>
                <w:lang w:eastAsia="ja-JP"/>
              </w:rPr>
              <w:t xml:space="preserve"> 2010-2013, pg 29)</w:t>
            </w:r>
            <w:r w:rsidR="00B97BDB" w:rsidRPr="00B97BDB">
              <w:rPr>
                <w:rFonts w:ascii="Arial" w:hAnsi="Arial" w:cs="Arial"/>
                <w:sz w:val="22"/>
                <w:szCs w:val="22"/>
                <w:shd w:val="clear" w:color="auto" w:fill="FFFFFF"/>
              </w:rPr>
              <w:t xml:space="preserve">. The creation of new districts has resulted in increased number of management positions and therefore the need to expand management training. </w:t>
            </w:r>
          </w:p>
          <w:p w:rsidR="003B0A53" w:rsidRPr="009E3797" w:rsidRDefault="003B0A53" w:rsidP="003B0A53">
            <w:pPr>
              <w:jc w:val="both"/>
              <w:rPr>
                <w:rFonts w:cs="Arial"/>
                <w:b/>
                <w:szCs w:val="22"/>
              </w:rPr>
            </w:pPr>
            <w:r w:rsidRPr="009E3797">
              <w:rPr>
                <w:rFonts w:cs="Arial"/>
                <w:b/>
                <w:szCs w:val="22"/>
              </w:rPr>
              <w:t>Procurement and Supply Chain Management</w:t>
            </w:r>
          </w:p>
          <w:p w:rsidR="00000000" w:rsidRDefault="00B97BDB">
            <w:pPr>
              <w:pStyle w:val="ColorfulList-Accent11"/>
              <w:numPr>
                <w:ilvl w:val="0"/>
                <w:numId w:val="33"/>
              </w:numPr>
              <w:spacing w:after="0" w:line="240" w:lineRule="auto"/>
              <w:jc w:val="both"/>
              <w:rPr>
                <w:rFonts w:ascii="Arial" w:hAnsi="Arial" w:cs="Arial"/>
                <w:color w:val="000000"/>
                <w:sz w:val="22"/>
                <w:szCs w:val="22"/>
                <w:shd w:val="clear" w:color="auto" w:fill="FFFFFF"/>
                <w:lang w:eastAsia="ja-JP"/>
              </w:rPr>
            </w:pPr>
            <w:r w:rsidRPr="00B97BDB">
              <w:rPr>
                <w:rFonts w:ascii="Arial" w:hAnsi="Arial" w:cs="Arial"/>
                <w:color w:val="000000"/>
                <w:sz w:val="22"/>
                <w:szCs w:val="22"/>
                <w:shd w:val="clear" w:color="auto" w:fill="FFFFFF"/>
                <w:lang w:eastAsia="ja-JP"/>
              </w:rPr>
              <w:t>Inadequate capacity and support to monitor procurements at district and sub-district levels (HSMTDP 2010-2013, pg 42-43; HSMTDP 2014-2017, pg 24, 29)</w:t>
            </w:r>
          </w:p>
          <w:p w:rsidR="00000000" w:rsidRDefault="00B97BDB">
            <w:pPr>
              <w:pStyle w:val="ColorfulList-Accent11"/>
              <w:numPr>
                <w:ilvl w:val="0"/>
                <w:numId w:val="33"/>
              </w:numPr>
              <w:spacing w:after="0" w:line="240" w:lineRule="auto"/>
              <w:jc w:val="both"/>
              <w:rPr>
                <w:rFonts w:ascii="Arial" w:hAnsi="Arial" w:cs="Arial"/>
                <w:color w:val="000000"/>
                <w:sz w:val="22"/>
                <w:szCs w:val="22"/>
                <w:shd w:val="clear" w:color="auto" w:fill="FFFFFF"/>
                <w:lang w:eastAsia="ja-JP"/>
              </w:rPr>
            </w:pPr>
            <w:r w:rsidRPr="00B97BDB">
              <w:rPr>
                <w:rFonts w:ascii="Arial" w:hAnsi="Arial" w:cs="Arial"/>
                <w:color w:val="000000"/>
                <w:sz w:val="22"/>
                <w:szCs w:val="22"/>
                <w:shd w:val="clear" w:color="auto" w:fill="FFFFFF"/>
                <w:lang w:eastAsia="ja-JP"/>
              </w:rPr>
              <w:t xml:space="preserve">Weak interconnectivity of logistics management information system at central, regional medical stores and district hospitals </w:t>
            </w:r>
          </w:p>
          <w:p w:rsidR="00000000" w:rsidRDefault="00B97BDB">
            <w:pPr>
              <w:pStyle w:val="ColorfulList-Accent11"/>
              <w:widowControl/>
              <w:numPr>
                <w:ilvl w:val="0"/>
                <w:numId w:val="33"/>
              </w:numPr>
              <w:spacing w:line="240" w:lineRule="auto"/>
              <w:jc w:val="both"/>
              <w:rPr>
                <w:rFonts w:ascii="Arial" w:hAnsi="Arial" w:cs="Arial"/>
                <w:color w:val="000000"/>
                <w:sz w:val="22"/>
                <w:szCs w:val="22"/>
                <w:shd w:val="clear" w:color="auto" w:fill="FFFFFF"/>
                <w:lang w:eastAsia="ja-JP"/>
              </w:rPr>
            </w:pPr>
            <w:r w:rsidRPr="00B97BDB">
              <w:rPr>
                <w:rFonts w:ascii="Arial" w:hAnsi="Arial" w:cs="Arial"/>
                <w:color w:val="000000"/>
                <w:sz w:val="22"/>
                <w:szCs w:val="22"/>
                <w:shd w:val="clear" w:color="auto" w:fill="FFFFFF"/>
                <w:lang w:eastAsia="ja-JP"/>
              </w:rPr>
              <w:t>Weak infrastructure of regional and district medical stores coupled with low availability of transport and other logistics for timely distribution (HSMTDP 2010 -2013, pg 42)</w:t>
            </w:r>
          </w:p>
          <w:p w:rsidR="003B0A53" w:rsidRDefault="003B0A53" w:rsidP="003B0A53">
            <w:pPr>
              <w:jc w:val="both"/>
              <w:rPr>
                <w:rFonts w:cs="Arial"/>
                <w:b/>
                <w:szCs w:val="22"/>
              </w:rPr>
            </w:pPr>
            <w:r w:rsidRPr="009E3797">
              <w:rPr>
                <w:rFonts w:cs="Arial"/>
                <w:b/>
                <w:szCs w:val="22"/>
              </w:rPr>
              <w:t>Health Information System</w:t>
            </w:r>
          </w:p>
          <w:p w:rsidR="003B0A53" w:rsidRDefault="00B97BDB" w:rsidP="003B0A53">
            <w:pPr>
              <w:pStyle w:val="ColorfulList-Accent11"/>
              <w:spacing w:line="240" w:lineRule="auto"/>
              <w:jc w:val="both"/>
              <w:rPr>
                <w:rFonts w:ascii="Arial" w:hAnsi="Arial" w:cs="Arial"/>
                <w:sz w:val="22"/>
                <w:szCs w:val="22"/>
              </w:rPr>
            </w:pPr>
            <w:r>
              <w:rPr>
                <w:rFonts w:ascii="Arial" w:hAnsi="Arial" w:cs="Arial"/>
                <w:b/>
                <w:sz w:val="22"/>
                <w:szCs w:val="22"/>
                <w:lang w:eastAsia="en-US"/>
              </w:rPr>
              <w:lastRenderedPageBreak/>
              <w:t>P</w:t>
            </w:r>
            <w:r>
              <w:rPr>
                <w:rFonts w:ascii="Arial" w:hAnsi="Arial" w:cs="Arial"/>
                <w:b/>
                <w:sz w:val="22"/>
                <w:szCs w:val="22"/>
              </w:rPr>
              <w:t>oo</w:t>
            </w:r>
            <w:r>
              <w:rPr>
                <w:rFonts w:ascii="Arial" w:hAnsi="Arial" w:cs="Arial"/>
                <w:b/>
                <w:sz w:val="22"/>
                <w:szCs w:val="22"/>
                <w:lang w:eastAsia="en-US"/>
              </w:rPr>
              <w:t xml:space="preserve">r data quality: </w:t>
            </w:r>
            <w:r>
              <w:rPr>
                <w:rFonts w:ascii="Arial" w:hAnsi="Arial" w:cs="Arial"/>
                <w:sz w:val="22"/>
                <w:szCs w:val="22"/>
                <w:lang w:eastAsia="en-US"/>
              </w:rPr>
              <w:t>There is poor documentation and data management for effective planning and decision making at the operational level. Prior to the introduction of DHIMS2. The DVD-MT was the primary tool for EPI data management (</w:t>
            </w:r>
            <w:r w:rsidRPr="00B97BDB">
              <w:rPr>
                <w:rFonts w:ascii="Arial" w:hAnsi="Arial" w:cs="Arial"/>
                <w:sz w:val="22"/>
                <w:szCs w:val="22"/>
                <w:lang w:eastAsia="en-US"/>
              </w:rPr>
              <w:t>cMYP p19) recording 100% completeness and above 85% completely for consecutive years. In 2012 following national adoption and rollout of DHIMS2, data completeness and timeliness of reporting has dropped</w:t>
            </w:r>
            <w:r w:rsidR="003B0A53">
              <w:rPr>
                <w:rFonts w:ascii="Arial" w:hAnsi="Arial" w:cs="Arial"/>
                <w:sz w:val="22"/>
                <w:szCs w:val="22"/>
                <w:lang w:eastAsia="en-US"/>
              </w:rPr>
              <w:t xml:space="preserve"> </w:t>
            </w:r>
            <w:r w:rsidR="000357CA">
              <w:rPr>
                <w:rFonts w:ascii="Arial" w:hAnsi="Arial" w:cs="Arial"/>
                <w:sz w:val="22"/>
                <w:szCs w:val="22"/>
                <w:lang w:eastAsia="en-US"/>
              </w:rPr>
              <w:t>(</w:t>
            </w:r>
            <w:r w:rsidR="000357CA" w:rsidRPr="00482BA9">
              <w:rPr>
                <w:rFonts w:ascii="Arial" w:hAnsi="Arial" w:cs="Arial"/>
                <w:sz w:val="22"/>
                <w:szCs w:val="22"/>
                <w:lang w:eastAsia="en-US"/>
              </w:rPr>
              <w:t>in</w:t>
            </w:r>
            <w:r w:rsidR="003B0A53" w:rsidRPr="00482BA9">
              <w:rPr>
                <w:rFonts w:ascii="Arial" w:hAnsi="Arial" w:cs="Arial"/>
                <w:sz w:val="22"/>
                <w:szCs w:val="22"/>
                <w:lang w:eastAsia="en-US"/>
              </w:rPr>
              <w:t xml:space="preserve"> the DHIMS were 88.5% and 37.8% respectively</w:t>
            </w:r>
            <w:r w:rsidR="003B0A53">
              <w:rPr>
                <w:rFonts w:ascii="Arial" w:hAnsi="Arial" w:cs="Arial"/>
                <w:sz w:val="22"/>
                <w:szCs w:val="22"/>
                <w:lang w:eastAsia="en-US"/>
              </w:rPr>
              <w:t>)</w:t>
            </w:r>
            <w:r w:rsidR="003B0A53" w:rsidRPr="00482BA9">
              <w:rPr>
                <w:rFonts w:ascii="Arial" w:hAnsi="Arial" w:cs="Arial"/>
                <w:sz w:val="22"/>
                <w:szCs w:val="22"/>
                <w:lang w:eastAsia="en-US"/>
              </w:rPr>
              <w:t xml:space="preserve">. </w:t>
            </w:r>
            <w:r>
              <w:rPr>
                <w:rFonts w:ascii="Arial" w:hAnsi="Arial" w:cs="Arial"/>
                <w:sz w:val="22"/>
                <w:szCs w:val="22"/>
                <w:lang w:eastAsia="en-US"/>
              </w:rPr>
              <w:t>To strengthen national health system in a comprehensive manner, there is the need to improve capacities in DHIMS2 and integrate it with DVD-MT which is currently being used by EPI to reconcile data quality.</w:t>
            </w:r>
          </w:p>
          <w:p w:rsidR="003B0A53" w:rsidRPr="000357CA" w:rsidRDefault="003B0A53" w:rsidP="003B0A53">
            <w:pPr>
              <w:pStyle w:val="ColorfulList-Accent11"/>
              <w:numPr>
                <w:ilvl w:val="0"/>
                <w:numId w:val="3"/>
              </w:numPr>
              <w:autoSpaceDE w:val="0"/>
              <w:autoSpaceDN w:val="0"/>
              <w:adjustRightInd w:val="0"/>
              <w:spacing w:line="240" w:lineRule="auto"/>
              <w:jc w:val="both"/>
              <w:rPr>
                <w:rFonts w:ascii="Arial" w:hAnsi="Arial" w:cs="Arial"/>
                <w:sz w:val="22"/>
                <w:szCs w:val="22"/>
              </w:rPr>
            </w:pPr>
            <w:r w:rsidRPr="00482BA9">
              <w:rPr>
                <w:rFonts w:ascii="Arial" w:hAnsi="Arial" w:cs="Arial"/>
                <w:b/>
                <w:sz w:val="22"/>
                <w:szCs w:val="22"/>
              </w:rPr>
              <w:t>Inadequate operational research to inform policy and decision</w:t>
            </w:r>
            <w:r>
              <w:rPr>
                <w:rFonts w:ascii="Arial" w:hAnsi="Arial" w:cs="Arial"/>
                <w:b/>
                <w:sz w:val="22"/>
                <w:szCs w:val="22"/>
              </w:rPr>
              <w:t>-</w:t>
            </w:r>
            <w:r w:rsidRPr="00482BA9">
              <w:rPr>
                <w:rFonts w:ascii="Arial" w:hAnsi="Arial" w:cs="Arial"/>
                <w:b/>
                <w:sz w:val="22"/>
                <w:szCs w:val="22"/>
              </w:rPr>
              <w:t xml:space="preserve">making: </w:t>
            </w:r>
            <w:r w:rsidRPr="00482BA9">
              <w:rPr>
                <w:rFonts w:ascii="Arial" w:hAnsi="Arial" w:cs="Arial"/>
                <w:sz w:val="22"/>
                <w:szCs w:val="22"/>
              </w:rPr>
              <w:t xml:space="preserve">The health sector remains challenged at all levels in analyzing and using available data for decision making (HSMTDP, </w:t>
            </w:r>
            <w:r w:rsidR="00B97BDB">
              <w:rPr>
                <w:rFonts w:ascii="Arial" w:hAnsi="Arial" w:cs="Arial"/>
                <w:sz w:val="22"/>
                <w:szCs w:val="22"/>
              </w:rPr>
              <w:t>2010-2013). EPI operational research activities in the health sector are inadequate and uncoordinated.</w:t>
            </w:r>
          </w:p>
          <w:p w:rsidR="003B0A53" w:rsidRPr="000357CA" w:rsidRDefault="00B97BDB" w:rsidP="003B0A53">
            <w:pPr>
              <w:pStyle w:val="ColorfulList-Accent11"/>
              <w:widowControl/>
              <w:numPr>
                <w:ilvl w:val="0"/>
                <w:numId w:val="3"/>
              </w:numPr>
              <w:spacing w:line="240" w:lineRule="auto"/>
              <w:jc w:val="both"/>
              <w:rPr>
                <w:rFonts w:ascii="Arial" w:hAnsi="Arial" w:cs="Arial"/>
                <w:sz w:val="22"/>
                <w:szCs w:val="22"/>
              </w:rPr>
            </w:pPr>
            <w:r>
              <w:rPr>
                <w:rFonts w:ascii="Arial" w:hAnsi="Arial" w:cs="Arial"/>
                <w:sz w:val="22"/>
                <w:szCs w:val="22"/>
                <w:lang w:eastAsia="en-US"/>
              </w:rPr>
              <w:t>Lack of</w:t>
            </w:r>
            <w:r>
              <w:rPr>
                <w:rFonts w:ascii="Arial" w:hAnsi="Arial" w:cs="Arial"/>
                <w:sz w:val="22"/>
                <w:szCs w:val="22"/>
                <w:lang w:val="en-US" w:eastAsia="en-US"/>
              </w:rPr>
              <w:t xml:space="preserve"> integration of district vaccination data management tool (DVD-MT) and LMIS into DHIMS ( Ghana EPI Review 2012, pg 40, 72, 84)</w:t>
            </w:r>
          </w:p>
          <w:p w:rsidR="003B0A53" w:rsidRDefault="003B0A53" w:rsidP="003B0A53">
            <w:pPr>
              <w:jc w:val="both"/>
              <w:rPr>
                <w:rFonts w:cs="Arial"/>
                <w:b/>
                <w:szCs w:val="22"/>
              </w:rPr>
            </w:pPr>
            <w:r w:rsidRPr="009E3797">
              <w:rPr>
                <w:rFonts w:cs="Arial"/>
                <w:b/>
                <w:szCs w:val="22"/>
              </w:rPr>
              <w:t>Legal, Policy and Regulatory Environment:</w:t>
            </w:r>
          </w:p>
          <w:p w:rsidR="003B0A53" w:rsidRPr="000357CA" w:rsidRDefault="003B0A53" w:rsidP="003B0A53">
            <w:pPr>
              <w:pStyle w:val="ColorfulList-Accent11"/>
              <w:numPr>
                <w:ilvl w:val="0"/>
                <w:numId w:val="4"/>
              </w:numPr>
              <w:spacing w:line="240" w:lineRule="auto"/>
              <w:jc w:val="both"/>
              <w:rPr>
                <w:rFonts w:ascii="Arial" w:hAnsi="Arial" w:cs="Arial"/>
                <w:b/>
                <w:sz w:val="22"/>
                <w:szCs w:val="22"/>
              </w:rPr>
            </w:pPr>
            <w:r w:rsidRPr="00482BA9">
              <w:rPr>
                <w:rFonts w:ascii="Arial" w:hAnsi="Arial" w:cs="Arial"/>
                <w:b/>
                <w:sz w:val="22"/>
                <w:szCs w:val="22"/>
              </w:rPr>
              <w:t xml:space="preserve">Weak micro planning at the operational level: </w:t>
            </w:r>
            <w:r w:rsidRPr="00482BA9">
              <w:rPr>
                <w:rFonts w:ascii="Arial" w:hAnsi="Arial" w:cs="Arial"/>
                <w:sz w:val="22"/>
                <w:szCs w:val="22"/>
              </w:rPr>
              <w:t xml:space="preserve">Weak capacity for micro planning and budgeting at the sub district and CHPS </w:t>
            </w:r>
            <w:r w:rsidR="00B97BDB">
              <w:rPr>
                <w:rFonts w:ascii="Arial" w:hAnsi="Arial" w:cs="Arial"/>
                <w:sz w:val="22"/>
                <w:szCs w:val="22"/>
              </w:rPr>
              <w:t xml:space="preserve">zone levels.( Ghana EPI Review 2012, pg 26-27; </w:t>
            </w:r>
            <w:r w:rsidR="00B97BDB" w:rsidRPr="00B97BDB">
              <w:rPr>
                <w:rFonts w:ascii="Arial" w:hAnsi="Arial" w:cs="Arial"/>
                <w:sz w:val="22"/>
                <w:szCs w:val="22"/>
              </w:rPr>
              <w:t>cMYP pg 17)</w:t>
            </w:r>
          </w:p>
          <w:p w:rsidR="003B0A53" w:rsidRPr="000357CA" w:rsidRDefault="00B97BDB" w:rsidP="003B0A53">
            <w:pPr>
              <w:jc w:val="both"/>
              <w:rPr>
                <w:rFonts w:cs="Arial"/>
                <w:b/>
                <w:szCs w:val="22"/>
              </w:rPr>
            </w:pPr>
            <w:r w:rsidRPr="00B97BDB">
              <w:rPr>
                <w:rFonts w:cs="Arial"/>
                <w:b/>
                <w:szCs w:val="22"/>
              </w:rPr>
              <w:t>Financial Management</w:t>
            </w:r>
          </w:p>
          <w:p w:rsidR="003B0A53" w:rsidRPr="000357CA" w:rsidRDefault="00B97BDB" w:rsidP="003B0A53">
            <w:pPr>
              <w:pStyle w:val="ColorfulList-Accent11"/>
              <w:numPr>
                <w:ilvl w:val="0"/>
                <w:numId w:val="4"/>
              </w:numPr>
              <w:autoSpaceDE w:val="0"/>
              <w:autoSpaceDN w:val="0"/>
              <w:adjustRightInd w:val="0"/>
              <w:spacing w:line="240" w:lineRule="auto"/>
              <w:jc w:val="both"/>
              <w:rPr>
                <w:rFonts w:ascii="Arial" w:hAnsi="Arial" w:cs="Arial"/>
                <w:sz w:val="22"/>
                <w:szCs w:val="22"/>
              </w:rPr>
            </w:pPr>
            <w:r w:rsidRPr="00B97BDB">
              <w:rPr>
                <w:rFonts w:ascii="Arial" w:hAnsi="Arial" w:cs="Arial"/>
                <w:sz w:val="22"/>
                <w:szCs w:val="22"/>
                <w:lang w:eastAsia="en-US"/>
              </w:rPr>
              <w:t xml:space="preserve">Weaknesses in prioritisation, disbursement and financial resources tracking at all levels (Ghana EPI Review 2012, pg 7). </w:t>
            </w:r>
          </w:p>
          <w:p w:rsidR="003B0A53" w:rsidRPr="000357CA" w:rsidRDefault="00B97BDB" w:rsidP="003B0A53">
            <w:pPr>
              <w:pStyle w:val="ColorfulList-Accent11"/>
              <w:numPr>
                <w:ilvl w:val="0"/>
                <w:numId w:val="5"/>
              </w:numPr>
              <w:autoSpaceDE w:val="0"/>
              <w:autoSpaceDN w:val="0"/>
              <w:adjustRightInd w:val="0"/>
              <w:spacing w:line="240" w:lineRule="auto"/>
              <w:jc w:val="both"/>
              <w:rPr>
                <w:rFonts w:ascii="Arial" w:hAnsi="Arial" w:cs="Arial"/>
                <w:sz w:val="22"/>
                <w:szCs w:val="22"/>
              </w:rPr>
            </w:pPr>
            <w:r>
              <w:rPr>
                <w:rFonts w:ascii="Arial" w:hAnsi="Arial" w:cs="Arial"/>
                <w:sz w:val="22"/>
                <w:szCs w:val="22"/>
                <w:lang w:eastAsia="en-US"/>
              </w:rPr>
              <w:t xml:space="preserve">Inadequate funds at the operational level service delivery (Ghana EPI Review pg 36; HSMTD Strategy, pg 9, 20, 23) </w:t>
            </w:r>
          </w:p>
          <w:p w:rsidR="003B0A53" w:rsidRPr="000357CA" w:rsidRDefault="00B97BDB" w:rsidP="003B0A53">
            <w:pPr>
              <w:pStyle w:val="ColorfulList-Accent11"/>
              <w:numPr>
                <w:ilvl w:val="0"/>
                <w:numId w:val="5"/>
              </w:numPr>
              <w:autoSpaceDE w:val="0"/>
              <w:autoSpaceDN w:val="0"/>
              <w:adjustRightInd w:val="0"/>
              <w:spacing w:line="240" w:lineRule="auto"/>
              <w:jc w:val="both"/>
              <w:rPr>
                <w:rFonts w:ascii="Arial" w:hAnsi="Arial" w:cs="Arial"/>
                <w:b/>
                <w:sz w:val="22"/>
                <w:szCs w:val="22"/>
                <w:lang w:eastAsia="en-US"/>
              </w:rPr>
            </w:pPr>
            <w:r>
              <w:rPr>
                <w:rFonts w:ascii="Arial" w:hAnsi="Arial" w:cs="Arial"/>
                <w:sz w:val="22"/>
                <w:szCs w:val="22"/>
                <w:lang w:eastAsia="en-US"/>
              </w:rPr>
              <w:t>Weak financial management practices at sub district level (</w:t>
            </w:r>
            <w:r w:rsidRPr="00B97BDB">
              <w:rPr>
                <w:rFonts w:ascii="Arial" w:hAnsi="Arial" w:cs="Arial"/>
                <w:sz w:val="22"/>
                <w:szCs w:val="22"/>
              </w:rPr>
              <w:t>HSMTDP</w:t>
            </w:r>
          </w:p>
          <w:p w:rsidR="003B0A53" w:rsidRPr="00482BA9" w:rsidRDefault="003B0A53" w:rsidP="003B0A53">
            <w:pPr>
              <w:jc w:val="both"/>
              <w:rPr>
                <w:rFonts w:cs="Arial"/>
                <w:b/>
                <w:szCs w:val="22"/>
              </w:rPr>
            </w:pPr>
            <w:r w:rsidRPr="009E3797">
              <w:rPr>
                <w:rFonts w:cs="Arial"/>
                <w:b/>
                <w:szCs w:val="22"/>
              </w:rPr>
              <w:t>Community and Local Actors</w:t>
            </w:r>
          </w:p>
          <w:p w:rsidR="003B0A53" w:rsidRDefault="003B0A53" w:rsidP="003B0A53">
            <w:pPr>
              <w:pStyle w:val="ColorfulList-Accent11"/>
              <w:numPr>
                <w:ilvl w:val="0"/>
                <w:numId w:val="19"/>
              </w:numPr>
              <w:spacing w:line="240" w:lineRule="auto"/>
              <w:jc w:val="both"/>
              <w:rPr>
                <w:rFonts w:ascii="Arial" w:hAnsi="Arial" w:cs="Arial"/>
                <w:sz w:val="22"/>
                <w:szCs w:val="22"/>
              </w:rPr>
            </w:pPr>
            <w:r w:rsidRPr="00482BA9">
              <w:rPr>
                <w:rFonts w:ascii="Arial" w:hAnsi="Arial" w:cs="Arial"/>
                <w:b/>
                <w:sz w:val="22"/>
                <w:szCs w:val="22"/>
                <w:lang w:eastAsia="en-US"/>
              </w:rPr>
              <w:t xml:space="preserve">Poor mobilisation and engagement of communities in health service delivery especially for routine immunisation: </w:t>
            </w:r>
            <w:r w:rsidRPr="00482BA9">
              <w:rPr>
                <w:rFonts w:ascii="Arial" w:hAnsi="Arial" w:cs="Arial"/>
                <w:sz w:val="22"/>
                <w:szCs w:val="22"/>
                <w:lang w:eastAsia="en-US"/>
              </w:rPr>
              <w:t xml:space="preserve">There is weak CSO role in the engagement of communities for demand creation, sensitisation and advocacy. </w:t>
            </w:r>
            <w:r w:rsidRPr="00482BA9">
              <w:rPr>
                <w:rFonts w:ascii="Arial" w:hAnsi="Arial" w:cs="Arial"/>
                <w:sz w:val="22"/>
                <w:szCs w:val="22"/>
                <w:lang w:val="en-CA" w:eastAsia="en-CA"/>
              </w:rPr>
              <w:t>(</w:t>
            </w:r>
            <w:r w:rsidRPr="00482BA9">
              <w:rPr>
                <w:rFonts w:ascii="Arial" w:hAnsi="Arial" w:cs="Arial"/>
                <w:sz w:val="22"/>
                <w:szCs w:val="22"/>
                <w:lang w:eastAsia="en-US"/>
              </w:rPr>
              <w:t>The Ghana Immunisation Services Review, 2012:pp.7).</w:t>
            </w:r>
            <w:r w:rsidRPr="00482BA9">
              <w:rPr>
                <w:rFonts w:ascii="Arial" w:hAnsi="Arial" w:cs="Arial"/>
                <w:sz w:val="22"/>
                <w:szCs w:val="22"/>
                <w:lang w:val="en-CA" w:eastAsia="en-CA"/>
              </w:rPr>
              <w:t xml:space="preserve"> This is due to </w:t>
            </w:r>
            <w:r w:rsidRPr="00482BA9">
              <w:rPr>
                <w:rFonts w:ascii="Arial" w:hAnsi="Arial" w:cs="Arial"/>
                <w:sz w:val="22"/>
                <w:szCs w:val="22"/>
                <w:lang w:val="en-CA"/>
              </w:rPr>
              <w:t>the following:</w:t>
            </w:r>
          </w:p>
          <w:p w:rsidR="003B0A53" w:rsidRPr="000357CA" w:rsidRDefault="003B0A53" w:rsidP="003B0A53">
            <w:pPr>
              <w:pStyle w:val="ColorfulList-Accent11"/>
              <w:numPr>
                <w:ilvl w:val="0"/>
                <w:numId w:val="19"/>
              </w:numPr>
              <w:spacing w:line="240" w:lineRule="auto"/>
              <w:ind w:left="1080"/>
              <w:jc w:val="both"/>
              <w:rPr>
                <w:rFonts w:ascii="Arial" w:hAnsi="Arial" w:cs="Arial"/>
                <w:b/>
                <w:sz w:val="22"/>
                <w:szCs w:val="22"/>
              </w:rPr>
            </w:pPr>
            <w:r w:rsidRPr="00482BA9">
              <w:rPr>
                <w:rFonts w:ascii="Arial" w:hAnsi="Arial" w:cs="Arial"/>
                <w:sz w:val="22"/>
                <w:szCs w:val="22"/>
                <w:lang w:val="en-CA"/>
              </w:rPr>
              <w:t xml:space="preserve">Inadequate funding to undertake impact-oriented community level interventions by </w:t>
            </w:r>
            <w:r w:rsidR="00B97BDB">
              <w:rPr>
                <w:rFonts w:ascii="Arial" w:hAnsi="Arial" w:cs="Arial"/>
                <w:sz w:val="22"/>
                <w:szCs w:val="22"/>
                <w:lang w:val="en-CA"/>
              </w:rPr>
              <w:t>CSOs (</w:t>
            </w:r>
            <w:r w:rsidR="00B97BDB" w:rsidRPr="00B97BDB">
              <w:rPr>
                <w:rFonts w:ascii="Arial" w:hAnsi="Arial" w:cs="Arial"/>
                <w:sz w:val="22"/>
                <w:szCs w:val="22"/>
                <w:lang w:val="en-CA"/>
              </w:rPr>
              <w:t>cMYP, pg 17)</w:t>
            </w:r>
          </w:p>
          <w:p w:rsidR="003B0A53" w:rsidRPr="000357CA" w:rsidRDefault="00B97BDB" w:rsidP="003B0A53">
            <w:pPr>
              <w:pStyle w:val="ColorfulList-Accent11"/>
              <w:numPr>
                <w:ilvl w:val="0"/>
                <w:numId w:val="6"/>
              </w:numPr>
              <w:spacing w:line="240" w:lineRule="auto"/>
              <w:ind w:left="1080"/>
              <w:jc w:val="both"/>
              <w:rPr>
                <w:rFonts w:ascii="Arial" w:hAnsi="Arial" w:cs="Arial"/>
                <w:b/>
                <w:sz w:val="22"/>
                <w:szCs w:val="22"/>
              </w:rPr>
            </w:pPr>
            <w:r>
              <w:rPr>
                <w:rFonts w:ascii="Arial" w:hAnsi="Arial" w:cs="Arial"/>
                <w:sz w:val="22"/>
                <w:szCs w:val="22"/>
                <w:lang w:val="en-CA" w:eastAsia="en-CA"/>
              </w:rPr>
              <w:t>Poor incentive support for working in hard-to-reach areas (</w:t>
            </w:r>
            <w:r w:rsidRPr="00B97BDB">
              <w:rPr>
                <w:rFonts w:ascii="Arial" w:hAnsi="Arial" w:cs="Arial"/>
                <w:sz w:val="22"/>
                <w:szCs w:val="22"/>
                <w:lang w:val="en-CA" w:eastAsia="en-CA"/>
              </w:rPr>
              <w:t>cMYP, pg 31-36)</w:t>
            </w:r>
          </w:p>
          <w:p w:rsidR="00000000" w:rsidRDefault="00052899">
            <w:pPr>
              <w:jc w:val="both"/>
              <w:rPr>
                <w:rFonts w:cs="Arial"/>
                <w:b/>
                <w:szCs w:val="22"/>
              </w:rPr>
            </w:pPr>
            <w:r w:rsidRPr="00482BA9">
              <w:rPr>
                <w:rFonts w:cs="Arial"/>
                <w:b/>
                <w:szCs w:val="22"/>
                <w:lang w:val="en-CA" w:eastAsia="en-CA"/>
              </w:rPr>
              <w:t>Low coverage of key essential health interventions (including immunisation) in some population:</w:t>
            </w:r>
            <w:r>
              <w:rPr>
                <w:rFonts w:cs="Arial"/>
                <w:b/>
                <w:szCs w:val="22"/>
                <w:lang w:val="en-CA" w:eastAsia="en-CA"/>
              </w:rPr>
              <w:t xml:space="preserve"> </w:t>
            </w:r>
            <w:r w:rsidRPr="00482BA9">
              <w:rPr>
                <w:rFonts w:cs="Arial"/>
                <w:szCs w:val="22"/>
              </w:rPr>
              <w:t>Districts showing high percentage of un-immunized children have been identified</w:t>
            </w:r>
            <w:r>
              <w:rPr>
                <w:rFonts w:cs="Arial"/>
                <w:szCs w:val="22"/>
              </w:rPr>
              <w:t xml:space="preserve"> </w:t>
            </w:r>
            <w:r w:rsidRPr="00482BA9">
              <w:rPr>
                <w:rFonts w:cs="Arial"/>
                <w:szCs w:val="22"/>
              </w:rPr>
              <w:t>based on EPI 2012 administrative data. Also</w:t>
            </w:r>
            <w:r>
              <w:rPr>
                <w:rFonts w:cs="Arial"/>
                <w:szCs w:val="22"/>
              </w:rPr>
              <w:t>,</w:t>
            </w:r>
            <w:r w:rsidRPr="00482BA9">
              <w:rPr>
                <w:rFonts w:cs="Arial"/>
                <w:szCs w:val="22"/>
              </w:rPr>
              <w:t xml:space="preserve"> districts with riverine and island communities have been targeted for support. About 10 communities per district will be selected from 20 of such districts and targeted for community mobilization and demand creation.</w:t>
            </w:r>
          </w:p>
          <w:p w:rsidR="00000000" w:rsidRDefault="00B02BEF">
            <w:pPr>
              <w:jc w:val="both"/>
              <w:rPr>
                <w:rFonts w:cs="Arial"/>
                <w:b/>
                <w:bCs/>
                <w:szCs w:val="22"/>
              </w:rPr>
            </w:pPr>
          </w:p>
          <w:p w:rsidR="00000000" w:rsidRDefault="00052899">
            <w:pPr>
              <w:jc w:val="both"/>
              <w:rPr>
                <w:rFonts w:cs="Arial"/>
                <w:b/>
                <w:szCs w:val="22"/>
              </w:rPr>
            </w:pPr>
            <w:r w:rsidRPr="00482BA9">
              <w:rPr>
                <w:rFonts w:cs="Arial"/>
                <w:b/>
                <w:szCs w:val="22"/>
              </w:rPr>
              <w:t>Gender Inequalities in Service Delivery and Effects on Immunisation</w:t>
            </w:r>
          </w:p>
          <w:p w:rsidR="00000000" w:rsidRDefault="00470002">
            <w:pPr>
              <w:jc w:val="both"/>
              <w:rPr>
                <w:rFonts w:eastAsia="Arial Unicode MS" w:cs="Arial"/>
                <w:color w:val="000000"/>
                <w:szCs w:val="22"/>
                <w:u w:color="000000"/>
                <w:lang w:val="en-US" w:eastAsia="en-US"/>
              </w:rPr>
            </w:pPr>
            <w:r>
              <w:rPr>
                <w:rFonts w:eastAsia="Arial Unicode MS" w:cs="Arial"/>
                <w:color w:val="000000"/>
                <w:szCs w:val="22"/>
                <w:u w:color="000000"/>
                <w:lang w:val="en-US" w:eastAsia="en-US"/>
              </w:rPr>
              <w:t>There are</w:t>
            </w:r>
            <w:r w:rsidR="00C8524D">
              <w:rPr>
                <w:rFonts w:eastAsia="Arial Unicode MS" w:cs="Arial"/>
                <w:color w:val="000000"/>
                <w:szCs w:val="22"/>
                <w:u w:color="000000"/>
                <w:lang w:val="en-US" w:eastAsia="en-US"/>
              </w:rPr>
              <w:t xml:space="preserve"> no significant difference</w:t>
            </w:r>
            <w:r>
              <w:rPr>
                <w:rFonts w:eastAsia="Arial Unicode MS" w:cs="Arial"/>
                <w:color w:val="000000"/>
                <w:szCs w:val="22"/>
                <w:u w:color="000000"/>
                <w:lang w:val="en-US" w:eastAsia="en-US"/>
              </w:rPr>
              <w:t>s</w:t>
            </w:r>
            <w:r w:rsidR="00C8524D">
              <w:rPr>
                <w:rFonts w:eastAsia="Arial Unicode MS" w:cs="Arial"/>
                <w:color w:val="000000"/>
                <w:szCs w:val="22"/>
                <w:u w:color="000000"/>
                <w:lang w:val="en-US" w:eastAsia="en-US"/>
              </w:rPr>
              <w:t xml:space="preserve"> </w:t>
            </w:r>
            <w:r>
              <w:rPr>
                <w:rFonts w:eastAsia="Arial Unicode MS" w:cs="Arial"/>
                <w:color w:val="000000"/>
                <w:szCs w:val="22"/>
                <w:u w:color="000000"/>
                <w:lang w:val="en-US" w:eastAsia="en-US"/>
              </w:rPr>
              <w:t xml:space="preserve">in immunization uptake among </w:t>
            </w:r>
            <w:r w:rsidR="00C8524D">
              <w:rPr>
                <w:rFonts w:eastAsia="Arial Unicode MS" w:cs="Arial"/>
                <w:color w:val="000000"/>
                <w:szCs w:val="22"/>
                <w:u w:color="000000"/>
                <w:lang w:val="en-US" w:eastAsia="en-US"/>
              </w:rPr>
              <w:t xml:space="preserve">various </w:t>
            </w:r>
            <w:r>
              <w:rPr>
                <w:rFonts w:eastAsia="Arial Unicode MS" w:cs="Arial"/>
                <w:color w:val="000000"/>
                <w:szCs w:val="22"/>
                <w:u w:color="000000"/>
                <w:lang w:val="en-US" w:eastAsia="en-US"/>
              </w:rPr>
              <w:t xml:space="preserve">wealth quintiles, and gender (MICS, 2011). </w:t>
            </w:r>
            <w:r w:rsidR="006D7728">
              <w:rPr>
                <w:rFonts w:eastAsia="Arial Unicode MS" w:cs="Arial"/>
                <w:color w:val="000000"/>
                <w:szCs w:val="22"/>
                <w:u w:color="000000"/>
                <w:lang w:val="en-US" w:eastAsia="en-US"/>
              </w:rPr>
              <w:t>T</w:t>
            </w:r>
            <w:r w:rsidR="006D7728" w:rsidRPr="00BC6217">
              <w:rPr>
                <w:rFonts w:eastAsia="Arial Unicode MS" w:cs="Arial"/>
                <w:color w:val="000000"/>
                <w:szCs w:val="22"/>
                <w:u w:color="000000"/>
                <w:lang w:val="en-US" w:eastAsia="en-US"/>
              </w:rPr>
              <w:t xml:space="preserve">he administrative data for immunisation is not disaggregated by sex. </w:t>
            </w:r>
            <w:r w:rsidR="006D7728">
              <w:rPr>
                <w:rFonts w:eastAsia="Arial Unicode MS" w:cs="Arial"/>
                <w:color w:val="000000"/>
                <w:szCs w:val="22"/>
                <w:u w:color="000000"/>
                <w:lang w:val="en-US" w:eastAsia="en-US"/>
              </w:rPr>
              <w:t xml:space="preserve">However, there are steps which have been </w:t>
            </w:r>
            <w:r>
              <w:rPr>
                <w:rFonts w:eastAsia="Arial Unicode MS" w:cs="Arial"/>
                <w:color w:val="000000"/>
                <w:szCs w:val="22"/>
                <w:u w:color="000000"/>
                <w:lang w:val="en-US" w:eastAsia="en-US"/>
              </w:rPr>
              <w:t>initiated</w:t>
            </w:r>
            <w:r w:rsidR="006D7728">
              <w:rPr>
                <w:rFonts w:eastAsia="Arial Unicode MS" w:cs="Arial"/>
                <w:color w:val="000000"/>
                <w:szCs w:val="22"/>
                <w:u w:color="000000"/>
                <w:lang w:val="en-US" w:eastAsia="en-US"/>
              </w:rPr>
              <w:t xml:space="preserve"> through the child </w:t>
            </w:r>
            <w:r>
              <w:rPr>
                <w:rFonts w:eastAsia="Arial Unicode MS" w:cs="Arial"/>
                <w:color w:val="000000"/>
                <w:szCs w:val="22"/>
                <w:u w:color="000000"/>
                <w:lang w:val="en-US" w:eastAsia="en-US"/>
              </w:rPr>
              <w:t>growth</w:t>
            </w:r>
            <w:r w:rsidR="006D7728">
              <w:rPr>
                <w:rFonts w:eastAsia="Arial Unicode MS" w:cs="Arial"/>
                <w:color w:val="000000"/>
                <w:szCs w:val="22"/>
                <w:u w:color="000000"/>
                <w:lang w:val="en-US" w:eastAsia="en-US"/>
              </w:rPr>
              <w:t xml:space="preserve"> promotion session to </w:t>
            </w:r>
            <w:r>
              <w:rPr>
                <w:rFonts w:eastAsia="Arial Unicode MS" w:cs="Arial"/>
                <w:color w:val="000000"/>
                <w:szCs w:val="22"/>
                <w:u w:color="000000"/>
                <w:lang w:val="en-US" w:eastAsia="en-US"/>
              </w:rPr>
              <w:t>disaggregate</w:t>
            </w:r>
            <w:r w:rsidR="006D7728">
              <w:rPr>
                <w:rFonts w:eastAsia="Arial Unicode MS" w:cs="Arial"/>
                <w:color w:val="000000"/>
                <w:szCs w:val="22"/>
                <w:u w:color="000000"/>
                <w:lang w:val="en-US" w:eastAsia="en-US"/>
              </w:rPr>
              <w:t xml:space="preserve"> data by sex. This will also be introduced into routine immunize data to strengthen data reporting and </w:t>
            </w:r>
            <w:r w:rsidR="000357CA">
              <w:rPr>
                <w:rFonts w:eastAsia="Arial Unicode MS" w:cs="Arial"/>
                <w:color w:val="000000"/>
                <w:szCs w:val="22"/>
                <w:u w:color="000000"/>
                <w:lang w:val="en-US" w:eastAsia="en-US"/>
              </w:rPr>
              <w:t>analysis</w:t>
            </w:r>
            <w:r w:rsidR="006D7728">
              <w:rPr>
                <w:rFonts w:eastAsia="Arial Unicode MS" w:cs="Arial"/>
                <w:color w:val="000000"/>
                <w:szCs w:val="22"/>
                <w:u w:color="000000"/>
                <w:lang w:val="en-US" w:eastAsia="en-US"/>
              </w:rPr>
              <w:t xml:space="preserve"> by gender. </w:t>
            </w:r>
            <w:r w:rsidR="006D7728" w:rsidRPr="00BC6217">
              <w:rPr>
                <w:rFonts w:eastAsia="Arial Unicode MS" w:cs="Arial"/>
                <w:color w:val="000000"/>
                <w:szCs w:val="22"/>
                <w:u w:color="000000"/>
                <w:lang w:val="en-US" w:eastAsia="en-US"/>
              </w:rPr>
              <w:t>There is therefore the need to adapt existing data collection tools to be able to capture immunisation data by sex.</w:t>
            </w:r>
            <w:r w:rsidR="00C8524D">
              <w:rPr>
                <w:rFonts w:eastAsia="Arial Unicode MS" w:cs="Arial"/>
                <w:color w:val="000000"/>
                <w:szCs w:val="22"/>
                <w:u w:color="000000"/>
                <w:lang w:val="en-US" w:eastAsia="en-US"/>
              </w:rPr>
              <w:t xml:space="preserve"> </w:t>
            </w:r>
            <w:r w:rsidR="00052899" w:rsidRPr="00BC6217">
              <w:rPr>
                <w:rFonts w:eastAsia="Arial Unicode MS" w:cs="Arial"/>
                <w:color w:val="000000"/>
                <w:szCs w:val="22"/>
                <w:u w:color="000000"/>
                <w:lang w:val="en-US" w:eastAsia="en-US"/>
              </w:rPr>
              <w:t xml:space="preserve">The </w:t>
            </w:r>
            <w:r w:rsidR="00472AFA">
              <w:rPr>
                <w:rFonts w:eastAsia="Arial Unicode MS" w:cs="Arial"/>
                <w:color w:val="000000"/>
                <w:szCs w:val="22"/>
                <w:u w:color="000000"/>
                <w:lang w:val="en-US" w:eastAsia="en-US"/>
              </w:rPr>
              <w:t>MoH</w:t>
            </w:r>
            <w:r w:rsidR="006D7728">
              <w:rPr>
                <w:rFonts w:eastAsia="Arial Unicode MS" w:cs="Arial"/>
                <w:color w:val="000000"/>
                <w:szCs w:val="22"/>
                <w:u w:color="000000"/>
                <w:lang w:val="en-US" w:eastAsia="en-US"/>
              </w:rPr>
              <w:t xml:space="preserve"> </w:t>
            </w:r>
            <w:r w:rsidR="00052899" w:rsidRPr="00BC6217">
              <w:rPr>
                <w:rFonts w:eastAsia="Arial Unicode MS" w:cs="Arial"/>
                <w:color w:val="000000"/>
                <w:szCs w:val="22"/>
                <w:u w:color="000000"/>
                <w:lang w:val="en-US" w:eastAsia="en-US"/>
              </w:rPr>
              <w:t xml:space="preserve">has a gender policy that aims at mainstreaming gender in the health sector. </w:t>
            </w:r>
          </w:p>
          <w:p w:rsidR="00000000" w:rsidRDefault="00B02BEF">
            <w:pPr>
              <w:rPr>
                <w:rFonts w:eastAsia="Arial Unicode MS" w:cs="Arial"/>
                <w:color w:val="000000"/>
                <w:szCs w:val="22"/>
                <w:u w:color="000000"/>
                <w:lang w:val="en-US" w:eastAsia="en-US"/>
              </w:rPr>
            </w:pPr>
          </w:p>
          <w:p w:rsidR="00052899" w:rsidRPr="006D7728" w:rsidRDefault="00B97BDB">
            <w:pPr>
              <w:jc w:val="both"/>
              <w:rPr>
                <w:rFonts w:eastAsia="Arial Unicode MS" w:cs="Arial"/>
                <w:b/>
                <w:color w:val="000000"/>
                <w:szCs w:val="22"/>
                <w:u w:color="000000"/>
                <w:lang w:val="en-US" w:eastAsia="en-US"/>
              </w:rPr>
            </w:pPr>
            <w:r w:rsidRPr="00B97BDB">
              <w:rPr>
                <w:rFonts w:eastAsia="Arial Unicode MS" w:cs="Arial"/>
                <w:b/>
                <w:color w:val="000000"/>
                <w:szCs w:val="22"/>
                <w:u w:color="000000"/>
                <w:lang w:val="en-US" w:eastAsia="en-US"/>
              </w:rPr>
              <w:t xml:space="preserve">Other national programmes addressing bottlenecks </w:t>
            </w:r>
          </w:p>
          <w:p w:rsidR="00052899" w:rsidRPr="00BC6217" w:rsidRDefault="00052899" w:rsidP="00052899">
            <w:pPr>
              <w:pStyle w:val="ColorfulList-Accent11"/>
              <w:numPr>
                <w:ilvl w:val="0"/>
                <w:numId w:val="6"/>
              </w:numPr>
              <w:spacing w:line="240" w:lineRule="auto"/>
              <w:jc w:val="both"/>
              <w:rPr>
                <w:rFonts w:ascii="Arial" w:eastAsia="Arial Unicode MS" w:hAnsi="Arial" w:cs="Arial"/>
                <w:color w:val="000000"/>
                <w:sz w:val="22"/>
                <w:szCs w:val="22"/>
                <w:u w:color="000000"/>
                <w:lang w:val="en-US" w:eastAsia="en-US"/>
              </w:rPr>
            </w:pPr>
            <w:r w:rsidRPr="00482BA9">
              <w:rPr>
                <w:rFonts w:ascii="Arial" w:hAnsi="Arial" w:cs="Arial"/>
                <w:b/>
                <w:sz w:val="22"/>
                <w:szCs w:val="22"/>
                <w:lang w:eastAsia="en-US"/>
              </w:rPr>
              <w:t>Ghana essential health intervention project (GEHIP) in Upper East</w:t>
            </w:r>
            <w:r>
              <w:rPr>
                <w:rFonts w:ascii="Arial" w:hAnsi="Arial" w:cs="Arial"/>
                <w:b/>
                <w:sz w:val="22"/>
                <w:szCs w:val="22"/>
                <w:lang w:eastAsia="en-US"/>
              </w:rPr>
              <w:t xml:space="preserve">: </w:t>
            </w:r>
            <w:r w:rsidRPr="00BC6217">
              <w:rPr>
                <w:rFonts w:ascii="Arial" w:eastAsia="Arial Unicode MS" w:hAnsi="Arial" w:cs="Arial"/>
                <w:color w:val="000000"/>
                <w:sz w:val="22"/>
                <w:szCs w:val="22"/>
                <w:u w:color="000000"/>
                <w:lang w:val="en-US" w:eastAsia="en-US"/>
              </w:rPr>
              <w:t xml:space="preserve">It seeks to influence the health system through various activities that will lead to increase access to technologies, increase service availability and care and improve quality and efficiency of </w:t>
            </w:r>
            <w:r w:rsidRPr="00BC6217">
              <w:rPr>
                <w:rFonts w:ascii="Arial" w:eastAsia="Arial Unicode MS" w:hAnsi="Arial" w:cs="Arial"/>
                <w:color w:val="000000"/>
                <w:sz w:val="22"/>
                <w:szCs w:val="22"/>
                <w:u w:color="000000"/>
                <w:lang w:val="en-US" w:eastAsia="en-US"/>
              </w:rPr>
              <w:lastRenderedPageBreak/>
              <w:t xml:space="preserve">service. It is being integrated with the normal sector programme. </w:t>
            </w:r>
          </w:p>
          <w:p w:rsidR="00052899" w:rsidRPr="009E3797" w:rsidRDefault="00052899" w:rsidP="00052899">
            <w:pPr>
              <w:pStyle w:val="ColorfulList-Accent11"/>
              <w:numPr>
                <w:ilvl w:val="0"/>
                <w:numId w:val="6"/>
              </w:numPr>
              <w:spacing w:line="240" w:lineRule="auto"/>
              <w:jc w:val="both"/>
              <w:rPr>
                <w:rFonts w:ascii="Arial" w:hAnsi="Arial" w:cs="Arial"/>
                <w:b/>
                <w:sz w:val="22"/>
                <w:szCs w:val="22"/>
                <w:lang w:eastAsia="en-US"/>
              </w:rPr>
            </w:pPr>
            <w:r>
              <w:rPr>
                <w:rFonts w:ascii="Arial" w:hAnsi="Arial" w:cs="Arial"/>
                <w:b/>
                <w:sz w:val="22"/>
                <w:szCs w:val="22"/>
                <w:lang w:eastAsia="en-US"/>
              </w:rPr>
              <w:t xml:space="preserve">Project Five Alive: </w:t>
            </w:r>
            <w:r w:rsidRPr="00BC6217">
              <w:rPr>
                <w:rFonts w:ascii="Arial" w:eastAsia="Arial Unicode MS" w:hAnsi="Arial" w:cs="Arial"/>
                <w:color w:val="000000"/>
                <w:sz w:val="22"/>
                <w:szCs w:val="22"/>
                <w:u w:color="000000"/>
                <w:lang w:val="en-US" w:eastAsia="en-US"/>
              </w:rPr>
              <w:t>It is a five-year initiative to accelerate Ghana’s effort to achieve MDG 4 for reducing under-five mortality rate by 67 percent, from 110 per 1,000 live births in 1990 to less than 40 per 1,000 live births by 2015 through the application of quality improvement strategies</w:t>
            </w:r>
            <w:r>
              <w:rPr>
                <w:rFonts w:ascii="Arial" w:eastAsia="Times New Roman" w:hAnsi="Arial" w:cs="Arial"/>
                <w:color w:val="424242"/>
                <w:sz w:val="22"/>
                <w:szCs w:val="22"/>
                <w:lang w:val="en-CA" w:eastAsia="en-CA"/>
              </w:rPr>
              <w:t>.</w:t>
            </w:r>
          </w:p>
          <w:p w:rsidR="00052899" w:rsidRPr="00BC6217" w:rsidRDefault="00052899" w:rsidP="00052899">
            <w:pPr>
              <w:pStyle w:val="ColorfulList-Accent11"/>
              <w:numPr>
                <w:ilvl w:val="0"/>
                <w:numId w:val="6"/>
              </w:numPr>
              <w:spacing w:line="240" w:lineRule="auto"/>
              <w:jc w:val="both"/>
              <w:rPr>
                <w:rFonts w:ascii="Arial" w:eastAsia="Arial Unicode MS" w:hAnsi="Arial" w:cs="Arial"/>
                <w:color w:val="000000"/>
                <w:sz w:val="22"/>
                <w:szCs w:val="22"/>
                <w:u w:color="000000"/>
                <w:lang w:val="en-US" w:eastAsia="en-US"/>
              </w:rPr>
            </w:pPr>
            <w:r w:rsidRPr="00482BA9">
              <w:rPr>
                <w:rFonts w:ascii="Arial" w:hAnsi="Arial" w:cs="Arial"/>
                <w:b/>
                <w:sz w:val="22"/>
                <w:szCs w:val="22"/>
                <w:lang w:eastAsia="en-US"/>
              </w:rPr>
              <w:t>MAF</w:t>
            </w:r>
            <w:r>
              <w:rPr>
                <w:rFonts w:ascii="Arial" w:hAnsi="Arial" w:cs="Arial"/>
                <w:b/>
                <w:sz w:val="22"/>
                <w:szCs w:val="22"/>
                <w:lang w:eastAsia="en-US"/>
              </w:rPr>
              <w:t xml:space="preserve">: </w:t>
            </w:r>
            <w:r w:rsidRPr="00BC6217">
              <w:rPr>
                <w:rFonts w:ascii="Arial" w:eastAsia="Arial Unicode MS" w:hAnsi="Arial" w:cs="Arial"/>
                <w:color w:val="000000"/>
                <w:sz w:val="22"/>
                <w:szCs w:val="22"/>
                <w:u w:color="000000"/>
                <w:lang w:val="en-US" w:eastAsia="en-US"/>
              </w:rPr>
              <w:t>Ghana is implementing the MAF, which identifies and prioritises the bottlenecks of the effective implementation of the most important intervention to reduce maternal death and propose solutions for accelerating progress for MDG 5. The European Union is providing support for MAF to address maternal and child health issues over the period 2013 to 2015. This includes activities focusing on skilled attendant at birth, emergency obstetric care and family planning, strengthen monitoring and evaluation, health management information system and financial management.</w:t>
            </w:r>
          </w:p>
          <w:p w:rsidR="00052899" w:rsidRPr="009E3797" w:rsidRDefault="00052899" w:rsidP="00052899">
            <w:pPr>
              <w:pStyle w:val="ColorfulList-Accent11"/>
              <w:numPr>
                <w:ilvl w:val="0"/>
                <w:numId w:val="6"/>
              </w:numPr>
              <w:spacing w:line="240" w:lineRule="auto"/>
              <w:jc w:val="both"/>
              <w:rPr>
                <w:rFonts w:cs="Arial"/>
                <w:b/>
                <w:szCs w:val="22"/>
                <w:lang w:eastAsia="en-US"/>
              </w:rPr>
            </w:pPr>
            <w:r w:rsidRPr="00482BA9">
              <w:rPr>
                <w:rFonts w:ascii="Arial" w:hAnsi="Arial" w:cs="Arial"/>
                <w:b/>
                <w:sz w:val="22"/>
                <w:szCs w:val="22"/>
                <w:lang w:eastAsia="en-US"/>
              </w:rPr>
              <w:t>Free maternal health care</w:t>
            </w:r>
            <w:r>
              <w:rPr>
                <w:rFonts w:ascii="Arial" w:hAnsi="Arial" w:cs="Arial"/>
                <w:b/>
                <w:sz w:val="22"/>
                <w:szCs w:val="22"/>
                <w:lang w:eastAsia="en-US"/>
              </w:rPr>
              <w:t xml:space="preserve">: </w:t>
            </w:r>
            <w:r w:rsidRPr="00BC6217">
              <w:rPr>
                <w:rFonts w:ascii="Arial" w:eastAsia="Arial Unicode MS" w:hAnsi="Arial" w:cs="Arial"/>
                <w:color w:val="000000"/>
                <w:sz w:val="22"/>
                <w:szCs w:val="22"/>
                <w:u w:color="000000"/>
                <w:lang w:val="en-US" w:eastAsia="en-US"/>
              </w:rPr>
              <w:t>The GoG though the NHIA is providing free maternal care to all pregnant women. This service covers antenatal, delivery and post natal.</w:t>
            </w:r>
          </w:p>
        </w:tc>
      </w:tr>
    </w:tbl>
    <w:p w:rsidR="00052899" w:rsidRDefault="00052899" w:rsidP="00052899">
      <w:pPr>
        <w:spacing w:before="120" w:after="120"/>
        <w:jc w:val="both"/>
        <w:rPr>
          <w:rFonts w:cs="Arial"/>
          <w:szCs w:val="22"/>
        </w:rPr>
      </w:pPr>
      <w:r w:rsidRPr="00B40A7C">
        <w:rPr>
          <w:rFonts w:cs="Arial"/>
          <w:szCs w:val="22"/>
        </w:rPr>
        <w:lastRenderedPageBreak/>
        <w:br w:type="page"/>
      </w:r>
    </w:p>
    <w:p w:rsidR="00052899" w:rsidRDefault="00052899" w:rsidP="00052899">
      <w:pPr>
        <w:jc w:val="both"/>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830"/>
        <w:gridCol w:w="6540"/>
      </w:tblGrid>
      <w:tr w:rsidR="00052899" w:rsidRPr="00B40A7C">
        <w:trPr>
          <w:cantSplit/>
          <w:trHeight w:val="511"/>
        </w:trPr>
        <w:tc>
          <w:tcPr>
            <w:tcW w:w="5000" w:type="pct"/>
            <w:gridSpan w:val="2"/>
            <w:shd w:val="clear" w:color="auto" w:fill="006460"/>
            <w:tcMar>
              <w:top w:w="80" w:type="dxa"/>
              <w:left w:w="0" w:type="dxa"/>
              <w:bottom w:w="80" w:type="dxa"/>
              <w:right w:w="0" w:type="dxa"/>
            </w:tcMar>
          </w:tcPr>
          <w:p w:rsidR="00052899" w:rsidRDefault="00052899" w:rsidP="00052899">
            <w:pPr>
              <w:pStyle w:val="Heading1"/>
              <w:rPr>
                <w:szCs w:val="22"/>
              </w:rPr>
            </w:pPr>
            <w:r w:rsidRPr="0053194C">
              <w:rPr>
                <w:rFonts w:cs="Arial"/>
                <w:szCs w:val="22"/>
              </w:rPr>
              <w:br w:type="page"/>
            </w:r>
            <w:bookmarkStart w:id="594" w:name="_Toc377545388"/>
            <w:r w:rsidRPr="00291E76">
              <w:t>10.  LESSONS LEARNED AND PAST EXPERIENCE</w:t>
            </w:r>
            <w:bookmarkEnd w:id="594"/>
            <w:r w:rsidRPr="00291E76">
              <w:rPr>
                <w:szCs w:val="22"/>
              </w:rPr>
              <w:t xml:space="preserve"> </w:t>
            </w:r>
          </w:p>
        </w:tc>
      </w:tr>
      <w:tr w:rsidR="00052899" w:rsidRPr="00B40A7C">
        <w:trPr>
          <w:cantSplit/>
          <w:trHeight w:val="516"/>
        </w:trPr>
        <w:tc>
          <w:tcPr>
            <w:tcW w:w="5000" w:type="pct"/>
            <w:gridSpan w:val="2"/>
            <w:shd w:val="clear" w:color="auto" w:fill="FFFFFF"/>
            <w:tcMar>
              <w:top w:w="80" w:type="dxa"/>
              <w:left w:w="0" w:type="dxa"/>
              <w:bottom w:w="80" w:type="dxa"/>
              <w:right w:w="0" w:type="dxa"/>
            </w:tcMar>
          </w:tcPr>
          <w:p w:rsidR="003B5DE5" w:rsidRDefault="00F06440">
            <w:pPr>
              <w:pStyle w:val="Body1"/>
              <w:keepLines/>
              <w:spacing w:before="100"/>
              <w:jc w:val="both"/>
              <w:rPr>
                <w:rFonts w:cs="Arial"/>
                <w:b/>
                <w:szCs w:val="22"/>
              </w:rPr>
            </w:pPr>
            <w:bookmarkStart w:id="595" w:name="_Toc377026202"/>
            <w:bookmarkStart w:id="596" w:name="_Toc377543796"/>
            <w:bookmarkStart w:id="597" w:name="_Toc377545389"/>
            <w:r>
              <w:rPr>
                <w:rFonts w:cs="Arial"/>
                <w:szCs w:val="22"/>
              </w:rPr>
              <w:t>While t</w:t>
            </w:r>
            <w:r w:rsidR="00052899" w:rsidRPr="00B40A7C">
              <w:rPr>
                <w:rFonts w:cs="Arial"/>
                <w:szCs w:val="22"/>
              </w:rPr>
              <w:t xml:space="preserve">he </w:t>
            </w:r>
            <w:r>
              <w:rPr>
                <w:rFonts w:cs="Arial"/>
                <w:szCs w:val="22"/>
              </w:rPr>
              <w:t>immediate past</w:t>
            </w:r>
            <w:r w:rsidR="00052899" w:rsidRPr="00B40A7C">
              <w:rPr>
                <w:rFonts w:cs="Arial"/>
                <w:szCs w:val="22"/>
              </w:rPr>
              <w:t xml:space="preserve"> </w:t>
            </w:r>
            <w:r>
              <w:rPr>
                <w:rFonts w:cs="Arial"/>
                <w:szCs w:val="22"/>
              </w:rPr>
              <w:t>GAVI HSS support has not been evaluated, however Annual reports including the current APR has evidence of performance related to the GAVI Support. Three key areas of best practice and lessons learns are 1) Ensuring cash disbursement to the sub-district level, 2) flexibility for re programming the GAVI funds and 3) provision of vehicles(pick-ups) to100 districts to support health service delivery</w:t>
            </w:r>
            <w:r w:rsidR="00052899" w:rsidRPr="00B40A7C">
              <w:rPr>
                <w:rFonts w:cs="Arial"/>
                <w:szCs w:val="22"/>
              </w:rPr>
              <w:t>.</w:t>
            </w:r>
            <w:bookmarkEnd w:id="595"/>
            <w:bookmarkEnd w:id="596"/>
            <w:bookmarkEnd w:id="597"/>
          </w:p>
        </w:tc>
      </w:tr>
      <w:tr w:rsidR="00052899" w:rsidRPr="00B40A7C">
        <w:trPr>
          <w:cantSplit/>
          <w:trHeight w:val="20"/>
        </w:trPr>
        <w:tc>
          <w:tcPr>
            <w:tcW w:w="1510" w:type="pct"/>
            <w:shd w:val="clear" w:color="auto" w:fill="FFFFFF"/>
            <w:tcMar>
              <w:top w:w="80" w:type="dxa"/>
              <w:left w:w="0" w:type="dxa"/>
              <w:bottom w:w="80" w:type="dxa"/>
              <w:right w:w="0" w:type="dxa"/>
            </w:tcMar>
          </w:tcPr>
          <w:p w:rsidR="00000000" w:rsidRDefault="00052899">
            <w:pPr>
              <w:pStyle w:val="Body1"/>
              <w:keepLines/>
              <w:spacing w:before="100"/>
              <w:rPr>
                <w:rFonts w:cs="Arial"/>
                <w:szCs w:val="22"/>
              </w:rPr>
            </w:pPr>
            <w:bookmarkStart w:id="598" w:name="_Toc377026203"/>
            <w:bookmarkStart w:id="599" w:name="_Toc377543797"/>
            <w:bookmarkStart w:id="600" w:name="_Toc377545390"/>
            <w:r w:rsidRPr="00B40A7C">
              <w:rPr>
                <w:rFonts w:cs="Arial"/>
                <w:szCs w:val="22"/>
              </w:rPr>
              <w:t>Current GAVI/HSS Objectives</w:t>
            </w:r>
            <w:bookmarkEnd w:id="598"/>
            <w:bookmarkEnd w:id="599"/>
            <w:bookmarkEnd w:id="600"/>
          </w:p>
        </w:tc>
        <w:tc>
          <w:tcPr>
            <w:tcW w:w="3490" w:type="pct"/>
            <w:shd w:val="clear" w:color="auto" w:fill="FFFFFF"/>
          </w:tcPr>
          <w:p w:rsidR="00052899" w:rsidRPr="00484BD2" w:rsidRDefault="00052899" w:rsidP="00052899">
            <w:pPr>
              <w:pStyle w:val="Body1"/>
              <w:keepLines/>
              <w:spacing w:before="100"/>
              <w:jc w:val="both"/>
              <w:rPr>
                <w:rFonts w:cs="Arial"/>
                <w:szCs w:val="22"/>
              </w:rPr>
            </w:pPr>
            <w:bookmarkStart w:id="601" w:name="_Toc377026204"/>
            <w:bookmarkStart w:id="602" w:name="_Toc377543798"/>
            <w:bookmarkStart w:id="603" w:name="_Toc377545391"/>
            <w:r w:rsidRPr="00484BD2">
              <w:rPr>
                <w:rFonts w:cs="Arial"/>
                <w:szCs w:val="22"/>
              </w:rPr>
              <w:t>Example of lesson learned, highlighting both successes and challenges</w:t>
            </w:r>
            <w:bookmarkEnd w:id="601"/>
            <w:bookmarkEnd w:id="602"/>
            <w:bookmarkEnd w:id="603"/>
          </w:p>
        </w:tc>
      </w:tr>
      <w:tr w:rsidR="00052899" w:rsidRPr="00B40A7C">
        <w:trPr>
          <w:cantSplit/>
          <w:trHeight w:val="20"/>
        </w:trPr>
        <w:tc>
          <w:tcPr>
            <w:tcW w:w="1510" w:type="pct"/>
            <w:shd w:val="clear" w:color="auto" w:fill="FFFFFF"/>
            <w:tcMar>
              <w:top w:w="80" w:type="dxa"/>
              <w:left w:w="0" w:type="dxa"/>
              <w:bottom w:w="80" w:type="dxa"/>
              <w:right w:w="0" w:type="dxa"/>
            </w:tcMar>
          </w:tcPr>
          <w:p w:rsidR="00000000" w:rsidRDefault="00052899">
            <w:pPr>
              <w:pStyle w:val="Body1"/>
              <w:keepLines/>
              <w:numPr>
                <w:ilvl w:val="0"/>
                <w:numId w:val="8"/>
              </w:numPr>
              <w:spacing w:before="100"/>
              <w:rPr>
                <w:rFonts w:cs="Arial"/>
                <w:color w:val="auto"/>
                <w:szCs w:val="22"/>
                <w:lang w:eastAsia="en-GB"/>
              </w:rPr>
            </w:pPr>
            <w:bookmarkStart w:id="604" w:name="_Toc377026205"/>
            <w:bookmarkStart w:id="605" w:name="_Toc377543799"/>
            <w:bookmarkStart w:id="606" w:name="_Toc377545392"/>
            <w:r w:rsidRPr="00B40A7C">
              <w:rPr>
                <w:rFonts w:cs="Arial"/>
                <w:color w:val="auto"/>
                <w:szCs w:val="22"/>
              </w:rPr>
              <w:t>To strengthen and scale-up community health  interventions aimed at improving access and quality of primary health care services</w:t>
            </w:r>
            <w:bookmarkEnd w:id="604"/>
            <w:bookmarkEnd w:id="605"/>
            <w:bookmarkEnd w:id="606"/>
          </w:p>
          <w:p w:rsidR="00052899" w:rsidRPr="00B40A7C" w:rsidRDefault="00052899" w:rsidP="00052899">
            <w:pPr>
              <w:pStyle w:val="Body1"/>
              <w:keepLines/>
              <w:spacing w:before="100"/>
              <w:ind w:left="720"/>
              <w:jc w:val="both"/>
              <w:rPr>
                <w:rFonts w:cs="Arial"/>
                <w:color w:val="auto"/>
                <w:szCs w:val="22"/>
              </w:rPr>
            </w:pPr>
          </w:p>
        </w:tc>
        <w:tc>
          <w:tcPr>
            <w:tcW w:w="3490" w:type="pct"/>
            <w:shd w:val="clear" w:color="auto" w:fill="FFFFFF"/>
          </w:tcPr>
          <w:p w:rsidR="00D05336" w:rsidRDefault="00D05336" w:rsidP="00052899">
            <w:pPr>
              <w:pStyle w:val="Body1"/>
              <w:keepLines/>
              <w:spacing w:before="100"/>
              <w:jc w:val="both"/>
              <w:rPr>
                <w:rFonts w:cs="Arial"/>
                <w:color w:val="auto"/>
                <w:szCs w:val="22"/>
              </w:rPr>
            </w:pPr>
            <w:bookmarkStart w:id="607" w:name="_Toc377026206"/>
            <w:bookmarkStart w:id="608" w:name="_Toc377543800"/>
            <w:bookmarkStart w:id="609" w:name="_Toc377545393"/>
            <w:r>
              <w:rPr>
                <w:rFonts w:cs="Arial"/>
                <w:color w:val="auto"/>
                <w:szCs w:val="22"/>
              </w:rPr>
              <w:t>The budget management centre concept requires a cost-centre to have a certain level of capacity to receive and manage funds. This has been a challenge because the CHPS concept which places a CHO at the community-level will not qualify for direct funds and management.</w:t>
            </w:r>
          </w:p>
          <w:p w:rsidR="00D05336" w:rsidRDefault="00D05336" w:rsidP="00052899">
            <w:pPr>
              <w:pStyle w:val="Body1"/>
              <w:keepLines/>
              <w:spacing w:before="100"/>
              <w:jc w:val="both"/>
              <w:rPr>
                <w:rFonts w:cs="Arial"/>
                <w:color w:val="auto"/>
                <w:szCs w:val="22"/>
              </w:rPr>
            </w:pPr>
            <w:r>
              <w:rPr>
                <w:rFonts w:cs="Arial"/>
                <w:color w:val="auto"/>
                <w:szCs w:val="22"/>
              </w:rPr>
              <w:t xml:space="preserve">During implementation </w:t>
            </w:r>
            <w:r w:rsidR="007D7503">
              <w:rPr>
                <w:rFonts w:cs="Arial"/>
                <w:color w:val="auto"/>
                <w:szCs w:val="22"/>
              </w:rPr>
              <w:t xml:space="preserve">of the previous GAVI HSS, </w:t>
            </w:r>
            <w:r>
              <w:rPr>
                <w:rFonts w:cs="Arial"/>
                <w:color w:val="auto"/>
                <w:szCs w:val="22"/>
              </w:rPr>
              <w:t xml:space="preserve">an </w:t>
            </w:r>
            <w:r w:rsidR="007D7503">
              <w:rPr>
                <w:rFonts w:cs="Arial"/>
                <w:color w:val="auto"/>
                <w:szCs w:val="22"/>
              </w:rPr>
              <w:t xml:space="preserve">accountable </w:t>
            </w:r>
            <w:r>
              <w:rPr>
                <w:rFonts w:cs="Arial"/>
                <w:color w:val="auto"/>
                <w:szCs w:val="22"/>
              </w:rPr>
              <w:t>impres</w:t>
            </w:r>
            <w:r w:rsidR="007D7503">
              <w:rPr>
                <w:rFonts w:cs="Arial"/>
                <w:color w:val="auto"/>
                <w:szCs w:val="22"/>
              </w:rPr>
              <w:t>t</w:t>
            </w:r>
            <w:r>
              <w:rPr>
                <w:rFonts w:cs="Arial"/>
                <w:color w:val="auto"/>
                <w:szCs w:val="22"/>
              </w:rPr>
              <w:t xml:space="preserve"> system was created to enable cash to be transferred to sub-districts to enable t</w:t>
            </w:r>
            <w:r w:rsidR="007750FE">
              <w:rPr>
                <w:rFonts w:cs="Arial"/>
                <w:color w:val="auto"/>
                <w:szCs w:val="22"/>
              </w:rPr>
              <w:t>hem t</w:t>
            </w:r>
            <w:r>
              <w:rPr>
                <w:rFonts w:cs="Arial"/>
                <w:color w:val="auto"/>
                <w:szCs w:val="22"/>
              </w:rPr>
              <w:t xml:space="preserve">o pay </w:t>
            </w:r>
            <w:r w:rsidR="007D7503">
              <w:rPr>
                <w:rFonts w:cs="Arial"/>
                <w:color w:val="auto"/>
                <w:szCs w:val="22"/>
              </w:rPr>
              <w:t xml:space="preserve">for </w:t>
            </w:r>
            <w:r>
              <w:rPr>
                <w:rFonts w:cs="Arial"/>
                <w:color w:val="auto"/>
                <w:szCs w:val="22"/>
              </w:rPr>
              <w:t>small</w:t>
            </w:r>
            <w:r w:rsidR="007D7503">
              <w:rPr>
                <w:rFonts w:cs="Arial"/>
                <w:color w:val="auto"/>
                <w:szCs w:val="22"/>
              </w:rPr>
              <w:t xml:space="preserve"> </w:t>
            </w:r>
            <w:r>
              <w:rPr>
                <w:rFonts w:cs="Arial"/>
                <w:color w:val="auto"/>
                <w:szCs w:val="22"/>
              </w:rPr>
              <w:t xml:space="preserve">expenditure </w:t>
            </w:r>
            <w:r w:rsidR="00B97BDB" w:rsidRPr="00B97BDB">
              <w:rPr>
                <w:rFonts w:cs="Arial"/>
                <w:i/>
                <w:color w:val="auto"/>
                <w:szCs w:val="22"/>
              </w:rPr>
              <w:t>s</w:t>
            </w:r>
            <w:r w:rsidR="00C23909">
              <w:rPr>
                <w:rFonts w:cs="Arial"/>
                <w:i/>
                <w:color w:val="auto"/>
                <w:szCs w:val="22"/>
              </w:rPr>
              <w:t xml:space="preserve">uch </w:t>
            </w:r>
            <w:r w:rsidR="00B97BDB" w:rsidRPr="00B97BDB">
              <w:rPr>
                <w:rFonts w:cs="Arial"/>
                <w:i/>
                <w:color w:val="auto"/>
                <w:szCs w:val="22"/>
              </w:rPr>
              <w:t>a</w:t>
            </w:r>
            <w:r w:rsidR="00C23909">
              <w:rPr>
                <w:rFonts w:cs="Arial"/>
                <w:color w:val="auto"/>
                <w:szCs w:val="22"/>
              </w:rPr>
              <w:t>s</w:t>
            </w:r>
            <w:r>
              <w:rPr>
                <w:rFonts w:cs="Arial"/>
                <w:color w:val="auto"/>
                <w:szCs w:val="22"/>
              </w:rPr>
              <w:t xml:space="preserve"> fuel, repair of motorbikes, stationery, etc. Though there were challenges in ensuring that districts transferred funds to sub-districts, some regions </w:t>
            </w:r>
            <w:r w:rsidR="00B97BDB" w:rsidRPr="00B97BDB">
              <w:rPr>
                <w:rFonts w:cs="Arial"/>
                <w:i/>
                <w:color w:val="auto"/>
                <w:szCs w:val="22"/>
              </w:rPr>
              <w:t>s</w:t>
            </w:r>
            <w:r w:rsidR="00C23909">
              <w:rPr>
                <w:rFonts w:cs="Arial"/>
                <w:i/>
                <w:color w:val="auto"/>
                <w:szCs w:val="22"/>
              </w:rPr>
              <w:t>uch as</w:t>
            </w:r>
            <w:r>
              <w:rPr>
                <w:rFonts w:cs="Arial"/>
                <w:color w:val="auto"/>
                <w:szCs w:val="22"/>
              </w:rPr>
              <w:t xml:space="preserve"> UER were able to open accounts for all sub-districts and transfer funds. This helped improve financial access to funds for service delivery.</w:t>
            </w:r>
          </w:p>
          <w:p w:rsidR="00052899" w:rsidRPr="00977D79" w:rsidRDefault="007750FE" w:rsidP="00052899">
            <w:pPr>
              <w:pStyle w:val="Body1"/>
              <w:keepLines/>
              <w:tabs>
                <w:tab w:val="left" w:pos="530"/>
              </w:tabs>
              <w:spacing w:before="100"/>
              <w:jc w:val="both"/>
              <w:rPr>
                <w:rFonts w:cs="Arial"/>
                <w:color w:val="auto"/>
                <w:szCs w:val="22"/>
              </w:rPr>
            </w:pPr>
            <w:r>
              <w:rPr>
                <w:rFonts w:cs="Arial"/>
                <w:color w:val="auto"/>
                <w:szCs w:val="22"/>
              </w:rPr>
              <w:t>The p</w:t>
            </w:r>
            <w:r w:rsidR="007D7503">
              <w:rPr>
                <w:rFonts w:cs="Arial"/>
                <w:color w:val="auto"/>
                <w:szCs w:val="22"/>
              </w:rPr>
              <w:t xml:space="preserve">revious </w:t>
            </w:r>
            <w:r>
              <w:rPr>
                <w:rFonts w:cs="Arial"/>
                <w:color w:val="auto"/>
                <w:szCs w:val="22"/>
              </w:rPr>
              <w:t xml:space="preserve">GAVI HSS procured 100 4X4 pick-ups for 100 districts out of a total of 170. This enhanced outreach services </w:t>
            </w:r>
            <w:r w:rsidR="0047185D">
              <w:rPr>
                <w:rFonts w:cs="Arial"/>
                <w:color w:val="auto"/>
                <w:szCs w:val="22"/>
              </w:rPr>
              <w:t>in all resourced district</w:t>
            </w:r>
            <w:r w:rsidR="00A6415E">
              <w:rPr>
                <w:rFonts w:cs="Arial"/>
                <w:color w:val="auto"/>
                <w:szCs w:val="22"/>
              </w:rPr>
              <w:t>s</w:t>
            </w:r>
            <w:r w:rsidR="0047185D">
              <w:rPr>
                <w:rFonts w:cs="Arial"/>
                <w:color w:val="auto"/>
                <w:szCs w:val="22"/>
              </w:rPr>
              <w:t xml:space="preserve"> </w:t>
            </w:r>
            <w:r>
              <w:rPr>
                <w:rFonts w:cs="Arial"/>
                <w:color w:val="auto"/>
                <w:szCs w:val="22"/>
              </w:rPr>
              <w:t>especially in the newly created districts. For the already existing districts that had at least one vehicle, the new vehicle was scheduled to serve the number of sub-districts in turns for outreach services especially to remote and hard-to-reach areas that were inaccessible with motorbikes.</w:t>
            </w:r>
            <w:bookmarkEnd w:id="607"/>
            <w:bookmarkEnd w:id="608"/>
            <w:bookmarkEnd w:id="609"/>
          </w:p>
        </w:tc>
      </w:tr>
      <w:tr w:rsidR="00052899" w:rsidRPr="00B40A7C">
        <w:trPr>
          <w:cantSplit/>
          <w:trHeight w:val="20"/>
        </w:trPr>
        <w:tc>
          <w:tcPr>
            <w:tcW w:w="1510" w:type="pct"/>
            <w:shd w:val="clear" w:color="auto" w:fill="FFFFFF"/>
            <w:tcMar>
              <w:top w:w="80" w:type="dxa"/>
              <w:left w:w="0" w:type="dxa"/>
              <w:bottom w:w="80" w:type="dxa"/>
              <w:right w:w="0" w:type="dxa"/>
            </w:tcMar>
          </w:tcPr>
          <w:p w:rsidR="00000000" w:rsidRDefault="00052899">
            <w:pPr>
              <w:pStyle w:val="Body1"/>
              <w:keepLines/>
              <w:numPr>
                <w:ilvl w:val="0"/>
                <w:numId w:val="8"/>
              </w:numPr>
              <w:spacing w:before="100"/>
              <w:rPr>
                <w:rFonts w:cs="Arial"/>
                <w:color w:val="auto"/>
                <w:szCs w:val="22"/>
              </w:rPr>
            </w:pPr>
            <w:bookmarkStart w:id="610" w:name="_Toc377026209"/>
            <w:bookmarkStart w:id="611" w:name="_Toc377543803"/>
            <w:bookmarkStart w:id="612" w:name="_Toc377545396"/>
            <w:r w:rsidRPr="00B40A7C">
              <w:rPr>
                <w:rFonts w:cs="Arial"/>
                <w:color w:val="auto"/>
                <w:szCs w:val="22"/>
              </w:rPr>
              <w:lastRenderedPageBreak/>
              <w:t>To address capacity and equity gaps in health worker distribution in targeted districts and communities</w:t>
            </w:r>
            <w:bookmarkEnd w:id="610"/>
            <w:bookmarkEnd w:id="611"/>
            <w:bookmarkEnd w:id="612"/>
          </w:p>
          <w:p w:rsidR="00052899" w:rsidRPr="00B40A7C" w:rsidRDefault="00052899" w:rsidP="00052899">
            <w:pPr>
              <w:pStyle w:val="Body1"/>
              <w:keepNext/>
              <w:keepLines/>
              <w:spacing w:before="100"/>
              <w:ind w:left="360"/>
              <w:jc w:val="both"/>
              <w:rPr>
                <w:rFonts w:cs="Arial"/>
                <w:color w:val="auto"/>
                <w:szCs w:val="22"/>
              </w:rPr>
            </w:pPr>
          </w:p>
          <w:p w:rsidR="00052899" w:rsidRPr="00B40A7C" w:rsidRDefault="00052899" w:rsidP="00052899">
            <w:pPr>
              <w:pStyle w:val="Body1"/>
              <w:keepNext/>
              <w:keepLines/>
              <w:spacing w:before="100"/>
              <w:ind w:left="360"/>
              <w:jc w:val="both"/>
              <w:rPr>
                <w:rFonts w:cs="Arial"/>
                <w:color w:val="auto"/>
                <w:szCs w:val="22"/>
              </w:rPr>
            </w:pPr>
          </w:p>
        </w:tc>
        <w:tc>
          <w:tcPr>
            <w:tcW w:w="3490" w:type="pct"/>
            <w:shd w:val="clear" w:color="auto" w:fill="FFFFFF"/>
          </w:tcPr>
          <w:p w:rsidR="009B3CA3" w:rsidRDefault="009B3CA3" w:rsidP="00052899">
            <w:pPr>
              <w:autoSpaceDE w:val="0"/>
              <w:autoSpaceDN w:val="0"/>
              <w:adjustRightInd w:val="0"/>
              <w:jc w:val="both"/>
              <w:rPr>
                <w:rFonts w:cs="Arial"/>
                <w:szCs w:val="22"/>
              </w:rPr>
            </w:pPr>
            <w:r>
              <w:rPr>
                <w:szCs w:val="22"/>
              </w:rPr>
              <w:t xml:space="preserve">The Government created Community </w:t>
            </w:r>
            <w:r w:rsidR="00052899" w:rsidRPr="00B40A7C">
              <w:rPr>
                <w:rFonts w:cs="Arial"/>
                <w:szCs w:val="22"/>
              </w:rPr>
              <w:t>health training institutions</w:t>
            </w:r>
            <w:r w:rsidR="00052899">
              <w:rPr>
                <w:rFonts w:cs="Arial"/>
                <w:szCs w:val="22"/>
              </w:rPr>
              <w:t xml:space="preserve"> </w:t>
            </w:r>
            <w:r>
              <w:rPr>
                <w:rFonts w:cs="Arial"/>
                <w:szCs w:val="22"/>
              </w:rPr>
              <w:t xml:space="preserve">in each region, increased intake and passed a Policy to retain </w:t>
            </w:r>
            <w:r w:rsidRPr="00B40A7C">
              <w:rPr>
                <w:rFonts w:cs="Arial"/>
                <w:szCs w:val="22"/>
              </w:rPr>
              <w:t xml:space="preserve">70% of </w:t>
            </w:r>
            <w:r>
              <w:rPr>
                <w:rFonts w:cs="Arial"/>
                <w:szCs w:val="22"/>
              </w:rPr>
              <w:t xml:space="preserve">community health nurses </w:t>
            </w:r>
            <w:r w:rsidRPr="00B40A7C">
              <w:rPr>
                <w:rFonts w:cs="Arial"/>
                <w:szCs w:val="22"/>
              </w:rPr>
              <w:t>trained in the region</w:t>
            </w:r>
            <w:r>
              <w:rPr>
                <w:rFonts w:cs="Arial"/>
                <w:szCs w:val="22"/>
              </w:rPr>
              <w:t xml:space="preserve">s. This rapidly increased the number of CHNs available in each region and deployed to communities. </w:t>
            </w:r>
          </w:p>
          <w:p w:rsidR="00052899" w:rsidRPr="00B40A7C" w:rsidRDefault="00052899" w:rsidP="00052899">
            <w:pPr>
              <w:autoSpaceDE w:val="0"/>
              <w:autoSpaceDN w:val="0"/>
              <w:adjustRightInd w:val="0"/>
              <w:jc w:val="both"/>
              <w:rPr>
                <w:rFonts w:cs="Arial"/>
                <w:szCs w:val="22"/>
              </w:rPr>
            </w:pPr>
          </w:p>
        </w:tc>
      </w:tr>
      <w:tr w:rsidR="00052899" w:rsidRPr="00B40A7C">
        <w:trPr>
          <w:cantSplit/>
          <w:trHeight w:val="2380"/>
        </w:trPr>
        <w:tc>
          <w:tcPr>
            <w:tcW w:w="1510" w:type="pct"/>
            <w:shd w:val="clear" w:color="auto" w:fill="FFFFFF"/>
            <w:tcMar>
              <w:top w:w="80" w:type="dxa"/>
              <w:left w:w="0" w:type="dxa"/>
              <w:bottom w:w="80" w:type="dxa"/>
              <w:right w:w="0" w:type="dxa"/>
            </w:tcMar>
          </w:tcPr>
          <w:p w:rsidR="00000000" w:rsidRDefault="00052899">
            <w:pPr>
              <w:pStyle w:val="ColorfulList-Accent11"/>
              <w:numPr>
                <w:ilvl w:val="0"/>
                <w:numId w:val="8"/>
              </w:numPr>
              <w:rPr>
                <w:rFonts w:ascii="Arial" w:hAnsi="Arial" w:cs="Arial"/>
                <w:sz w:val="22"/>
                <w:szCs w:val="22"/>
              </w:rPr>
            </w:pPr>
            <w:r w:rsidRPr="00B40A7C">
              <w:rPr>
                <w:rFonts w:ascii="Arial" w:hAnsi="Arial" w:cs="Arial"/>
                <w:sz w:val="22"/>
                <w:szCs w:val="22"/>
                <w:lang w:eastAsia="en-US"/>
              </w:rPr>
              <w:t>To empower civil society for increased demand for health services at the community</w:t>
            </w:r>
          </w:p>
        </w:tc>
        <w:tc>
          <w:tcPr>
            <w:tcW w:w="3490" w:type="pct"/>
            <w:shd w:val="clear" w:color="auto" w:fill="FFFFFF"/>
          </w:tcPr>
          <w:p w:rsidR="003B5DE5" w:rsidRDefault="005C7CB0">
            <w:pPr>
              <w:autoSpaceDE w:val="0"/>
              <w:autoSpaceDN w:val="0"/>
              <w:adjustRightInd w:val="0"/>
              <w:jc w:val="both"/>
              <w:rPr>
                <w:rFonts w:eastAsia="Calibri" w:cs="Arial"/>
                <w:szCs w:val="22"/>
                <w:lang w:val="en-CA"/>
              </w:rPr>
            </w:pPr>
            <w:r>
              <w:rPr>
                <w:rFonts w:eastAsia="Calibri" w:cs="Arial"/>
                <w:szCs w:val="22"/>
                <w:lang w:val="en-CA"/>
              </w:rPr>
              <w:t xml:space="preserve">There is improved collaboration between </w:t>
            </w:r>
            <w:r w:rsidR="0074365B">
              <w:rPr>
                <w:rFonts w:eastAsia="Calibri" w:cs="Arial"/>
                <w:szCs w:val="22"/>
                <w:lang w:val="en-CA"/>
              </w:rPr>
              <w:t xml:space="preserve">MOH </w:t>
            </w:r>
            <w:r>
              <w:rPr>
                <w:rFonts w:eastAsia="Calibri" w:cs="Arial"/>
                <w:szCs w:val="22"/>
                <w:lang w:val="en-CA"/>
              </w:rPr>
              <w:t>and</w:t>
            </w:r>
            <w:r w:rsidR="0074365B">
              <w:rPr>
                <w:rFonts w:eastAsia="Calibri" w:cs="Arial"/>
                <w:szCs w:val="22"/>
                <w:lang w:val="en-CA"/>
              </w:rPr>
              <w:t xml:space="preserve"> </w:t>
            </w:r>
            <w:r w:rsidR="00052899" w:rsidRPr="00B40A7C">
              <w:rPr>
                <w:rFonts w:eastAsia="Calibri" w:cs="Arial"/>
                <w:szCs w:val="22"/>
                <w:lang w:val="en-CA"/>
              </w:rPr>
              <w:t>CSO</w:t>
            </w:r>
            <w:r w:rsidR="0074365B">
              <w:rPr>
                <w:rFonts w:eastAsia="Calibri" w:cs="Arial"/>
                <w:szCs w:val="22"/>
                <w:lang w:val="en-CA"/>
              </w:rPr>
              <w:t>s</w:t>
            </w:r>
            <w:r>
              <w:rPr>
                <w:rFonts w:eastAsia="Calibri" w:cs="Arial"/>
                <w:szCs w:val="22"/>
                <w:lang w:val="en-CA"/>
              </w:rPr>
              <w:t xml:space="preserve"> such that</w:t>
            </w:r>
            <w:r w:rsidR="0074365B">
              <w:rPr>
                <w:rFonts w:eastAsia="Calibri" w:cs="Arial"/>
                <w:szCs w:val="22"/>
                <w:lang w:val="en-CA"/>
              </w:rPr>
              <w:t xml:space="preserve"> </w:t>
            </w:r>
            <w:r>
              <w:rPr>
                <w:rFonts w:eastAsia="Calibri" w:cs="Arial"/>
                <w:szCs w:val="22"/>
                <w:lang w:val="en-CA"/>
              </w:rPr>
              <w:t xml:space="preserve">they </w:t>
            </w:r>
            <w:r w:rsidR="004C434C">
              <w:rPr>
                <w:rFonts w:eastAsia="Calibri" w:cs="Arial"/>
                <w:szCs w:val="22"/>
                <w:lang w:val="en-CA"/>
              </w:rPr>
              <w:t xml:space="preserve">are recognized as </w:t>
            </w:r>
            <w:r w:rsidR="0074365B">
              <w:rPr>
                <w:rFonts w:eastAsia="Calibri" w:cs="Arial"/>
                <w:szCs w:val="22"/>
                <w:lang w:val="en-CA"/>
              </w:rPr>
              <w:t>partner</w:t>
            </w:r>
            <w:r w:rsidR="004C434C">
              <w:rPr>
                <w:rFonts w:eastAsia="Calibri" w:cs="Arial"/>
                <w:szCs w:val="22"/>
                <w:lang w:val="en-CA"/>
              </w:rPr>
              <w:t>s</w:t>
            </w:r>
            <w:r w:rsidR="0074365B">
              <w:rPr>
                <w:rFonts w:eastAsia="Calibri" w:cs="Arial"/>
                <w:szCs w:val="22"/>
                <w:lang w:val="en-CA"/>
              </w:rPr>
              <w:t xml:space="preserve"> and their</w:t>
            </w:r>
            <w:r w:rsidR="00052899" w:rsidRPr="00B40A7C">
              <w:rPr>
                <w:rFonts w:eastAsia="Calibri" w:cs="Arial"/>
                <w:szCs w:val="22"/>
                <w:lang w:val="en-CA"/>
              </w:rPr>
              <w:t xml:space="preserve"> involvement in the </w:t>
            </w:r>
            <w:r w:rsidR="0074365B">
              <w:rPr>
                <w:rFonts w:eastAsia="Calibri" w:cs="Arial"/>
                <w:szCs w:val="22"/>
                <w:lang w:val="en-CA"/>
              </w:rPr>
              <w:t xml:space="preserve">health sector </w:t>
            </w:r>
            <w:r w:rsidR="004C434C">
              <w:rPr>
                <w:rFonts w:eastAsia="Calibri" w:cs="Arial"/>
                <w:szCs w:val="22"/>
                <w:lang w:val="en-CA"/>
              </w:rPr>
              <w:t>policy decisions</w:t>
            </w:r>
            <w:r w:rsidR="0074365B">
              <w:rPr>
                <w:rFonts w:eastAsia="Calibri" w:cs="Arial"/>
                <w:szCs w:val="22"/>
                <w:lang w:val="en-CA"/>
              </w:rPr>
              <w:t>. From the CSO mapping, active CSO participation has been linked with DHMTs in districts where they are operational. This leadership role of the MOH and GHS has promoted the relationship of CSOs in DHMTs.</w:t>
            </w:r>
          </w:p>
          <w:p w:rsidR="003B5DE5" w:rsidRDefault="003B5DE5">
            <w:pPr>
              <w:autoSpaceDE w:val="0"/>
              <w:autoSpaceDN w:val="0"/>
              <w:adjustRightInd w:val="0"/>
              <w:jc w:val="both"/>
              <w:rPr>
                <w:rFonts w:eastAsia="Calibri" w:cs="Arial"/>
                <w:szCs w:val="22"/>
                <w:lang w:val="en-CA"/>
              </w:rPr>
            </w:pPr>
          </w:p>
          <w:p w:rsidR="003B5DE5" w:rsidRDefault="0074365B">
            <w:pPr>
              <w:autoSpaceDE w:val="0"/>
              <w:autoSpaceDN w:val="0"/>
              <w:adjustRightInd w:val="0"/>
              <w:jc w:val="both"/>
              <w:rPr>
                <w:rFonts w:eastAsia="Calibri" w:cs="Arial"/>
                <w:szCs w:val="22"/>
                <w:lang w:val="en-CA"/>
              </w:rPr>
            </w:pPr>
            <w:r>
              <w:rPr>
                <w:rFonts w:eastAsia="Calibri" w:cs="Arial"/>
                <w:szCs w:val="22"/>
                <w:lang w:val="en-CA"/>
              </w:rPr>
              <w:t xml:space="preserve">CSO activities have </w:t>
            </w:r>
            <w:r w:rsidR="00E10CFB">
              <w:rPr>
                <w:rFonts w:eastAsia="Calibri" w:cs="Arial"/>
                <w:szCs w:val="22"/>
                <w:lang w:val="en-CA"/>
              </w:rPr>
              <w:t xml:space="preserve">so far </w:t>
            </w:r>
            <w:r>
              <w:rPr>
                <w:rFonts w:eastAsia="Calibri" w:cs="Arial"/>
                <w:szCs w:val="22"/>
                <w:lang w:val="en-CA"/>
              </w:rPr>
              <w:t xml:space="preserve">been </w:t>
            </w:r>
            <w:r w:rsidR="00E10CFB">
              <w:rPr>
                <w:rFonts w:eastAsia="Calibri" w:cs="Arial"/>
                <w:szCs w:val="22"/>
                <w:lang w:val="en-CA"/>
              </w:rPr>
              <w:t>concentrated</w:t>
            </w:r>
            <w:r>
              <w:rPr>
                <w:rFonts w:eastAsia="Calibri" w:cs="Arial"/>
                <w:szCs w:val="22"/>
                <w:lang w:val="en-CA"/>
              </w:rPr>
              <w:t xml:space="preserve"> in 2 districts </w:t>
            </w:r>
            <w:r w:rsidR="00E10CFB">
              <w:rPr>
                <w:rFonts w:eastAsia="Calibri" w:cs="Arial"/>
                <w:szCs w:val="22"/>
                <w:lang w:val="en-CA"/>
              </w:rPr>
              <w:t xml:space="preserve">covering </w:t>
            </w:r>
            <w:r>
              <w:rPr>
                <w:rFonts w:eastAsia="Calibri" w:cs="Arial"/>
                <w:szCs w:val="22"/>
                <w:lang w:val="en-CA"/>
              </w:rPr>
              <w:t>100 hard-to-reach communities</w:t>
            </w:r>
            <w:r w:rsidR="00E10CFB">
              <w:rPr>
                <w:rFonts w:eastAsia="Calibri" w:cs="Arial"/>
                <w:szCs w:val="22"/>
                <w:lang w:val="en-CA"/>
              </w:rPr>
              <w:t>, where they have been able to improve immunization uptake between 9.2% and 27.3% (between 2012-2013, respectively) GAVI Project Fact File 2013</w:t>
            </w:r>
            <w:r>
              <w:rPr>
                <w:rFonts w:eastAsia="Calibri" w:cs="Arial"/>
                <w:szCs w:val="22"/>
                <w:lang w:val="en-CA"/>
              </w:rPr>
              <w:t>.</w:t>
            </w:r>
            <w:r w:rsidR="005F5256">
              <w:rPr>
                <w:rFonts w:eastAsia="Calibri" w:cs="Arial"/>
                <w:szCs w:val="22"/>
                <w:lang w:val="en-CA"/>
              </w:rPr>
              <w:t xml:space="preserve"> Some CSOs have offices </w:t>
            </w:r>
            <w:r w:rsidR="00E10CFB">
              <w:rPr>
                <w:rFonts w:eastAsia="Calibri" w:cs="Arial"/>
                <w:szCs w:val="22"/>
                <w:lang w:val="en-CA"/>
              </w:rPr>
              <w:t xml:space="preserve">within the DHMTs (Twifo-Praso District). </w:t>
            </w:r>
          </w:p>
        </w:tc>
      </w:tr>
      <w:tr w:rsidR="00052899" w:rsidRPr="00B40A7C">
        <w:trPr>
          <w:cantSplit/>
          <w:trHeight w:val="20"/>
        </w:trPr>
        <w:tc>
          <w:tcPr>
            <w:tcW w:w="1510" w:type="pct"/>
            <w:shd w:val="clear" w:color="auto" w:fill="FFFFFF"/>
            <w:tcMar>
              <w:top w:w="80" w:type="dxa"/>
              <w:left w:w="0" w:type="dxa"/>
              <w:bottom w:w="80" w:type="dxa"/>
              <w:right w:w="0" w:type="dxa"/>
            </w:tcMar>
          </w:tcPr>
          <w:p w:rsidR="00000000" w:rsidRDefault="00052899">
            <w:pPr>
              <w:pStyle w:val="ColorfulList-Accent11"/>
              <w:numPr>
                <w:ilvl w:val="0"/>
                <w:numId w:val="8"/>
              </w:numPr>
              <w:rPr>
                <w:rFonts w:cs="Arial"/>
                <w:szCs w:val="22"/>
              </w:rPr>
            </w:pPr>
            <w:r w:rsidRPr="00B40A7C">
              <w:rPr>
                <w:rFonts w:ascii="Arial" w:hAnsi="Arial" w:cs="Arial"/>
                <w:sz w:val="22"/>
                <w:szCs w:val="22"/>
                <w:lang w:eastAsia="en-US"/>
              </w:rPr>
              <w:t>To strengthen governance and health information management for improved health service delivery</w:t>
            </w:r>
          </w:p>
        </w:tc>
        <w:tc>
          <w:tcPr>
            <w:tcW w:w="3490" w:type="pct"/>
            <w:shd w:val="clear" w:color="auto" w:fill="FFFFFF"/>
          </w:tcPr>
          <w:p w:rsidR="00052899" w:rsidRPr="00B40A7C" w:rsidRDefault="00161954" w:rsidP="00052899">
            <w:pPr>
              <w:autoSpaceDE w:val="0"/>
              <w:autoSpaceDN w:val="0"/>
              <w:adjustRightInd w:val="0"/>
              <w:jc w:val="both"/>
              <w:rPr>
                <w:rFonts w:cs="Arial"/>
                <w:szCs w:val="22"/>
              </w:rPr>
            </w:pPr>
            <w:r>
              <w:rPr>
                <w:rFonts w:eastAsia="Arial"/>
                <w:color w:val="000000"/>
              </w:rPr>
              <w:t xml:space="preserve">The flexibility of HSS support enabled Ghana to re-programme funds for the procurement of motorbikes to vehicles (because Government was procuring 4000 motorbikes). </w:t>
            </w:r>
            <w:r w:rsidR="006035BF">
              <w:rPr>
                <w:rFonts w:eastAsia="Arial"/>
                <w:color w:val="000000"/>
              </w:rPr>
              <w:t>Such flexibility promoted the integration of GAVI HSS activities into other government activities.</w:t>
            </w:r>
            <w:bookmarkStart w:id="613" w:name="_GoBack"/>
            <w:bookmarkEnd w:id="613"/>
          </w:p>
        </w:tc>
      </w:tr>
    </w:tbl>
    <w:p w:rsidR="00052899" w:rsidRPr="00B40A7C" w:rsidRDefault="00052899" w:rsidP="00052899">
      <w:pPr>
        <w:jc w:val="both"/>
        <w:rPr>
          <w:rFonts w:cs="Arial"/>
          <w:szCs w:val="22"/>
        </w:rPr>
      </w:pPr>
    </w:p>
    <w:p w:rsidR="00052899" w:rsidRPr="00B40A7C" w:rsidRDefault="00052899" w:rsidP="00052899">
      <w:pPr>
        <w:spacing w:after="200" w:line="276" w:lineRule="auto"/>
        <w:jc w:val="both"/>
        <w:rPr>
          <w:rFonts w:cs="Arial"/>
          <w:szCs w:val="22"/>
        </w:rPr>
      </w:pPr>
    </w:p>
    <w:p w:rsidR="00052899" w:rsidRPr="00B40A7C" w:rsidRDefault="00052899" w:rsidP="00052899">
      <w:pPr>
        <w:spacing w:after="200" w:line="276" w:lineRule="auto"/>
        <w:jc w:val="both"/>
        <w:rPr>
          <w:rFonts w:cs="Arial"/>
          <w:szCs w:val="22"/>
        </w:rPr>
      </w:pPr>
    </w:p>
    <w:p w:rsidR="00052899" w:rsidRPr="00B40A7C" w:rsidRDefault="00052899" w:rsidP="00052899">
      <w:pPr>
        <w:spacing w:after="200" w:line="276" w:lineRule="auto"/>
        <w:jc w:val="both"/>
        <w:rPr>
          <w:rFonts w:cs="Arial"/>
          <w:szCs w:val="22"/>
        </w:rPr>
      </w:pPr>
    </w:p>
    <w:p w:rsidR="00052899" w:rsidRPr="00B40A7C" w:rsidRDefault="000357CA" w:rsidP="00052899">
      <w:pPr>
        <w:spacing w:after="200" w:line="276" w:lineRule="auto"/>
        <w:jc w:val="both"/>
        <w:rPr>
          <w:rFonts w:cs="Arial"/>
          <w:szCs w:val="22"/>
        </w:rPr>
      </w:pPr>
      <w:r>
        <w:rPr>
          <w:rFonts w:cs="Arial"/>
          <w:szCs w:val="22"/>
        </w:rPr>
        <w:br w:type="page"/>
      </w:r>
    </w:p>
    <w:tbl>
      <w:tblPr>
        <w:tblW w:w="5255" w:type="pct"/>
        <w:tblInd w:w="-31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10064"/>
      </w:tblGrid>
      <w:tr w:rsidR="00052899" w:rsidRPr="00B40A7C">
        <w:trPr>
          <w:trHeight w:val="401"/>
        </w:trPr>
        <w:tc>
          <w:tcPr>
            <w:tcW w:w="5000" w:type="pct"/>
            <w:tcBorders>
              <w:top w:val="nil"/>
              <w:left w:val="nil"/>
              <w:bottom w:val="nil"/>
              <w:right w:val="nil"/>
            </w:tcBorders>
            <w:shd w:val="clear" w:color="auto" w:fill="006460"/>
          </w:tcPr>
          <w:p w:rsidR="00052899" w:rsidRDefault="00052899" w:rsidP="00052899">
            <w:pPr>
              <w:pStyle w:val="Heading1"/>
            </w:pPr>
            <w:bookmarkStart w:id="614" w:name="_Toc346115524"/>
            <w:bookmarkStart w:id="615" w:name="_Toc346116641"/>
            <w:bookmarkStart w:id="616" w:name="_Toc372016100"/>
            <w:bookmarkStart w:id="617" w:name="_Toc372099694"/>
            <w:bookmarkStart w:id="618" w:name="_Toc377545397"/>
            <w:r w:rsidRPr="00291E76">
              <w:t>PART D - PROPOSAL DETAILS</w:t>
            </w:r>
            <w:bookmarkEnd w:id="614"/>
            <w:bookmarkEnd w:id="615"/>
            <w:bookmarkEnd w:id="616"/>
            <w:bookmarkEnd w:id="617"/>
            <w:bookmarkEnd w:id="618"/>
            <w:r w:rsidRPr="00291E76">
              <w:tab/>
            </w:r>
          </w:p>
        </w:tc>
      </w:tr>
      <w:tr w:rsidR="00052899" w:rsidRPr="00B40A7C">
        <w:trPr>
          <w:trHeight w:val="217"/>
        </w:trPr>
        <w:tc>
          <w:tcPr>
            <w:tcW w:w="5000" w:type="pct"/>
            <w:tcBorders>
              <w:top w:val="nil"/>
              <w:left w:val="nil"/>
              <w:bottom w:val="single" w:sz="6" w:space="0" w:color="215868"/>
              <w:right w:val="nil"/>
            </w:tcBorders>
            <w:shd w:val="clear" w:color="auto" w:fill="FFFFFF"/>
          </w:tcPr>
          <w:p w:rsidR="00052899" w:rsidRPr="00B40A7C" w:rsidRDefault="00052899" w:rsidP="00052899">
            <w:pPr>
              <w:jc w:val="both"/>
              <w:rPr>
                <w:rFonts w:cs="Arial"/>
                <w:b/>
                <w:szCs w:val="22"/>
              </w:rPr>
            </w:pPr>
          </w:p>
        </w:tc>
      </w:tr>
      <w:tr w:rsidR="00052899" w:rsidRPr="00B40A7C">
        <w:trPr>
          <w:trHeight w:val="524"/>
        </w:trPr>
        <w:tc>
          <w:tcPr>
            <w:tcW w:w="5000" w:type="pct"/>
            <w:tcBorders>
              <w:bottom w:val="single" w:sz="6" w:space="0" w:color="215868"/>
            </w:tcBorders>
            <w:shd w:val="clear" w:color="auto" w:fill="006460"/>
          </w:tcPr>
          <w:p w:rsidR="00052899" w:rsidRDefault="00052899">
            <w:pPr>
              <w:pStyle w:val="Heading2"/>
              <w:jc w:val="both"/>
              <w:rPr>
                <w:rFonts w:ascii="Arial" w:hAnsi="Arial" w:cs="Arial"/>
                <w:color w:val="FFFFFF"/>
                <w:sz w:val="22"/>
                <w:szCs w:val="22"/>
              </w:rPr>
            </w:pPr>
            <w:bookmarkStart w:id="619" w:name="_Toc346116643"/>
            <w:bookmarkStart w:id="620" w:name="_Toc372016101"/>
            <w:bookmarkStart w:id="621" w:name="_Toc372099695"/>
            <w:bookmarkStart w:id="622" w:name="_Toc377545398"/>
            <w:r w:rsidRPr="009E3797">
              <w:rPr>
                <w:rStyle w:val="Heading1Char1"/>
                <w:rFonts w:eastAsia="Arial Unicode MS"/>
              </w:rPr>
              <w:t>11. OBJECTIVES OF THE PROPOSAL</w:t>
            </w:r>
            <w:bookmarkEnd w:id="619"/>
            <w:bookmarkEnd w:id="620"/>
            <w:bookmarkEnd w:id="621"/>
            <w:bookmarkEnd w:id="622"/>
            <w:r w:rsidRPr="00B40A7C">
              <w:rPr>
                <w:rFonts w:ascii="Arial" w:hAnsi="Arial" w:cs="Arial"/>
                <w:color w:val="FFFFFF"/>
                <w:sz w:val="22"/>
                <w:szCs w:val="22"/>
              </w:rPr>
              <w:tab/>
            </w:r>
          </w:p>
        </w:tc>
      </w:tr>
      <w:tr w:rsidR="00052899" w:rsidRPr="00B40A7C">
        <w:trPr>
          <w:trHeight w:val="8778"/>
        </w:trPr>
        <w:tc>
          <w:tcPr>
            <w:tcW w:w="5000" w:type="pct"/>
            <w:shd w:val="clear" w:color="auto" w:fill="FFFFFF"/>
          </w:tcPr>
          <w:p w:rsidR="00052899" w:rsidRPr="00B40A7C" w:rsidRDefault="00052899" w:rsidP="00052899">
            <w:pPr>
              <w:pStyle w:val="Body1"/>
              <w:spacing w:before="120" w:after="120"/>
              <w:jc w:val="both"/>
              <w:rPr>
                <w:rFonts w:cs="Arial"/>
                <w:szCs w:val="22"/>
              </w:rPr>
            </w:pPr>
            <w:bookmarkStart w:id="623" w:name="_Toc377026212"/>
            <w:bookmarkStart w:id="624" w:name="_Toc377543806"/>
            <w:bookmarkStart w:id="625" w:name="_Toc377545399"/>
            <w:bookmarkStart w:id="626" w:name="_Toc369498545"/>
            <w:r w:rsidRPr="00B40A7C">
              <w:rPr>
                <w:rFonts w:cs="Arial"/>
                <w:szCs w:val="22"/>
              </w:rPr>
              <w:t>The objectives of this proposal address prioritised health system and immunisation bottlenecks which are specifically aligned t</w:t>
            </w:r>
            <w:r>
              <w:rPr>
                <w:rFonts w:cs="Arial"/>
                <w:szCs w:val="22"/>
              </w:rPr>
              <w:t>o</w:t>
            </w:r>
            <w:r w:rsidRPr="00B40A7C">
              <w:rPr>
                <w:rFonts w:cs="Arial"/>
                <w:szCs w:val="22"/>
              </w:rPr>
              <w:t xml:space="preserve"> HSMTDP (2014-2017)</w:t>
            </w:r>
            <w:r>
              <w:rPr>
                <w:rFonts w:cs="Arial"/>
                <w:szCs w:val="22"/>
              </w:rPr>
              <w:t xml:space="preserve">. </w:t>
            </w:r>
            <w:r w:rsidRPr="00B40A7C">
              <w:rPr>
                <w:rFonts w:cs="Arial"/>
                <w:szCs w:val="22"/>
              </w:rPr>
              <w:t>The alignment between th</w:t>
            </w:r>
            <w:r>
              <w:rPr>
                <w:rFonts w:cs="Arial"/>
                <w:szCs w:val="22"/>
              </w:rPr>
              <w:t>is</w:t>
            </w:r>
            <w:r w:rsidRPr="00B40A7C">
              <w:rPr>
                <w:rFonts w:cs="Arial"/>
                <w:szCs w:val="22"/>
              </w:rPr>
              <w:t xml:space="preserve"> GAVI/HSS proposal objectives and cYMP (2010-2014)</w:t>
            </w:r>
            <w:r w:rsidR="005F343E">
              <w:rPr>
                <w:rFonts w:cs="Arial"/>
                <w:szCs w:val="22"/>
              </w:rPr>
              <w:t xml:space="preserve"> </w:t>
            </w:r>
            <w:r w:rsidRPr="00B40A7C">
              <w:rPr>
                <w:rFonts w:cs="Arial"/>
                <w:szCs w:val="22"/>
              </w:rPr>
              <w:t>with the HSMTDP (2014-2017) is depicted in the table below:</w:t>
            </w:r>
            <w:bookmarkEnd w:id="623"/>
            <w:bookmarkEnd w:id="624"/>
            <w:bookmarkEnd w:id="625"/>
          </w:p>
          <w:tbl>
            <w:tblPr>
              <w:tblW w:w="0" w:type="auto"/>
              <w:tblInd w:w="157" w:type="dxa"/>
              <w:tblLayout w:type="fixed"/>
              <w:tblLook w:val="04A0"/>
            </w:tblPr>
            <w:tblGrid>
              <w:gridCol w:w="4658"/>
              <w:gridCol w:w="4996"/>
            </w:tblGrid>
            <w:tr w:rsidR="00052899" w:rsidRPr="00BC6217" w:rsidTr="000357CA">
              <w:trPr>
                <w:trHeight w:val="524"/>
              </w:trPr>
              <w:tc>
                <w:tcPr>
                  <w:tcW w:w="4658" w:type="dxa"/>
                  <w:tcBorders>
                    <w:top w:val="single" w:sz="4" w:space="0" w:color="auto"/>
                    <w:left w:val="single" w:sz="4" w:space="0" w:color="auto"/>
                    <w:bottom w:val="single" w:sz="4" w:space="0" w:color="auto"/>
                    <w:right w:val="single" w:sz="4" w:space="0" w:color="auto"/>
                  </w:tcBorders>
                  <w:shd w:val="clear" w:color="000000" w:fill="D9D9D9"/>
                  <w:vAlign w:val="bottom"/>
                </w:tcPr>
                <w:p w:rsidR="00052899" w:rsidRPr="00BC6217" w:rsidRDefault="00052899" w:rsidP="00052899">
                  <w:pPr>
                    <w:jc w:val="both"/>
                    <w:rPr>
                      <w:rFonts w:cs="Arial"/>
                      <w:b/>
                      <w:bCs/>
                      <w:sz w:val="20"/>
                      <w:lang w:val="en-CA" w:eastAsia="en-CA"/>
                    </w:rPr>
                  </w:pPr>
                  <w:bookmarkStart w:id="627" w:name="RANGE!A2:B15"/>
                  <w:r w:rsidRPr="00BC6217">
                    <w:rPr>
                      <w:b/>
                      <w:bCs/>
                      <w:sz w:val="20"/>
                    </w:rPr>
                    <w:t>HSMTDP POLICY OBJECTIVE&amp; STRATEGIES</w:t>
                  </w:r>
                  <w:bookmarkEnd w:id="627"/>
                </w:p>
              </w:tc>
              <w:tc>
                <w:tcPr>
                  <w:tcW w:w="4996" w:type="dxa"/>
                  <w:tcBorders>
                    <w:top w:val="single" w:sz="4" w:space="0" w:color="auto"/>
                    <w:left w:val="nil"/>
                    <w:bottom w:val="single" w:sz="4" w:space="0" w:color="auto"/>
                    <w:right w:val="single" w:sz="4" w:space="0" w:color="auto"/>
                  </w:tcBorders>
                  <w:shd w:val="clear" w:color="auto" w:fill="D9D9D9"/>
                  <w:vAlign w:val="bottom"/>
                </w:tcPr>
                <w:p w:rsidR="00052899" w:rsidRPr="00BC6217" w:rsidRDefault="00052899" w:rsidP="00052899">
                  <w:pPr>
                    <w:ind w:left="177" w:hanging="177"/>
                    <w:jc w:val="both"/>
                    <w:rPr>
                      <w:rFonts w:cs="Arial"/>
                      <w:b/>
                      <w:bCs/>
                      <w:sz w:val="20"/>
                      <w:lang w:val="en-CA" w:eastAsia="en-CA"/>
                    </w:rPr>
                  </w:pPr>
                  <w:r w:rsidRPr="00BC6217">
                    <w:rPr>
                      <w:rFonts w:cs="Arial"/>
                      <w:b/>
                      <w:bCs/>
                      <w:sz w:val="20"/>
                      <w:lang w:val="en-CA" w:eastAsia="en-CA"/>
                    </w:rPr>
                    <w:t>OBJECTIVES OF cYMP AND GAVI HSS</w:t>
                  </w:r>
                </w:p>
              </w:tc>
            </w:tr>
            <w:tr w:rsidR="00052899" w:rsidRPr="00BC6217" w:rsidTr="000357CA">
              <w:trPr>
                <w:trHeight w:val="740"/>
              </w:trPr>
              <w:tc>
                <w:tcPr>
                  <w:tcW w:w="4658" w:type="dxa"/>
                  <w:tcBorders>
                    <w:top w:val="nil"/>
                    <w:left w:val="single" w:sz="4" w:space="0" w:color="auto"/>
                    <w:bottom w:val="single" w:sz="4" w:space="0" w:color="auto"/>
                    <w:right w:val="single" w:sz="4" w:space="0" w:color="auto"/>
                  </w:tcBorders>
                  <w:shd w:val="clear" w:color="auto" w:fill="auto"/>
                </w:tcPr>
                <w:p w:rsidR="00052899" w:rsidRPr="00BC6217" w:rsidRDefault="00052899" w:rsidP="00052899">
                  <w:pPr>
                    <w:jc w:val="both"/>
                    <w:rPr>
                      <w:rFonts w:cs="Arial"/>
                      <w:b/>
                      <w:sz w:val="20"/>
                      <w:lang w:val="en-CA" w:eastAsia="en-CA"/>
                    </w:rPr>
                  </w:pPr>
                  <w:r w:rsidRPr="00BC6217">
                    <w:rPr>
                      <w:rFonts w:cs="Arial"/>
                      <w:b/>
                      <w:sz w:val="20"/>
                      <w:lang w:eastAsia="en-CA"/>
                    </w:rPr>
                    <w:t>OBJ 1</w:t>
                  </w:r>
                  <w:r w:rsidRPr="00BC6217">
                    <w:rPr>
                      <w:rFonts w:cs="Arial"/>
                      <w:b/>
                      <w:sz w:val="20"/>
                      <w:lang w:val="en-CA" w:eastAsia="en-CA"/>
                    </w:rPr>
                    <w:t xml:space="preserve">: </w:t>
                  </w:r>
                  <w:r w:rsidRPr="00BC6217">
                    <w:rPr>
                      <w:rFonts w:cs="Arial"/>
                      <w:b/>
                      <w:sz w:val="20"/>
                      <w:lang w:eastAsia="en-CA"/>
                    </w:rPr>
                    <w:t xml:space="preserve">Bridge the equity gaps in geographical access to health services </w:t>
                  </w:r>
                </w:p>
              </w:tc>
              <w:tc>
                <w:tcPr>
                  <w:tcW w:w="4996" w:type="dxa"/>
                  <w:tcBorders>
                    <w:top w:val="nil"/>
                    <w:left w:val="nil"/>
                    <w:bottom w:val="single" w:sz="4" w:space="0" w:color="auto"/>
                    <w:right w:val="single" w:sz="4" w:space="0" w:color="auto"/>
                  </w:tcBorders>
                  <w:shd w:val="clear" w:color="auto" w:fill="auto"/>
                </w:tcPr>
                <w:p w:rsidR="00052899" w:rsidRPr="00BC6217" w:rsidRDefault="00052899" w:rsidP="00052899">
                  <w:pPr>
                    <w:jc w:val="both"/>
                    <w:rPr>
                      <w:rFonts w:cs="Arial"/>
                      <w:sz w:val="20"/>
                      <w:lang w:val="en-CA" w:eastAsia="en-CA"/>
                    </w:rPr>
                  </w:pPr>
                  <w:r w:rsidRPr="00BC6217">
                    <w:rPr>
                      <w:rFonts w:cs="Arial"/>
                      <w:sz w:val="20"/>
                      <w:lang w:val="en-CA" w:eastAsia="en-CA"/>
                    </w:rPr>
                    <w:t xml:space="preserve">GAVI HSS - Objective1.  To strengthen and scale-up community health  interventions aimed at improving the quality of primary health care services  </w:t>
                  </w:r>
                </w:p>
              </w:tc>
            </w:tr>
            <w:tr w:rsidR="00052899" w:rsidRPr="00BC6217" w:rsidTr="000357CA">
              <w:trPr>
                <w:trHeight w:val="260"/>
              </w:trPr>
              <w:tc>
                <w:tcPr>
                  <w:tcW w:w="4658" w:type="dxa"/>
                  <w:tcBorders>
                    <w:top w:val="nil"/>
                    <w:left w:val="single" w:sz="4" w:space="0" w:color="auto"/>
                    <w:bottom w:val="single" w:sz="4" w:space="0" w:color="auto"/>
                    <w:right w:val="single" w:sz="4" w:space="0" w:color="auto"/>
                  </w:tcBorders>
                  <w:shd w:val="clear" w:color="auto" w:fill="auto"/>
                </w:tcPr>
                <w:p w:rsidR="00052899" w:rsidRPr="00BC6217" w:rsidRDefault="00052899" w:rsidP="00052899">
                  <w:pPr>
                    <w:jc w:val="both"/>
                    <w:rPr>
                      <w:rFonts w:cs="Arial"/>
                      <w:b/>
                      <w:sz w:val="20"/>
                      <w:lang w:val="en-CA" w:eastAsia="en-CA"/>
                    </w:rPr>
                  </w:pPr>
                  <w:r w:rsidRPr="00BC6217">
                    <w:rPr>
                      <w:rFonts w:cs="Arial"/>
                      <w:b/>
                      <w:sz w:val="20"/>
                      <w:lang w:eastAsia="en-CA"/>
                    </w:rPr>
                    <w:t>OBJ 2</w:t>
                  </w:r>
                  <w:r w:rsidRPr="00BC6217">
                    <w:rPr>
                      <w:rFonts w:cs="Arial"/>
                      <w:b/>
                      <w:sz w:val="20"/>
                      <w:lang w:val="en-CA" w:eastAsia="en-CA"/>
                    </w:rPr>
                    <w:t xml:space="preserve">: </w:t>
                  </w:r>
                  <w:r w:rsidRPr="00BC6217">
                    <w:rPr>
                      <w:rFonts w:cs="Arial"/>
                      <w:b/>
                      <w:sz w:val="20"/>
                      <w:lang w:eastAsia="en-CA"/>
                    </w:rPr>
                    <w:t xml:space="preserve">Ensure sustainable financing for healthcare delivery and financial protection for the poor </w:t>
                  </w:r>
                </w:p>
              </w:tc>
              <w:tc>
                <w:tcPr>
                  <w:tcW w:w="4996" w:type="dxa"/>
                  <w:tcBorders>
                    <w:top w:val="nil"/>
                    <w:left w:val="nil"/>
                    <w:bottom w:val="single" w:sz="4" w:space="0" w:color="auto"/>
                    <w:right w:val="single" w:sz="4" w:space="0" w:color="auto"/>
                  </w:tcBorders>
                  <w:shd w:val="clear" w:color="auto" w:fill="auto"/>
                </w:tcPr>
                <w:p w:rsidR="00052899" w:rsidRPr="00BC6217" w:rsidRDefault="00052899" w:rsidP="00052899">
                  <w:pPr>
                    <w:jc w:val="both"/>
                    <w:rPr>
                      <w:rFonts w:cs="Arial"/>
                      <w:sz w:val="20"/>
                      <w:lang w:val="en-CA" w:eastAsia="en-CA"/>
                    </w:rPr>
                  </w:pPr>
                  <w:r w:rsidRPr="00BC6217">
                    <w:rPr>
                      <w:rFonts w:cs="Arial"/>
                      <w:sz w:val="20"/>
                      <w:lang w:val="en-CA" w:eastAsia="en-CA"/>
                    </w:rPr>
                    <w:t> </w:t>
                  </w:r>
                </w:p>
              </w:tc>
            </w:tr>
            <w:tr w:rsidR="00052899" w:rsidRPr="00BC6217" w:rsidTr="000357CA">
              <w:trPr>
                <w:trHeight w:val="155"/>
              </w:trPr>
              <w:tc>
                <w:tcPr>
                  <w:tcW w:w="4658" w:type="dxa"/>
                  <w:tcBorders>
                    <w:top w:val="nil"/>
                    <w:left w:val="single" w:sz="4" w:space="0" w:color="auto"/>
                    <w:bottom w:val="single" w:sz="4" w:space="0" w:color="auto"/>
                    <w:right w:val="single" w:sz="4" w:space="0" w:color="auto"/>
                  </w:tcBorders>
                  <w:shd w:val="clear" w:color="auto" w:fill="auto"/>
                </w:tcPr>
                <w:p w:rsidR="00052899" w:rsidRPr="00BC6217" w:rsidRDefault="00052899" w:rsidP="00052899">
                  <w:pPr>
                    <w:jc w:val="both"/>
                    <w:rPr>
                      <w:rFonts w:cs="Arial"/>
                      <w:sz w:val="20"/>
                      <w:lang w:val="en-CA" w:eastAsia="en-CA"/>
                    </w:rPr>
                  </w:pPr>
                  <w:r w:rsidRPr="00BC6217">
                    <w:rPr>
                      <w:rFonts w:cs="Arial"/>
                      <w:sz w:val="20"/>
                      <w:lang w:val="en-US" w:eastAsia="en-CA"/>
                    </w:rPr>
                    <w:t xml:space="preserve">STR 2.2 Improve efficiency and effectiveness of health service delivery including the NHIS </w:t>
                  </w:r>
                </w:p>
              </w:tc>
              <w:tc>
                <w:tcPr>
                  <w:tcW w:w="4996" w:type="dxa"/>
                  <w:tcBorders>
                    <w:top w:val="nil"/>
                    <w:left w:val="nil"/>
                    <w:bottom w:val="single" w:sz="4" w:space="0" w:color="auto"/>
                    <w:right w:val="single" w:sz="4" w:space="0" w:color="auto"/>
                  </w:tcBorders>
                  <w:shd w:val="clear" w:color="auto" w:fill="auto"/>
                  <w:noWrap/>
                  <w:vAlign w:val="bottom"/>
                </w:tcPr>
                <w:p w:rsidR="00052899" w:rsidRPr="00BC6217" w:rsidRDefault="00052899" w:rsidP="00052899">
                  <w:pPr>
                    <w:jc w:val="both"/>
                    <w:rPr>
                      <w:rFonts w:cs="Arial"/>
                      <w:sz w:val="20"/>
                      <w:lang w:val="en-CA" w:eastAsia="en-CA"/>
                    </w:rPr>
                  </w:pPr>
                  <w:r w:rsidRPr="00BC6217">
                    <w:rPr>
                      <w:rFonts w:cs="Arial"/>
                      <w:sz w:val="20"/>
                      <w:lang w:val="en-US" w:eastAsia="en-CA"/>
                    </w:rPr>
                    <w:t>cYMP - Objective 4: Improve programme management and integration with health systems</w:t>
                  </w:r>
                </w:p>
              </w:tc>
            </w:tr>
            <w:tr w:rsidR="00052899" w:rsidRPr="00BC6217" w:rsidTr="000357CA">
              <w:trPr>
                <w:trHeight w:val="539"/>
              </w:trPr>
              <w:tc>
                <w:tcPr>
                  <w:tcW w:w="4658" w:type="dxa"/>
                  <w:tcBorders>
                    <w:top w:val="nil"/>
                    <w:left w:val="single" w:sz="4" w:space="0" w:color="auto"/>
                    <w:bottom w:val="single" w:sz="4" w:space="0" w:color="auto"/>
                    <w:right w:val="single" w:sz="4" w:space="0" w:color="auto"/>
                  </w:tcBorders>
                  <w:shd w:val="clear" w:color="auto" w:fill="auto"/>
                </w:tcPr>
                <w:p w:rsidR="00052899" w:rsidRPr="00BC6217" w:rsidRDefault="00052899" w:rsidP="00052899">
                  <w:pPr>
                    <w:jc w:val="both"/>
                    <w:rPr>
                      <w:rFonts w:cs="Arial"/>
                      <w:b/>
                      <w:sz w:val="20"/>
                      <w:lang w:val="en-CA" w:eastAsia="en-CA"/>
                    </w:rPr>
                  </w:pPr>
                  <w:r w:rsidRPr="00BC6217">
                    <w:rPr>
                      <w:rFonts w:cs="Arial"/>
                      <w:b/>
                      <w:sz w:val="20"/>
                      <w:lang w:eastAsia="en-CA"/>
                    </w:rPr>
                    <w:t>OBJ 3         Improve efficiency in governance and management of the health system</w:t>
                  </w:r>
                </w:p>
              </w:tc>
              <w:tc>
                <w:tcPr>
                  <w:tcW w:w="4996" w:type="dxa"/>
                  <w:tcBorders>
                    <w:top w:val="nil"/>
                    <w:left w:val="nil"/>
                    <w:bottom w:val="single" w:sz="4" w:space="0" w:color="auto"/>
                    <w:right w:val="single" w:sz="4" w:space="0" w:color="auto"/>
                  </w:tcBorders>
                  <w:shd w:val="clear" w:color="auto" w:fill="auto"/>
                </w:tcPr>
                <w:p w:rsidR="00052899" w:rsidRPr="00BC6217" w:rsidRDefault="00052899" w:rsidP="00052899">
                  <w:pPr>
                    <w:jc w:val="both"/>
                    <w:rPr>
                      <w:rFonts w:cs="Arial"/>
                      <w:sz w:val="20"/>
                      <w:lang w:val="en-CA" w:eastAsia="en-CA"/>
                    </w:rPr>
                  </w:pPr>
                  <w:r w:rsidRPr="00BC6217">
                    <w:rPr>
                      <w:rFonts w:cs="Arial"/>
                      <w:sz w:val="20"/>
                      <w:lang w:val="en-CA" w:eastAsia="en-CA"/>
                    </w:rPr>
                    <w:t>GAVI HSS - Objective 5.     To strengthen governance and health information management for improved health service delivery </w:t>
                  </w:r>
                </w:p>
              </w:tc>
            </w:tr>
            <w:tr w:rsidR="00052899" w:rsidRPr="00BC6217" w:rsidTr="000357CA">
              <w:trPr>
                <w:trHeight w:val="755"/>
              </w:trPr>
              <w:tc>
                <w:tcPr>
                  <w:tcW w:w="4658" w:type="dxa"/>
                  <w:tcBorders>
                    <w:top w:val="nil"/>
                    <w:left w:val="single" w:sz="4" w:space="0" w:color="auto"/>
                    <w:bottom w:val="single" w:sz="4" w:space="0" w:color="auto"/>
                    <w:right w:val="single" w:sz="4" w:space="0" w:color="auto"/>
                  </w:tcBorders>
                  <w:shd w:val="clear" w:color="auto" w:fill="auto"/>
                </w:tcPr>
                <w:p w:rsidR="00052899" w:rsidRPr="00BC6217" w:rsidRDefault="00052899" w:rsidP="00052899">
                  <w:pPr>
                    <w:jc w:val="both"/>
                    <w:rPr>
                      <w:rFonts w:cs="Arial"/>
                      <w:sz w:val="20"/>
                      <w:lang w:val="en-CA" w:eastAsia="en-CA"/>
                    </w:rPr>
                  </w:pPr>
                  <w:r w:rsidRPr="00BC6217">
                    <w:rPr>
                      <w:rFonts w:cs="Arial"/>
                      <w:sz w:val="20"/>
                      <w:lang w:eastAsia="en-CA"/>
                    </w:rPr>
                    <w:t>STR 3.1     Review and restructure of the health sector leadership development and management programs</w:t>
                  </w:r>
                </w:p>
              </w:tc>
              <w:tc>
                <w:tcPr>
                  <w:tcW w:w="4996" w:type="dxa"/>
                  <w:tcBorders>
                    <w:top w:val="nil"/>
                    <w:left w:val="nil"/>
                    <w:bottom w:val="single" w:sz="4" w:space="0" w:color="auto"/>
                    <w:right w:val="single" w:sz="4" w:space="0" w:color="auto"/>
                  </w:tcBorders>
                  <w:shd w:val="clear" w:color="auto" w:fill="auto"/>
                  <w:noWrap/>
                  <w:vAlign w:val="bottom"/>
                </w:tcPr>
                <w:p w:rsidR="00052899" w:rsidRPr="00BC6217" w:rsidRDefault="00052899" w:rsidP="00052899">
                  <w:pPr>
                    <w:jc w:val="both"/>
                    <w:rPr>
                      <w:rFonts w:cs="Arial"/>
                      <w:sz w:val="20"/>
                      <w:lang w:val="en-CA" w:eastAsia="en-CA"/>
                    </w:rPr>
                  </w:pPr>
                  <w:r w:rsidRPr="00BC6217">
                    <w:rPr>
                      <w:rFonts w:cs="Arial"/>
                      <w:sz w:val="20"/>
                      <w:lang w:val="en-US" w:eastAsia="en-CA"/>
                    </w:rPr>
                    <w:t>cYMP - Objective 4: Improve programme management and integration with health systems</w:t>
                  </w:r>
                </w:p>
              </w:tc>
            </w:tr>
            <w:tr w:rsidR="00052899" w:rsidRPr="00BC6217" w:rsidTr="000357CA">
              <w:trPr>
                <w:trHeight w:val="638"/>
              </w:trPr>
              <w:tc>
                <w:tcPr>
                  <w:tcW w:w="4658" w:type="dxa"/>
                  <w:tcBorders>
                    <w:top w:val="nil"/>
                    <w:left w:val="single" w:sz="4" w:space="0" w:color="auto"/>
                    <w:bottom w:val="single" w:sz="4" w:space="0" w:color="auto"/>
                    <w:right w:val="single" w:sz="4" w:space="0" w:color="auto"/>
                  </w:tcBorders>
                  <w:shd w:val="clear" w:color="auto" w:fill="auto"/>
                </w:tcPr>
                <w:p w:rsidR="00052899" w:rsidRPr="00BC6217" w:rsidRDefault="00052899" w:rsidP="00052899">
                  <w:pPr>
                    <w:jc w:val="both"/>
                    <w:rPr>
                      <w:rFonts w:cs="Arial"/>
                      <w:sz w:val="20"/>
                      <w:lang w:val="en-CA" w:eastAsia="en-CA"/>
                    </w:rPr>
                  </w:pPr>
                  <w:r w:rsidRPr="00BC6217">
                    <w:rPr>
                      <w:rFonts w:cs="Arial"/>
                      <w:sz w:val="20"/>
                      <w:lang w:eastAsia="en-CA"/>
                    </w:rPr>
                    <w:t>STR 3.3  Deepen stakeholder engagement and partnership  (public, private and community)  for health care delivery</w:t>
                  </w:r>
                </w:p>
              </w:tc>
              <w:tc>
                <w:tcPr>
                  <w:tcW w:w="4996" w:type="dxa"/>
                  <w:tcBorders>
                    <w:top w:val="nil"/>
                    <w:left w:val="nil"/>
                    <w:bottom w:val="single" w:sz="4" w:space="0" w:color="auto"/>
                    <w:right w:val="single" w:sz="4" w:space="0" w:color="auto"/>
                  </w:tcBorders>
                  <w:shd w:val="clear" w:color="auto" w:fill="auto"/>
                </w:tcPr>
                <w:p w:rsidR="00052899" w:rsidRPr="00BC6217" w:rsidRDefault="00052899" w:rsidP="00052899">
                  <w:pPr>
                    <w:jc w:val="both"/>
                    <w:rPr>
                      <w:rFonts w:cs="Arial"/>
                      <w:sz w:val="20"/>
                      <w:lang w:val="en-CA" w:eastAsia="en-CA"/>
                    </w:rPr>
                  </w:pPr>
                  <w:r w:rsidRPr="00BC6217">
                    <w:rPr>
                      <w:rFonts w:cs="Arial"/>
                      <w:sz w:val="20"/>
                      <w:lang w:val="en-CA" w:eastAsia="en-CA"/>
                    </w:rPr>
                    <w:t xml:space="preserve">GAVI HSS - Objective 4: To empower civil society for increased demand for health services at the community  </w:t>
                  </w:r>
                </w:p>
              </w:tc>
            </w:tr>
            <w:tr w:rsidR="00052899" w:rsidRPr="00BC6217" w:rsidTr="000357CA">
              <w:trPr>
                <w:trHeight w:val="836"/>
              </w:trPr>
              <w:tc>
                <w:tcPr>
                  <w:tcW w:w="4658" w:type="dxa"/>
                  <w:tcBorders>
                    <w:top w:val="nil"/>
                    <w:left w:val="single" w:sz="4" w:space="0" w:color="auto"/>
                    <w:bottom w:val="single" w:sz="4" w:space="0" w:color="auto"/>
                    <w:right w:val="single" w:sz="4" w:space="0" w:color="auto"/>
                  </w:tcBorders>
                  <w:shd w:val="clear" w:color="auto" w:fill="auto"/>
                </w:tcPr>
                <w:p w:rsidR="00052899" w:rsidRPr="00BC6217" w:rsidRDefault="00052899" w:rsidP="00052899">
                  <w:pPr>
                    <w:jc w:val="both"/>
                    <w:rPr>
                      <w:rFonts w:cs="Arial"/>
                      <w:sz w:val="20"/>
                      <w:lang w:eastAsia="en-CA"/>
                    </w:rPr>
                  </w:pPr>
                  <w:r w:rsidRPr="00BC6217">
                    <w:rPr>
                      <w:rFonts w:cs="Arial"/>
                      <w:sz w:val="20"/>
                      <w:lang w:eastAsia="en-CA"/>
                    </w:rPr>
                    <w:t>STR 3.5 Implement the human resource development strategy to improve production, distribution retention of critical staff and performance management</w:t>
                  </w:r>
                </w:p>
              </w:tc>
              <w:tc>
                <w:tcPr>
                  <w:tcW w:w="4996" w:type="dxa"/>
                  <w:tcBorders>
                    <w:top w:val="nil"/>
                    <w:left w:val="nil"/>
                    <w:bottom w:val="single" w:sz="4" w:space="0" w:color="auto"/>
                    <w:right w:val="single" w:sz="4" w:space="0" w:color="auto"/>
                  </w:tcBorders>
                  <w:shd w:val="clear" w:color="auto" w:fill="auto"/>
                </w:tcPr>
                <w:p w:rsidR="00052899" w:rsidRPr="00BC6217" w:rsidRDefault="00052899" w:rsidP="00052899">
                  <w:pPr>
                    <w:pStyle w:val="ColorfulList-Accent11"/>
                    <w:widowControl/>
                    <w:ind w:left="0"/>
                    <w:jc w:val="both"/>
                    <w:rPr>
                      <w:rFonts w:ascii="Arial" w:eastAsia="Times New Roman" w:hAnsi="Arial" w:cs="Arial"/>
                      <w:bCs/>
                    </w:rPr>
                  </w:pPr>
                  <w:r w:rsidRPr="00BC6217">
                    <w:rPr>
                      <w:rFonts w:ascii="Arial" w:hAnsi="Arial" w:cs="Arial"/>
                      <w:lang w:val="en-CA" w:eastAsia="en-CA"/>
                    </w:rPr>
                    <w:t xml:space="preserve">GAVI HSS - Objective 2: </w:t>
                  </w:r>
                  <w:r w:rsidRPr="00BC6217">
                    <w:rPr>
                      <w:rFonts w:ascii="Arial" w:eastAsia="Times New Roman" w:hAnsi="Arial" w:cs="Arial"/>
                      <w:bCs/>
                    </w:rPr>
                    <w:t xml:space="preserve">To strengthen health worker capacity and distribution so as address equity issues in districts levels. </w:t>
                  </w:r>
                </w:p>
              </w:tc>
            </w:tr>
            <w:tr w:rsidR="00052899" w:rsidRPr="00BC6217" w:rsidTr="000357CA">
              <w:trPr>
                <w:trHeight w:val="647"/>
              </w:trPr>
              <w:tc>
                <w:tcPr>
                  <w:tcW w:w="4658" w:type="dxa"/>
                  <w:tcBorders>
                    <w:top w:val="nil"/>
                    <w:left w:val="single" w:sz="4" w:space="0" w:color="auto"/>
                    <w:bottom w:val="single" w:sz="4" w:space="0" w:color="auto"/>
                    <w:right w:val="single" w:sz="4" w:space="0" w:color="auto"/>
                  </w:tcBorders>
                  <w:shd w:val="clear" w:color="auto" w:fill="auto"/>
                </w:tcPr>
                <w:p w:rsidR="00052899" w:rsidRPr="00BC6217" w:rsidRDefault="00052899" w:rsidP="00052899">
                  <w:pPr>
                    <w:jc w:val="both"/>
                    <w:rPr>
                      <w:rFonts w:cs="Arial"/>
                      <w:sz w:val="20"/>
                      <w:lang w:val="en-CA" w:eastAsia="en-CA"/>
                    </w:rPr>
                  </w:pPr>
                  <w:r w:rsidRPr="00BC6217">
                    <w:rPr>
                      <w:rFonts w:cs="Arial"/>
                      <w:sz w:val="20"/>
                      <w:lang w:eastAsia="en-CA"/>
                    </w:rPr>
                    <w:t>STR 3.6     Improve health information management systems including research in the health sector</w:t>
                  </w:r>
                </w:p>
              </w:tc>
              <w:tc>
                <w:tcPr>
                  <w:tcW w:w="4996" w:type="dxa"/>
                  <w:tcBorders>
                    <w:top w:val="nil"/>
                    <w:left w:val="nil"/>
                    <w:bottom w:val="single" w:sz="4" w:space="0" w:color="auto"/>
                    <w:right w:val="single" w:sz="4" w:space="0" w:color="auto"/>
                  </w:tcBorders>
                  <w:shd w:val="clear" w:color="auto" w:fill="auto"/>
                </w:tcPr>
                <w:p w:rsidR="00052899" w:rsidRPr="00BC6217" w:rsidRDefault="00052899" w:rsidP="00052899">
                  <w:pPr>
                    <w:jc w:val="both"/>
                    <w:rPr>
                      <w:rFonts w:cs="Arial"/>
                      <w:sz w:val="20"/>
                      <w:lang w:val="en-CA" w:eastAsia="en-CA"/>
                    </w:rPr>
                  </w:pPr>
                  <w:r w:rsidRPr="00BC6217">
                    <w:rPr>
                      <w:rFonts w:cs="Arial"/>
                      <w:sz w:val="20"/>
                      <w:lang w:val="en-CA" w:eastAsia="en-CA"/>
                    </w:rPr>
                    <w:t>GAVI HSS - Objective 5.     To strengthen governance and health information management for improved health service delivery</w:t>
                  </w:r>
                </w:p>
              </w:tc>
            </w:tr>
            <w:tr w:rsidR="00052899" w:rsidRPr="00BC6217" w:rsidTr="000357CA">
              <w:trPr>
                <w:trHeight w:val="555"/>
              </w:trPr>
              <w:tc>
                <w:tcPr>
                  <w:tcW w:w="4658" w:type="dxa"/>
                  <w:tcBorders>
                    <w:top w:val="nil"/>
                    <w:left w:val="single" w:sz="4" w:space="0" w:color="auto"/>
                    <w:bottom w:val="single" w:sz="4" w:space="0" w:color="auto"/>
                    <w:right w:val="single" w:sz="4" w:space="0" w:color="auto"/>
                  </w:tcBorders>
                  <w:shd w:val="clear" w:color="auto" w:fill="auto"/>
                </w:tcPr>
                <w:p w:rsidR="00052899" w:rsidRPr="00BC6217" w:rsidRDefault="00052899" w:rsidP="00052899">
                  <w:pPr>
                    <w:jc w:val="both"/>
                    <w:rPr>
                      <w:rFonts w:cs="Arial"/>
                      <w:b/>
                      <w:sz w:val="20"/>
                      <w:lang w:val="en-CA" w:eastAsia="en-CA"/>
                    </w:rPr>
                  </w:pPr>
                  <w:r w:rsidRPr="00BC6217">
                    <w:rPr>
                      <w:rFonts w:cs="Arial"/>
                      <w:b/>
                      <w:sz w:val="20"/>
                      <w:lang w:eastAsia="en-CA"/>
                    </w:rPr>
                    <w:t xml:space="preserve">OBJ 4Improve quality of health services delivery including mental health  services  </w:t>
                  </w:r>
                </w:p>
              </w:tc>
              <w:tc>
                <w:tcPr>
                  <w:tcW w:w="4996" w:type="dxa"/>
                  <w:tcBorders>
                    <w:top w:val="nil"/>
                    <w:left w:val="nil"/>
                    <w:bottom w:val="single" w:sz="4" w:space="0" w:color="auto"/>
                    <w:right w:val="single" w:sz="4" w:space="0" w:color="auto"/>
                  </w:tcBorders>
                  <w:shd w:val="clear" w:color="auto" w:fill="auto"/>
                </w:tcPr>
                <w:p w:rsidR="00052899" w:rsidRPr="00BC6217" w:rsidRDefault="00052899" w:rsidP="00052899">
                  <w:pPr>
                    <w:jc w:val="both"/>
                    <w:rPr>
                      <w:rFonts w:cs="Arial"/>
                      <w:sz w:val="20"/>
                      <w:lang w:val="en-CA" w:eastAsia="en-CA"/>
                    </w:rPr>
                  </w:pPr>
                </w:p>
              </w:tc>
            </w:tr>
            <w:tr w:rsidR="00052899" w:rsidRPr="00BC6217" w:rsidTr="000357CA">
              <w:trPr>
                <w:trHeight w:val="473"/>
              </w:trPr>
              <w:tc>
                <w:tcPr>
                  <w:tcW w:w="4658" w:type="dxa"/>
                  <w:tcBorders>
                    <w:top w:val="nil"/>
                    <w:left w:val="single" w:sz="4" w:space="0" w:color="auto"/>
                    <w:bottom w:val="single" w:sz="4" w:space="0" w:color="auto"/>
                    <w:right w:val="single" w:sz="4" w:space="0" w:color="auto"/>
                  </w:tcBorders>
                  <w:shd w:val="clear" w:color="auto" w:fill="auto"/>
                </w:tcPr>
                <w:p w:rsidR="00052899" w:rsidRPr="00BC6217" w:rsidRDefault="00052899" w:rsidP="00052899">
                  <w:pPr>
                    <w:jc w:val="both"/>
                    <w:rPr>
                      <w:rFonts w:cs="Arial"/>
                      <w:sz w:val="20"/>
                      <w:lang w:val="en-CA" w:eastAsia="en-CA"/>
                    </w:rPr>
                  </w:pPr>
                  <w:r w:rsidRPr="00BC6217">
                    <w:rPr>
                      <w:rFonts w:cs="Arial"/>
                      <w:sz w:val="20"/>
                      <w:lang w:eastAsia="en-CA"/>
                    </w:rPr>
                    <w:t xml:space="preserve">STR 4.4 Improve supply chain, ensure commodity security and availability of quality medicines </w:t>
                  </w:r>
                </w:p>
              </w:tc>
              <w:tc>
                <w:tcPr>
                  <w:tcW w:w="4996" w:type="dxa"/>
                  <w:tcBorders>
                    <w:top w:val="nil"/>
                    <w:left w:val="nil"/>
                    <w:bottom w:val="single" w:sz="4" w:space="0" w:color="auto"/>
                    <w:right w:val="single" w:sz="4" w:space="0" w:color="auto"/>
                  </w:tcBorders>
                  <w:shd w:val="clear" w:color="auto" w:fill="auto"/>
                  <w:vAlign w:val="center"/>
                </w:tcPr>
                <w:p w:rsidR="00052899" w:rsidRPr="00BC6217" w:rsidRDefault="00052899" w:rsidP="00052899">
                  <w:pPr>
                    <w:jc w:val="both"/>
                    <w:rPr>
                      <w:rFonts w:cs="Arial"/>
                      <w:sz w:val="20"/>
                      <w:lang w:val="en-CA" w:eastAsia="en-CA"/>
                    </w:rPr>
                  </w:pPr>
                  <w:r w:rsidRPr="00BC6217">
                    <w:rPr>
                      <w:rFonts w:cs="Arial"/>
                      <w:sz w:val="20"/>
                      <w:lang w:val="en-CA" w:eastAsia="en-CA"/>
                    </w:rPr>
                    <w:t>GAVI HSS - Objective 3. To improve storage, distribution and management of logistics and ensure the availability of potent, quality and safe vaccines, medicines and devices</w:t>
                  </w:r>
                </w:p>
              </w:tc>
            </w:tr>
            <w:tr w:rsidR="00052899" w:rsidRPr="00BC6217" w:rsidTr="000357CA">
              <w:trPr>
                <w:trHeight w:val="665"/>
              </w:trPr>
              <w:tc>
                <w:tcPr>
                  <w:tcW w:w="4658" w:type="dxa"/>
                  <w:tcBorders>
                    <w:top w:val="nil"/>
                    <w:left w:val="single" w:sz="4" w:space="0" w:color="auto"/>
                    <w:bottom w:val="single" w:sz="4" w:space="0" w:color="auto"/>
                    <w:right w:val="single" w:sz="4" w:space="0" w:color="auto"/>
                  </w:tcBorders>
                  <w:shd w:val="clear" w:color="auto" w:fill="auto"/>
                </w:tcPr>
                <w:p w:rsidR="00052899" w:rsidRPr="00BC6217" w:rsidRDefault="00052899" w:rsidP="00052899">
                  <w:pPr>
                    <w:jc w:val="both"/>
                    <w:rPr>
                      <w:rFonts w:cs="Arial"/>
                      <w:b/>
                      <w:sz w:val="20"/>
                      <w:lang w:val="en-CA" w:eastAsia="en-CA"/>
                    </w:rPr>
                  </w:pPr>
                  <w:r w:rsidRPr="00BC6217">
                    <w:rPr>
                      <w:rFonts w:cs="Arial"/>
                      <w:b/>
                      <w:sz w:val="20"/>
                      <w:lang w:eastAsia="en-CA"/>
                    </w:rPr>
                    <w:t xml:space="preserve">OBJ 5 Enhance national capacity for the attainment of the health related MDGs and sustain the gains </w:t>
                  </w:r>
                </w:p>
              </w:tc>
              <w:tc>
                <w:tcPr>
                  <w:tcW w:w="4996" w:type="dxa"/>
                  <w:tcBorders>
                    <w:top w:val="nil"/>
                    <w:left w:val="nil"/>
                    <w:bottom w:val="single" w:sz="4" w:space="0" w:color="auto"/>
                    <w:right w:val="single" w:sz="4" w:space="0" w:color="auto"/>
                  </w:tcBorders>
                  <w:shd w:val="clear" w:color="auto" w:fill="auto"/>
                </w:tcPr>
                <w:p w:rsidR="00052899" w:rsidRPr="00BC6217" w:rsidRDefault="00052899" w:rsidP="00052899">
                  <w:pPr>
                    <w:jc w:val="both"/>
                    <w:rPr>
                      <w:rFonts w:cs="Arial"/>
                      <w:sz w:val="20"/>
                      <w:lang w:val="en-CA" w:eastAsia="en-CA"/>
                    </w:rPr>
                  </w:pPr>
                  <w:r w:rsidRPr="00BC6217">
                    <w:rPr>
                      <w:rFonts w:cs="Arial"/>
                      <w:sz w:val="20"/>
                      <w:lang w:val="en-CA" w:eastAsia="en-CA"/>
                    </w:rPr>
                    <w:t> </w:t>
                  </w:r>
                </w:p>
              </w:tc>
            </w:tr>
            <w:tr w:rsidR="00052899" w:rsidRPr="00BC6217" w:rsidTr="000357CA">
              <w:trPr>
                <w:trHeight w:val="786"/>
              </w:trPr>
              <w:tc>
                <w:tcPr>
                  <w:tcW w:w="4658" w:type="dxa"/>
                  <w:tcBorders>
                    <w:top w:val="nil"/>
                    <w:left w:val="single" w:sz="4" w:space="0" w:color="auto"/>
                    <w:bottom w:val="single" w:sz="4" w:space="0" w:color="auto"/>
                    <w:right w:val="single" w:sz="4" w:space="0" w:color="auto"/>
                  </w:tcBorders>
                  <w:shd w:val="clear" w:color="auto" w:fill="auto"/>
                </w:tcPr>
                <w:p w:rsidR="00052899" w:rsidRPr="00BC6217" w:rsidRDefault="00052899" w:rsidP="00052899">
                  <w:pPr>
                    <w:jc w:val="both"/>
                    <w:rPr>
                      <w:rFonts w:cs="Arial"/>
                      <w:sz w:val="20"/>
                      <w:lang w:val="en-CA" w:eastAsia="en-CA"/>
                    </w:rPr>
                  </w:pPr>
                  <w:r w:rsidRPr="00BC6217">
                    <w:rPr>
                      <w:rFonts w:cs="Arial"/>
                      <w:sz w:val="20"/>
                      <w:lang w:eastAsia="en-CA"/>
                    </w:rPr>
                    <w:t>STR 5.3 Intensify and sustain Expanded Programme on Immunisation(EPI)</w:t>
                  </w:r>
                </w:p>
              </w:tc>
              <w:tc>
                <w:tcPr>
                  <w:tcW w:w="4996" w:type="dxa"/>
                  <w:tcBorders>
                    <w:top w:val="nil"/>
                    <w:left w:val="nil"/>
                    <w:bottom w:val="single" w:sz="4" w:space="0" w:color="auto"/>
                    <w:right w:val="single" w:sz="4" w:space="0" w:color="auto"/>
                  </w:tcBorders>
                  <w:shd w:val="clear" w:color="auto" w:fill="auto"/>
                  <w:noWrap/>
                  <w:vAlign w:val="bottom"/>
                </w:tcPr>
                <w:p w:rsidR="00052899" w:rsidRPr="00BC6217" w:rsidRDefault="00052899" w:rsidP="00052899">
                  <w:pPr>
                    <w:jc w:val="both"/>
                    <w:rPr>
                      <w:rFonts w:cs="Arial"/>
                      <w:sz w:val="20"/>
                      <w:lang w:val="en-CA" w:eastAsia="en-CA"/>
                    </w:rPr>
                  </w:pPr>
                  <w:r w:rsidRPr="00BC6217">
                    <w:rPr>
                      <w:rFonts w:cs="Arial"/>
                      <w:sz w:val="20"/>
                      <w:lang w:val="en-US" w:eastAsia="en-CA"/>
                    </w:rPr>
                    <w:t>cYMP- Objective 1: Reach everyone targeted for immunisation to achieve and sustain by 2014,  94% coverage in all childhood immunizations and 85% for Tetanus Toxoid for Pregnant women</w:t>
                  </w:r>
                </w:p>
              </w:tc>
            </w:tr>
            <w:tr w:rsidR="00052899" w:rsidRPr="00BC6217" w:rsidTr="000357CA">
              <w:trPr>
                <w:trHeight w:val="174"/>
              </w:trPr>
              <w:tc>
                <w:tcPr>
                  <w:tcW w:w="4658" w:type="dxa"/>
                  <w:tcBorders>
                    <w:top w:val="nil"/>
                    <w:left w:val="single" w:sz="4" w:space="0" w:color="auto"/>
                    <w:bottom w:val="single" w:sz="4" w:space="0" w:color="auto"/>
                    <w:right w:val="single" w:sz="4" w:space="0" w:color="auto"/>
                  </w:tcBorders>
                  <w:shd w:val="clear" w:color="auto" w:fill="auto"/>
                </w:tcPr>
                <w:p w:rsidR="00052899" w:rsidRPr="00BC6217" w:rsidRDefault="00052899" w:rsidP="00052899">
                  <w:pPr>
                    <w:jc w:val="both"/>
                    <w:rPr>
                      <w:rFonts w:cs="Arial"/>
                      <w:sz w:val="20"/>
                      <w:lang w:val="en-CA" w:eastAsia="en-CA"/>
                    </w:rPr>
                  </w:pPr>
                  <w:r w:rsidRPr="00BC6217">
                    <w:rPr>
                      <w:rFonts w:cs="Arial"/>
                      <w:sz w:val="20"/>
                      <w:lang w:eastAsia="en-CA"/>
                    </w:rPr>
                    <w:t xml:space="preserve">OBJ 6  Intensify prevention and control of non-communicable and other communicable diseases </w:t>
                  </w:r>
                </w:p>
              </w:tc>
              <w:tc>
                <w:tcPr>
                  <w:tcW w:w="4996" w:type="dxa"/>
                  <w:tcBorders>
                    <w:top w:val="nil"/>
                    <w:left w:val="nil"/>
                    <w:bottom w:val="single" w:sz="4" w:space="0" w:color="auto"/>
                    <w:right w:val="single" w:sz="4" w:space="0" w:color="auto"/>
                  </w:tcBorders>
                  <w:shd w:val="clear" w:color="auto" w:fill="auto"/>
                </w:tcPr>
                <w:p w:rsidR="00052899" w:rsidRPr="00BC6217" w:rsidRDefault="00052899" w:rsidP="00052899">
                  <w:pPr>
                    <w:jc w:val="both"/>
                    <w:rPr>
                      <w:rFonts w:cs="Arial"/>
                      <w:sz w:val="20"/>
                      <w:lang w:val="en-CA" w:eastAsia="en-CA"/>
                    </w:rPr>
                  </w:pPr>
                  <w:r w:rsidRPr="00BC6217">
                    <w:rPr>
                      <w:rFonts w:cs="Arial"/>
                      <w:sz w:val="20"/>
                      <w:lang w:val="en-CA" w:eastAsia="en-CA"/>
                    </w:rPr>
                    <w:t> </w:t>
                  </w:r>
                </w:p>
              </w:tc>
            </w:tr>
            <w:tr w:rsidR="00052899" w:rsidRPr="00BC6217" w:rsidTr="000357CA">
              <w:trPr>
                <w:trHeight w:val="47"/>
              </w:trPr>
              <w:tc>
                <w:tcPr>
                  <w:tcW w:w="4658" w:type="dxa"/>
                  <w:tcBorders>
                    <w:top w:val="nil"/>
                    <w:left w:val="single" w:sz="4" w:space="0" w:color="auto"/>
                    <w:bottom w:val="single" w:sz="4" w:space="0" w:color="auto"/>
                    <w:right w:val="single" w:sz="4" w:space="0" w:color="auto"/>
                  </w:tcBorders>
                  <w:shd w:val="clear" w:color="auto" w:fill="auto"/>
                </w:tcPr>
                <w:p w:rsidR="00052899" w:rsidRPr="00BC6217" w:rsidRDefault="00052899" w:rsidP="00052899">
                  <w:pPr>
                    <w:jc w:val="both"/>
                    <w:rPr>
                      <w:rFonts w:cs="Arial"/>
                      <w:sz w:val="20"/>
                      <w:lang w:val="en-CA" w:eastAsia="en-CA"/>
                    </w:rPr>
                  </w:pPr>
                  <w:r w:rsidRPr="00BC6217">
                    <w:rPr>
                      <w:rFonts w:cs="Arial"/>
                      <w:sz w:val="20"/>
                      <w:lang w:eastAsia="en-CA"/>
                    </w:rPr>
                    <w:t>STR 6.8     Strengthen Integrated Disease Surveillance and Response (IDRS) at all levels and implement fully the International Health Regulations (IHR</w:t>
                  </w:r>
                </w:p>
              </w:tc>
              <w:tc>
                <w:tcPr>
                  <w:tcW w:w="4996" w:type="dxa"/>
                  <w:tcBorders>
                    <w:top w:val="nil"/>
                    <w:left w:val="nil"/>
                    <w:bottom w:val="single" w:sz="4" w:space="0" w:color="auto"/>
                    <w:right w:val="single" w:sz="4" w:space="0" w:color="auto"/>
                  </w:tcBorders>
                  <w:shd w:val="clear" w:color="auto" w:fill="auto"/>
                  <w:noWrap/>
                  <w:vAlign w:val="bottom"/>
                </w:tcPr>
                <w:p w:rsidR="00052899" w:rsidRPr="00BC6217" w:rsidRDefault="00052899" w:rsidP="00052899">
                  <w:pPr>
                    <w:jc w:val="both"/>
                    <w:rPr>
                      <w:rFonts w:cs="Arial"/>
                      <w:sz w:val="20"/>
                      <w:lang w:val="en-CA" w:eastAsia="en-CA"/>
                    </w:rPr>
                  </w:pPr>
                  <w:r w:rsidRPr="00BC6217">
                    <w:rPr>
                      <w:rFonts w:cs="Arial"/>
                      <w:sz w:val="20"/>
                      <w:lang w:val="en-US" w:eastAsia="en-CA"/>
                    </w:rPr>
                    <w:t>cYMP Objective 3:  Strengthen surveillance system</w:t>
                  </w:r>
                </w:p>
              </w:tc>
            </w:tr>
          </w:tbl>
          <w:p w:rsidR="00052899" w:rsidRDefault="00052899" w:rsidP="00052899">
            <w:pPr>
              <w:pStyle w:val="Body1"/>
              <w:jc w:val="both"/>
              <w:rPr>
                <w:rFonts w:cs="Arial"/>
                <w:szCs w:val="22"/>
              </w:rPr>
            </w:pPr>
          </w:p>
          <w:p w:rsidR="00052899" w:rsidRDefault="00052899" w:rsidP="00052899">
            <w:pPr>
              <w:jc w:val="both"/>
              <w:rPr>
                <w:rFonts w:cs="Arial"/>
                <w:b/>
                <w:szCs w:val="22"/>
              </w:rPr>
            </w:pPr>
            <w:r w:rsidRPr="00B40A7C">
              <w:rPr>
                <w:rFonts w:cs="Arial"/>
                <w:b/>
                <w:szCs w:val="22"/>
              </w:rPr>
              <w:t>Vision</w:t>
            </w:r>
          </w:p>
          <w:p w:rsidR="00052899" w:rsidRPr="009E3797" w:rsidRDefault="00052899" w:rsidP="00052899">
            <w:pPr>
              <w:jc w:val="both"/>
              <w:rPr>
                <w:rFonts w:cs="Arial"/>
                <w:bCs/>
                <w:szCs w:val="22"/>
              </w:rPr>
            </w:pPr>
            <w:r w:rsidRPr="00484BD2">
              <w:rPr>
                <w:rFonts w:cs="Arial"/>
                <w:bCs/>
                <w:szCs w:val="22"/>
              </w:rPr>
              <w:t xml:space="preserve">The vision </w:t>
            </w:r>
            <w:r>
              <w:rPr>
                <w:rFonts w:cs="Arial"/>
                <w:bCs/>
                <w:szCs w:val="22"/>
              </w:rPr>
              <w:t>o</w:t>
            </w:r>
            <w:r w:rsidRPr="009E3797">
              <w:rPr>
                <w:rFonts w:cs="Arial"/>
                <w:bCs/>
                <w:szCs w:val="22"/>
              </w:rPr>
              <w:t>f the health sec</w:t>
            </w:r>
            <w:r w:rsidRPr="00484BD2">
              <w:rPr>
                <w:rFonts w:cs="Arial"/>
                <w:bCs/>
                <w:szCs w:val="22"/>
              </w:rPr>
              <w:t>tor is to have a health</w:t>
            </w:r>
            <w:r w:rsidRPr="009E3797">
              <w:rPr>
                <w:rFonts w:cs="Arial"/>
                <w:bCs/>
                <w:szCs w:val="22"/>
              </w:rPr>
              <w:t>y population for national development.</w:t>
            </w:r>
          </w:p>
          <w:p w:rsidR="00052899" w:rsidRPr="00B40A7C" w:rsidRDefault="00052899" w:rsidP="00052899">
            <w:pPr>
              <w:spacing w:before="120" w:after="120"/>
              <w:jc w:val="both"/>
              <w:rPr>
                <w:rFonts w:cs="Arial"/>
                <w:b/>
                <w:szCs w:val="22"/>
              </w:rPr>
            </w:pPr>
            <w:r w:rsidRPr="00B40A7C">
              <w:rPr>
                <w:rFonts w:cs="Arial"/>
                <w:b/>
                <w:szCs w:val="22"/>
              </w:rPr>
              <w:t>Goal</w:t>
            </w:r>
          </w:p>
          <w:p w:rsidR="00052899" w:rsidRDefault="00052899" w:rsidP="00052899">
            <w:pPr>
              <w:spacing w:before="120" w:after="120"/>
              <w:jc w:val="both"/>
              <w:rPr>
                <w:rFonts w:cs="Arial"/>
                <w:szCs w:val="22"/>
              </w:rPr>
            </w:pPr>
            <w:r w:rsidRPr="00B40A7C">
              <w:rPr>
                <w:rFonts w:cs="Arial"/>
                <w:szCs w:val="22"/>
              </w:rPr>
              <w:t xml:space="preserve">The goal is to </w:t>
            </w:r>
            <w:r>
              <w:rPr>
                <w:rFonts w:cs="Arial"/>
                <w:szCs w:val="22"/>
              </w:rPr>
              <w:t>have a healthy and productive population that reproduces itself safely</w:t>
            </w:r>
          </w:p>
          <w:bookmarkEnd w:id="626"/>
          <w:p w:rsidR="005F343E" w:rsidRDefault="00052899" w:rsidP="00052899">
            <w:pPr>
              <w:jc w:val="both"/>
              <w:rPr>
                <w:rFonts w:cs="Arial"/>
                <w:szCs w:val="22"/>
                <w:lang w:val="en-CA"/>
              </w:rPr>
            </w:pPr>
            <w:r w:rsidRPr="009E3797">
              <w:rPr>
                <w:rFonts w:cs="Arial"/>
                <w:szCs w:val="22"/>
                <w:lang w:val="en-CA"/>
              </w:rPr>
              <w:t xml:space="preserve">The proposal will contribute towards the national effort to achieve Under five mortality rate of less than 50 per 1000 live births by 2015 </w:t>
            </w:r>
          </w:p>
          <w:p w:rsidR="00052899" w:rsidRDefault="00052899" w:rsidP="00052899">
            <w:pPr>
              <w:jc w:val="both"/>
              <w:rPr>
                <w:rFonts w:cs="Arial"/>
                <w:b/>
                <w:bCs/>
                <w:szCs w:val="22"/>
                <w:lang w:val="en-CA"/>
              </w:rPr>
            </w:pPr>
          </w:p>
          <w:p w:rsidR="00052899" w:rsidRDefault="00052899">
            <w:pPr>
              <w:jc w:val="both"/>
              <w:rPr>
                <w:rFonts w:cs="Arial"/>
                <w:szCs w:val="22"/>
              </w:rPr>
            </w:pPr>
            <w:r w:rsidRPr="00484BD2">
              <w:rPr>
                <w:rFonts w:cs="Arial"/>
                <w:szCs w:val="22"/>
                <w:lang w:val="en-CA"/>
              </w:rPr>
              <w:t xml:space="preserve">The overall targeted </w:t>
            </w:r>
            <w:r w:rsidRPr="00453AFD">
              <w:rPr>
                <w:rFonts w:cs="Arial"/>
                <w:szCs w:val="22"/>
                <w:lang w:val="en-CA"/>
              </w:rPr>
              <w:t>immunisation outcomes  are as follows:</w:t>
            </w:r>
          </w:p>
          <w:p w:rsidR="00052899" w:rsidRDefault="00052899" w:rsidP="00052899">
            <w:pPr>
              <w:pStyle w:val="ColorfulList-Accent11"/>
              <w:numPr>
                <w:ilvl w:val="0"/>
                <w:numId w:val="20"/>
              </w:numPr>
              <w:spacing w:after="0"/>
              <w:jc w:val="both"/>
              <w:rPr>
                <w:rFonts w:ascii="Arial" w:hAnsi="Arial" w:cs="Arial"/>
                <w:sz w:val="22"/>
                <w:szCs w:val="22"/>
                <w:lang w:val="en-CA" w:eastAsia="en-US"/>
              </w:rPr>
            </w:pPr>
            <w:r>
              <w:rPr>
                <w:rFonts w:ascii="Arial" w:hAnsi="Arial" w:cs="Arial"/>
                <w:sz w:val="22"/>
                <w:szCs w:val="22"/>
                <w:lang w:val="en-CA" w:eastAsia="en-US"/>
              </w:rPr>
              <w:t>Increased Penta 3 coverage from 92</w:t>
            </w:r>
            <w:r w:rsidRPr="00484BD2">
              <w:rPr>
                <w:rFonts w:ascii="Arial" w:hAnsi="Arial" w:cs="Arial"/>
                <w:sz w:val="22"/>
                <w:szCs w:val="22"/>
                <w:lang w:val="en-CA" w:eastAsia="en-US"/>
              </w:rPr>
              <w:t>%</w:t>
            </w:r>
            <w:r>
              <w:rPr>
                <w:rFonts w:ascii="Arial" w:hAnsi="Arial" w:cs="Arial"/>
                <w:sz w:val="22"/>
                <w:szCs w:val="22"/>
                <w:lang w:val="en-CA" w:eastAsia="en-US"/>
              </w:rPr>
              <w:t xml:space="preserve"> in 2012 </w:t>
            </w:r>
            <w:r w:rsidRPr="00484BD2">
              <w:rPr>
                <w:rFonts w:ascii="Arial" w:hAnsi="Arial" w:cs="Arial"/>
                <w:sz w:val="22"/>
                <w:szCs w:val="22"/>
                <w:lang w:val="en-CA" w:eastAsia="en-US"/>
              </w:rPr>
              <w:t>to 9</w:t>
            </w:r>
            <w:r>
              <w:rPr>
                <w:rFonts w:ascii="Arial" w:hAnsi="Arial" w:cs="Arial"/>
                <w:sz w:val="22"/>
                <w:szCs w:val="22"/>
                <w:lang w:val="en-CA" w:eastAsia="en-US"/>
              </w:rPr>
              <w:t>5</w:t>
            </w:r>
            <w:r w:rsidRPr="00484BD2">
              <w:rPr>
                <w:rFonts w:ascii="Arial" w:hAnsi="Arial" w:cs="Arial"/>
                <w:sz w:val="22"/>
                <w:szCs w:val="22"/>
                <w:lang w:val="en-CA" w:eastAsia="en-US"/>
              </w:rPr>
              <w:t xml:space="preserve">% by 2018, </w:t>
            </w:r>
          </w:p>
          <w:p w:rsidR="00052899" w:rsidRDefault="00052899" w:rsidP="00052899">
            <w:pPr>
              <w:pStyle w:val="ColorfulList-Accent11"/>
              <w:numPr>
                <w:ilvl w:val="0"/>
                <w:numId w:val="20"/>
              </w:numPr>
              <w:spacing w:after="0"/>
              <w:jc w:val="both"/>
              <w:rPr>
                <w:rFonts w:ascii="Arial" w:hAnsi="Arial" w:cs="Arial"/>
                <w:sz w:val="22"/>
                <w:szCs w:val="22"/>
                <w:lang w:val="en-CA" w:eastAsia="en-US"/>
              </w:rPr>
            </w:pPr>
            <w:r w:rsidRPr="00484BD2">
              <w:rPr>
                <w:rFonts w:ascii="Arial" w:hAnsi="Arial" w:cs="Arial"/>
                <w:sz w:val="22"/>
                <w:szCs w:val="22"/>
                <w:lang w:val="en-CA" w:eastAsia="en-US"/>
              </w:rPr>
              <w:t>Increased MCV1 cov</w:t>
            </w:r>
            <w:r w:rsidRPr="00453AFD">
              <w:rPr>
                <w:rFonts w:ascii="Arial" w:hAnsi="Arial" w:cs="Arial"/>
                <w:sz w:val="22"/>
                <w:szCs w:val="22"/>
                <w:lang w:val="en-CA" w:eastAsia="en-US"/>
              </w:rPr>
              <w:t xml:space="preserve">erage (% of surviving infants receiving first dose of measles containing vaccine) from </w:t>
            </w:r>
            <w:r>
              <w:rPr>
                <w:rFonts w:ascii="Arial" w:hAnsi="Arial" w:cs="Arial"/>
                <w:sz w:val="22"/>
                <w:szCs w:val="22"/>
                <w:lang w:val="en-CA" w:eastAsia="en-US"/>
              </w:rPr>
              <w:t>93</w:t>
            </w:r>
            <w:r w:rsidRPr="00484BD2">
              <w:rPr>
                <w:rFonts w:ascii="Arial" w:hAnsi="Arial" w:cs="Arial"/>
                <w:sz w:val="22"/>
                <w:szCs w:val="22"/>
                <w:lang w:val="en-CA" w:eastAsia="en-US"/>
              </w:rPr>
              <w:t>%</w:t>
            </w:r>
            <w:r>
              <w:rPr>
                <w:rFonts w:ascii="Arial" w:hAnsi="Arial" w:cs="Arial"/>
                <w:sz w:val="22"/>
                <w:szCs w:val="22"/>
                <w:lang w:val="en-CA" w:eastAsia="en-US"/>
              </w:rPr>
              <w:t xml:space="preserve"> in 2012</w:t>
            </w:r>
            <w:r w:rsidRPr="00484BD2">
              <w:rPr>
                <w:rFonts w:ascii="Arial" w:hAnsi="Arial" w:cs="Arial"/>
                <w:sz w:val="22"/>
                <w:szCs w:val="22"/>
                <w:lang w:val="en-CA" w:eastAsia="en-US"/>
              </w:rPr>
              <w:t xml:space="preserve"> to 9</w:t>
            </w:r>
            <w:r>
              <w:rPr>
                <w:rFonts w:ascii="Arial" w:hAnsi="Arial" w:cs="Arial"/>
                <w:sz w:val="22"/>
                <w:szCs w:val="22"/>
                <w:lang w:val="en-CA" w:eastAsia="en-US"/>
              </w:rPr>
              <w:t>5</w:t>
            </w:r>
            <w:r w:rsidRPr="00484BD2">
              <w:rPr>
                <w:rFonts w:ascii="Arial" w:hAnsi="Arial" w:cs="Arial"/>
                <w:sz w:val="22"/>
                <w:szCs w:val="22"/>
                <w:lang w:val="en-CA" w:eastAsia="en-US"/>
              </w:rPr>
              <w:t xml:space="preserve">% by 2018. </w:t>
            </w:r>
          </w:p>
          <w:p w:rsidR="00052899" w:rsidRDefault="00052899" w:rsidP="00052899">
            <w:pPr>
              <w:pStyle w:val="ColorfulList-Accent11"/>
              <w:numPr>
                <w:ilvl w:val="0"/>
                <w:numId w:val="20"/>
              </w:numPr>
              <w:spacing w:after="0"/>
              <w:jc w:val="both"/>
              <w:rPr>
                <w:rFonts w:ascii="Arial" w:hAnsi="Arial" w:cs="Arial"/>
                <w:sz w:val="22"/>
                <w:szCs w:val="22"/>
                <w:lang w:val="en-CA" w:eastAsia="en-US"/>
              </w:rPr>
            </w:pPr>
            <w:r w:rsidRPr="00484BD2">
              <w:rPr>
                <w:rFonts w:ascii="Arial" w:hAnsi="Arial" w:cs="Arial"/>
                <w:sz w:val="22"/>
                <w:szCs w:val="22"/>
                <w:lang w:val="en-CA" w:eastAsia="en-US"/>
              </w:rPr>
              <w:t xml:space="preserve">Geographic equity of Penta 3 coverage – (% of districts that have at </w:t>
            </w:r>
            <w:r w:rsidRPr="00453AFD">
              <w:rPr>
                <w:rFonts w:ascii="Arial" w:hAnsi="Arial" w:cs="Arial"/>
                <w:sz w:val="22"/>
                <w:szCs w:val="22"/>
                <w:lang w:val="en-CA" w:eastAsia="en-US"/>
              </w:rPr>
              <w:t xml:space="preserve">least or above 80% Penta 3 coverage) from </w:t>
            </w:r>
            <w:r>
              <w:rPr>
                <w:rFonts w:ascii="Arial" w:hAnsi="Arial" w:cs="Arial"/>
                <w:sz w:val="22"/>
                <w:szCs w:val="22"/>
                <w:lang w:val="en-CA" w:eastAsia="en-US"/>
              </w:rPr>
              <w:t>80</w:t>
            </w:r>
            <w:r w:rsidRPr="00484BD2">
              <w:rPr>
                <w:rFonts w:ascii="Arial" w:hAnsi="Arial" w:cs="Arial"/>
                <w:sz w:val="22"/>
                <w:szCs w:val="22"/>
                <w:lang w:val="en-CA" w:eastAsia="en-US"/>
              </w:rPr>
              <w:t>%</w:t>
            </w:r>
            <w:r>
              <w:rPr>
                <w:rFonts w:ascii="Arial" w:hAnsi="Arial" w:cs="Arial"/>
                <w:sz w:val="22"/>
                <w:szCs w:val="22"/>
                <w:lang w:val="en-CA" w:eastAsia="en-US"/>
              </w:rPr>
              <w:t xml:space="preserve"> in 2012</w:t>
            </w:r>
            <w:r w:rsidRPr="00484BD2">
              <w:rPr>
                <w:rFonts w:ascii="Arial" w:hAnsi="Arial" w:cs="Arial"/>
                <w:sz w:val="22"/>
                <w:szCs w:val="22"/>
                <w:lang w:val="en-CA" w:eastAsia="en-US"/>
              </w:rPr>
              <w:t xml:space="preserve"> to 90% by 2018. </w:t>
            </w:r>
          </w:p>
          <w:p w:rsidR="00052899" w:rsidRDefault="00052899" w:rsidP="00052899">
            <w:pPr>
              <w:pStyle w:val="ColorfulList-Accent11"/>
              <w:numPr>
                <w:ilvl w:val="0"/>
                <w:numId w:val="20"/>
              </w:numPr>
              <w:spacing w:after="0"/>
              <w:jc w:val="both"/>
              <w:rPr>
                <w:rFonts w:ascii="Arial" w:hAnsi="Arial" w:cs="Arial"/>
                <w:sz w:val="22"/>
                <w:szCs w:val="22"/>
                <w:lang w:val="en-CA" w:eastAsia="en-US"/>
              </w:rPr>
            </w:pPr>
            <w:r w:rsidRPr="00484BD2">
              <w:rPr>
                <w:rFonts w:ascii="Arial" w:hAnsi="Arial" w:cs="Arial"/>
                <w:sz w:val="22"/>
                <w:szCs w:val="22"/>
                <w:lang w:val="en-CA" w:eastAsia="en-US"/>
              </w:rPr>
              <w:t>Proportion of children fully immunised (% of children aged 12-23 months who receive all basic vaccinations in a country’s routine immunisation program) increased from 77%</w:t>
            </w:r>
            <w:r>
              <w:rPr>
                <w:rFonts w:ascii="Arial" w:hAnsi="Arial" w:cs="Arial"/>
                <w:sz w:val="22"/>
                <w:szCs w:val="22"/>
                <w:lang w:val="en-CA" w:eastAsia="en-US"/>
              </w:rPr>
              <w:t xml:space="preserve"> in 2011 (MICS) </w:t>
            </w:r>
            <w:r w:rsidRPr="00484BD2">
              <w:rPr>
                <w:rFonts w:ascii="Arial" w:hAnsi="Arial" w:cs="Arial"/>
                <w:sz w:val="22"/>
                <w:szCs w:val="22"/>
                <w:lang w:val="en-CA" w:eastAsia="en-US"/>
              </w:rPr>
              <w:t xml:space="preserve">to 83% by 2018. </w:t>
            </w:r>
          </w:p>
          <w:p w:rsidR="00052899" w:rsidRDefault="00052899" w:rsidP="00052899">
            <w:pPr>
              <w:pStyle w:val="ColorfulList-Accent11"/>
              <w:numPr>
                <w:ilvl w:val="0"/>
                <w:numId w:val="20"/>
              </w:numPr>
              <w:spacing w:after="0"/>
              <w:jc w:val="both"/>
              <w:rPr>
                <w:rFonts w:ascii="Arial" w:hAnsi="Arial" w:cs="Arial"/>
                <w:sz w:val="22"/>
                <w:szCs w:val="22"/>
                <w:lang w:val="en-CA" w:eastAsia="en-US"/>
              </w:rPr>
            </w:pPr>
            <w:r w:rsidRPr="00484BD2">
              <w:rPr>
                <w:rFonts w:ascii="Arial" w:hAnsi="Arial" w:cs="Arial"/>
                <w:sz w:val="22"/>
                <w:szCs w:val="22"/>
                <w:lang w:val="en-CA" w:eastAsia="en-US"/>
              </w:rPr>
              <w:t>Dropout rate - (percentage point difference bet</w:t>
            </w:r>
            <w:r w:rsidRPr="00453AFD">
              <w:rPr>
                <w:rFonts w:ascii="Arial" w:hAnsi="Arial" w:cs="Arial"/>
                <w:sz w:val="22"/>
                <w:szCs w:val="22"/>
                <w:lang w:val="en-CA" w:eastAsia="en-US"/>
              </w:rPr>
              <w:t>ween PENTA 1 and PENTA 3 coverage) from 4.6%</w:t>
            </w:r>
            <w:r>
              <w:rPr>
                <w:rFonts w:ascii="Arial" w:hAnsi="Arial" w:cs="Arial"/>
                <w:sz w:val="22"/>
                <w:szCs w:val="22"/>
                <w:lang w:val="en-CA" w:eastAsia="en-US"/>
              </w:rPr>
              <w:t xml:space="preserve"> in 2012 </w:t>
            </w:r>
            <w:r w:rsidRPr="00484BD2">
              <w:rPr>
                <w:rFonts w:ascii="Arial" w:hAnsi="Arial" w:cs="Arial"/>
                <w:sz w:val="22"/>
                <w:szCs w:val="22"/>
                <w:lang w:val="en-CA" w:eastAsia="en-US"/>
              </w:rPr>
              <w:t>to 4% in 2018.</w:t>
            </w:r>
          </w:p>
          <w:p w:rsidR="00052899" w:rsidRPr="003048B6" w:rsidDel="00545BF3" w:rsidRDefault="003048B6" w:rsidP="00052899">
            <w:pPr>
              <w:jc w:val="both"/>
              <w:rPr>
                <w:rFonts w:cs="Arial"/>
                <w:szCs w:val="22"/>
              </w:rPr>
            </w:pPr>
            <w:r>
              <w:rPr>
                <w:rFonts w:cs="Arial"/>
                <w:szCs w:val="22"/>
              </w:rPr>
              <w:t>The scope of this proposal focuses on addressing geographical inequities by resourcing and building capacities in newly created districts and hard to reach areas  to uptake and sustain high immunisation coverage.</w:t>
            </w:r>
            <w:r w:rsidR="00052899" w:rsidRPr="00484BD2">
              <w:rPr>
                <w:rFonts w:cs="Arial"/>
                <w:szCs w:val="22"/>
                <w:lang w:val="en-CA"/>
              </w:rPr>
              <w:t>The expected specific contribution to the above outcomes from of each of the objectives are as follows:</w:t>
            </w:r>
          </w:p>
          <w:p w:rsidR="00052899" w:rsidRPr="00453AFD" w:rsidRDefault="00052899" w:rsidP="00052899">
            <w:pPr>
              <w:jc w:val="both"/>
              <w:rPr>
                <w:rFonts w:cs="Arial"/>
                <w:szCs w:val="22"/>
                <w:lang w:val="en-CA"/>
              </w:rPr>
            </w:pPr>
          </w:p>
          <w:p w:rsidR="00052899" w:rsidRPr="00B40A7C" w:rsidRDefault="00052899" w:rsidP="00052899">
            <w:pPr>
              <w:jc w:val="both"/>
              <w:rPr>
                <w:rFonts w:cs="Arial"/>
                <w:szCs w:val="22"/>
              </w:rPr>
            </w:pPr>
            <w:r w:rsidRPr="009E3797">
              <w:rPr>
                <w:rFonts w:cs="Arial"/>
                <w:b/>
                <w:szCs w:val="22"/>
              </w:rPr>
              <w:t>Ob</w:t>
            </w:r>
            <w:r w:rsidRPr="00B40A7C">
              <w:rPr>
                <w:rFonts w:cs="Arial"/>
                <w:b/>
                <w:szCs w:val="22"/>
              </w:rPr>
              <w:t xml:space="preserve">jective 1: To strengthen and scale-up community health interventions aimed at improving the quality of primary health care services:  </w:t>
            </w:r>
            <w:r w:rsidRPr="00B40A7C">
              <w:rPr>
                <w:rFonts w:cs="Arial"/>
                <w:szCs w:val="22"/>
              </w:rPr>
              <w:t>This objective addresses bottlenecks associated with inadequate logistics to support service delivery, and to build capacity for service delivery and demand creation for immunisation service. The objective contributes directly to the attainment of all targeted immunisation outcomes.</w:t>
            </w:r>
            <w:r w:rsidR="00541585">
              <w:rPr>
                <w:rFonts w:cs="Arial"/>
                <w:szCs w:val="22"/>
              </w:rPr>
              <w:t xml:space="preserve"> </w:t>
            </w:r>
          </w:p>
          <w:p w:rsidR="00052899" w:rsidRPr="00B40A7C" w:rsidRDefault="00052899" w:rsidP="00052899">
            <w:pPr>
              <w:jc w:val="both"/>
              <w:rPr>
                <w:rFonts w:cs="Arial"/>
                <w:szCs w:val="22"/>
              </w:rPr>
            </w:pPr>
          </w:p>
          <w:p w:rsidR="00052899" w:rsidRDefault="00052899">
            <w:pPr>
              <w:jc w:val="both"/>
              <w:rPr>
                <w:rFonts w:cs="Arial"/>
                <w:szCs w:val="22"/>
              </w:rPr>
            </w:pPr>
            <w:r w:rsidRPr="00B40A7C">
              <w:rPr>
                <w:rFonts w:cs="Arial"/>
                <w:b/>
                <w:szCs w:val="22"/>
              </w:rPr>
              <w:t>Objective 2: To strengthen health worker capacity and distribution so as to address equity issues at district</w:t>
            </w:r>
            <w:r>
              <w:rPr>
                <w:rFonts w:cs="Arial"/>
                <w:b/>
                <w:szCs w:val="22"/>
              </w:rPr>
              <w:t xml:space="preserve"> </w:t>
            </w:r>
            <w:r w:rsidRPr="00B40A7C">
              <w:rPr>
                <w:rFonts w:cs="Arial"/>
                <w:b/>
                <w:szCs w:val="22"/>
              </w:rPr>
              <w:t>level</w:t>
            </w:r>
            <w:r w:rsidRPr="00B40A7C">
              <w:rPr>
                <w:rFonts w:cs="Arial"/>
                <w:szCs w:val="22"/>
              </w:rPr>
              <w:t>: This will address inequity in health workforce distribution and retention and address workforce performance. The objective contributes directly to the attainment of all targeted immunisation outcomes.</w:t>
            </w:r>
          </w:p>
          <w:p w:rsidR="00052899" w:rsidRDefault="00052899" w:rsidP="00052899">
            <w:pPr>
              <w:jc w:val="both"/>
              <w:rPr>
                <w:rFonts w:cs="Arial"/>
                <w:b/>
                <w:bCs/>
                <w:szCs w:val="22"/>
              </w:rPr>
            </w:pPr>
          </w:p>
          <w:p w:rsidR="00052899" w:rsidRDefault="00052899">
            <w:pPr>
              <w:jc w:val="both"/>
              <w:rPr>
                <w:rFonts w:cs="Arial"/>
                <w:szCs w:val="22"/>
              </w:rPr>
            </w:pPr>
            <w:r w:rsidRPr="00B40A7C">
              <w:rPr>
                <w:rFonts w:cs="Arial"/>
                <w:b/>
                <w:szCs w:val="22"/>
              </w:rPr>
              <w:t>Objective 3: To improve storage, distribution and management of logistics and ensure the availability of potent, quality and safe vaccines, medicines and devices</w:t>
            </w:r>
            <w:r w:rsidRPr="00B40A7C">
              <w:rPr>
                <w:rFonts w:cs="Arial"/>
                <w:szCs w:val="22"/>
              </w:rPr>
              <w:t>: This objective is expected to address logistic management challenges and ensure availability of safe vaccines and related commodities. The objective contributes directly to the attainment of all targeted immunisation outcomes.</w:t>
            </w:r>
          </w:p>
          <w:p w:rsidR="00052899" w:rsidRDefault="00052899" w:rsidP="00052899">
            <w:pPr>
              <w:jc w:val="both"/>
              <w:rPr>
                <w:rFonts w:cs="Arial"/>
                <w:b/>
                <w:bCs/>
                <w:szCs w:val="22"/>
              </w:rPr>
            </w:pPr>
          </w:p>
          <w:p w:rsidR="00052899" w:rsidRDefault="00052899">
            <w:pPr>
              <w:jc w:val="both"/>
              <w:rPr>
                <w:rFonts w:cs="Arial"/>
                <w:szCs w:val="22"/>
              </w:rPr>
            </w:pPr>
            <w:r w:rsidRPr="00B40A7C">
              <w:rPr>
                <w:rFonts w:cs="Arial"/>
                <w:b/>
                <w:bCs/>
                <w:szCs w:val="22"/>
              </w:rPr>
              <w:t>Objective 4: To empower civil society for increased demand for health services at the community:</w:t>
            </w:r>
            <w:r w:rsidRPr="00B40A7C">
              <w:rPr>
                <w:rFonts w:cs="Arial"/>
                <w:szCs w:val="22"/>
              </w:rPr>
              <w:t xml:space="preserve"> This will enhance collaboration among various partners for effective service delivery at the community level. The objective contributes directly to the attainment of all targeted immunisation outcomes.</w:t>
            </w:r>
          </w:p>
          <w:p w:rsidR="00052899" w:rsidRDefault="00052899" w:rsidP="00052899">
            <w:pPr>
              <w:jc w:val="both"/>
              <w:rPr>
                <w:rFonts w:cs="Arial"/>
                <w:b/>
                <w:bCs/>
                <w:szCs w:val="22"/>
              </w:rPr>
            </w:pPr>
          </w:p>
          <w:p w:rsidR="00052899" w:rsidRDefault="00052899">
            <w:pPr>
              <w:jc w:val="both"/>
              <w:rPr>
                <w:rFonts w:cs="Arial"/>
                <w:i/>
                <w:color w:val="173E49"/>
                <w:szCs w:val="22"/>
              </w:rPr>
            </w:pPr>
            <w:r w:rsidRPr="00B40A7C">
              <w:rPr>
                <w:rFonts w:cs="Arial"/>
                <w:b/>
                <w:szCs w:val="22"/>
              </w:rPr>
              <w:t>Objective 5: To strengthen governance and health information management for improved health service delivery:</w:t>
            </w:r>
            <w:r w:rsidRPr="00B40A7C">
              <w:rPr>
                <w:rFonts w:cs="Arial"/>
                <w:szCs w:val="22"/>
              </w:rPr>
              <w:t xml:space="preserve"> This will address issues pertaining to improving data quality to enhance evidence-based decision making, effective resource allocation and management. This objective will strengthen the health system and contribute indirectly to the attainment of all targeted immunisation </w:t>
            </w:r>
            <w:r w:rsidRPr="00B40A7C">
              <w:rPr>
                <w:rFonts w:cs="Arial"/>
                <w:szCs w:val="22"/>
              </w:rPr>
              <w:lastRenderedPageBreak/>
              <w:t>outcomes.</w:t>
            </w:r>
          </w:p>
        </w:tc>
      </w:tr>
    </w:tbl>
    <w:p w:rsidR="00052899" w:rsidRPr="00B40A7C" w:rsidRDefault="00052899" w:rsidP="00052899">
      <w:pPr>
        <w:rPr>
          <w:vanish/>
          <w:szCs w:val="22"/>
        </w:rPr>
      </w:pPr>
    </w:p>
    <w:tbl>
      <w:tblPr>
        <w:tblpPr w:leftFromText="180" w:rightFromText="180" w:vertAnchor="text" w:horzAnchor="margin" w:tblpY="-191"/>
        <w:tblW w:w="1034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4878"/>
        <w:gridCol w:w="5470"/>
      </w:tblGrid>
      <w:tr w:rsidR="00052899" w:rsidRPr="00B40A7C">
        <w:tc>
          <w:tcPr>
            <w:tcW w:w="10348" w:type="dxa"/>
            <w:gridSpan w:val="2"/>
            <w:tcBorders>
              <w:bottom w:val="single" w:sz="6" w:space="0" w:color="215868"/>
            </w:tcBorders>
            <w:shd w:val="clear" w:color="auto" w:fill="006460"/>
          </w:tcPr>
          <w:p w:rsidR="00052899" w:rsidRDefault="00052899" w:rsidP="00052899">
            <w:pPr>
              <w:pStyle w:val="Heading1"/>
              <w:rPr>
                <w:rFonts w:cs="Arial"/>
                <w:szCs w:val="22"/>
              </w:rPr>
            </w:pPr>
            <w:bookmarkStart w:id="628" w:name="_Toc377545400"/>
            <w:bookmarkStart w:id="629" w:name="_Toc377026213"/>
            <w:r w:rsidRPr="00291E76">
              <w:lastRenderedPageBreak/>
              <w:t>12. DESCRIPTION OF ACTIVITIES</w:t>
            </w:r>
            <w:bookmarkEnd w:id="628"/>
            <w:r w:rsidRPr="00B40A7C">
              <w:rPr>
                <w:rFonts w:cs="Arial"/>
                <w:szCs w:val="22"/>
              </w:rPr>
              <w:t xml:space="preserve">  </w:t>
            </w:r>
            <w:bookmarkEnd w:id="629"/>
          </w:p>
        </w:tc>
      </w:tr>
      <w:tr w:rsidR="00052899" w:rsidRPr="00B40A7C">
        <w:trPr>
          <w:trHeight w:val="505"/>
        </w:trPr>
        <w:tc>
          <w:tcPr>
            <w:tcW w:w="4878" w:type="dxa"/>
            <w:shd w:val="clear" w:color="auto" w:fill="FFFFFF"/>
          </w:tcPr>
          <w:p w:rsidR="00052899" w:rsidRPr="00B40A7C" w:rsidRDefault="00052899" w:rsidP="00052899">
            <w:pPr>
              <w:spacing w:before="120" w:after="120"/>
              <w:jc w:val="both"/>
              <w:rPr>
                <w:rFonts w:cs="Arial"/>
                <w:b/>
                <w:szCs w:val="22"/>
              </w:rPr>
            </w:pPr>
            <w:r w:rsidRPr="00B40A7C">
              <w:rPr>
                <w:rFonts w:cs="Arial"/>
                <w:b/>
                <w:szCs w:val="22"/>
              </w:rPr>
              <w:t>Objective / Activity</w:t>
            </w:r>
          </w:p>
        </w:tc>
        <w:tc>
          <w:tcPr>
            <w:tcW w:w="5470" w:type="dxa"/>
            <w:shd w:val="clear" w:color="auto" w:fill="FFFFFF"/>
          </w:tcPr>
          <w:p w:rsidR="00052899" w:rsidRPr="00B40A7C" w:rsidRDefault="00052899" w:rsidP="00052899">
            <w:pPr>
              <w:spacing w:before="120" w:after="120"/>
              <w:jc w:val="both"/>
              <w:rPr>
                <w:rFonts w:cs="Arial"/>
                <w:b/>
                <w:szCs w:val="22"/>
              </w:rPr>
            </w:pPr>
            <w:r w:rsidRPr="00B40A7C">
              <w:rPr>
                <w:rFonts w:cs="Arial"/>
                <w:b/>
                <w:szCs w:val="22"/>
              </w:rPr>
              <w:t>Explanation of link to improving immunisation outcomes</w:t>
            </w:r>
          </w:p>
        </w:tc>
      </w:tr>
      <w:tr w:rsidR="00052899" w:rsidRPr="00B40A7C">
        <w:trPr>
          <w:trHeight w:val="411"/>
        </w:trPr>
        <w:tc>
          <w:tcPr>
            <w:tcW w:w="10348" w:type="dxa"/>
            <w:gridSpan w:val="2"/>
            <w:shd w:val="clear" w:color="auto" w:fill="D9D9D9"/>
          </w:tcPr>
          <w:p w:rsidR="00052899" w:rsidRDefault="00052899">
            <w:pPr>
              <w:jc w:val="both"/>
              <w:rPr>
                <w:rFonts w:cs="Arial"/>
                <w:szCs w:val="22"/>
              </w:rPr>
            </w:pPr>
            <w:r w:rsidRPr="00B40A7C">
              <w:rPr>
                <w:rFonts w:cs="Arial"/>
                <w:b/>
                <w:szCs w:val="22"/>
              </w:rPr>
              <w:t xml:space="preserve">Objective 1: </w:t>
            </w:r>
            <w:r w:rsidRPr="00B40A7C">
              <w:rPr>
                <w:rFonts w:cs="Arial"/>
                <w:szCs w:val="22"/>
              </w:rPr>
              <w:t xml:space="preserve">To strengthen and scale-up community health interventions aimed at improving the quality of primary health care services  </w:t>
            </w:r>
          </w:p>
        </w:tc>
      </w:tr>
      <w:tr w:rsidR="00052899" w:rsidRPr="00B40A7C">
        <w:tc>
          <w:tcPr>
            <w:tcW w:w="4878"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1.1 Procure needed logistics and improve transport capacity to support service delivery</w:t>
            </w:r>
          </w:p>
        </w:tc>
        <w:tc>
          <w:tcPr>
            <w:tcW w:w="5470"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This activity will ensure availability of essential logistics for immunisation services.</w:t>
            </w:r>
          </w:p>
        </w:tc>
      </w:tr>
      <w:tr w:rsidR="00052899" w:rsidRPr="00B40A7C">
        <w:tc>
          <w:tcPr>
            <w:tcW w:w="4878"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1.2 Strengthen capacity and provide  resources needed to undertake outreach services at the district and sub district levels</w:t>
            </w:r>
          </w:p>
        </w:tc>
        <w:tc>
          <w:tcPr>
            <w:tcW w:w="5470"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This activity will improve access and utilisation of immunisation services.</w:t>
            </w:r>
          </w:p>
        </w:tc>
      </w:tr>
      <w:tr w:rsidR="00052899" w:rsidRPr="00B40A7C">
        <w:tc>
          <w:tcPr>
            <w:tcW w:w="4878"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1.3 Support National, Regional, Districts and Sub District team Supervision and monitoring</w:t>
            </w:r>
          </w:p>
        </w:tc>
        <w:tc>
          <w:tcPr>
            <w:tcW w:w="5470"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This will ensure quality of immunisation services.</w:t>
            </w:r>
          </w:p>
        </w:tc>
      </w:tr>
      <w:tr w:rsidR="00052899" w:rsidRPr="00B40A7C">
        <w:tc>
          <w:tcPr>
            <w:tcW w:w="4878" w:type="dxa"/>
            <w:shd w:val="clear" w:color="auto" w:fill="FFFFFF"/>
          </w:tcPr>
          <w:p w:rsidR="00052899" w:rsidRPr="00B40A7C" w:rsidRDefault="00052899" w:rsidP="00052899">
            <w:pPr>
              <w:spacing w:before="120" w:after="120"/>
              <w:jc w:val="both"/>
              <w:rPr>
                <w:rFonts w:cs="Arial"/>
                <w:i/>
                <w:szCs w:val="22"/>
              </w:rPr>
            </w:pPr>
            <w:r w:rsidRPr="00B40A7C">
              <w:rPr>
                <w:rFonts w:cs="Arial"/>
                <w:szCs w:val="22"/>
              </w:rPr>
              <w:t>1.4</w:t>
            </w:r>
            <w:r>
              <w:rPr>
                <w:rFonts w:cs="Arial"/>
                <w:szCs w:val="22"/>
              </w:rPr>
              <w:t xml:space="preserve"> </w:t>
            </w:r>
            <w:r w:rsidRPr="00B40A7C">
              <w:rPr>
                <w:rFonts w:cs="Arial"/>
                <w:szCs w:val="22"/>
              </w:rPr>
              <w:t>Construct and renovate cold chain infrastructure and equipment:</w:t>
            </w:r>
          </w:p>
        </w:tc>
        <w:tc>
          <w:tcPr>
            <w:tcW w:w="5470"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This will improve availability and quality of immunisation services.</w:t>
            </w:r>
          </w:p>
        </w:tc>
      </w:tr>
      <w:tr w:rsidR="00052899" w:rsidRPr="00B40A7C">
        <w:tc>
          <w:tcPr>
            <w:tcW w:w="4878" w:type="dxa"/>
            <w:shd w:val="clear" w:color="auto" w:fill="FFFFFF"/>
          </w:tcPr>
          <w:p w:rsidR="00052899" w:rsidRPr="00B40A7C" w:rsidRDefault="00052899" w:rsidP="00052899">
            <w:pPr>
              <w:spacing w:before="120" w:after="120"/>
              <w:jc w:val="both"/>
              <w:rPr>
                <w:rFonts w:cs="Arial"/>
                <w:i/>
                <w:szCs w:val="22"/>
              </w:rPr>
            </w:pPr>
            <w:r w:rsidRPr="00B40A7C">
              <w:rPr>
                <w:rFonts w:cs="Arial"/>
                <w:szCs w:val="22"/>
              </w:rPr>
              <w:t>1.5</w:t>
            </w:r>
            <w:r>
              <w:rPr>
                <w:rFonts w:cs="Arial"/>
                <w:szCs w:val="22"/>
              </w:rPr>
              <w:t xml:space="preserve"> </w:t>
            </w:r>
            <w:r w:rsidRPr="00B40A7C">
              <w:rPr>
                <w:rFonts w:cs="Arial"/>
                <w:szCs w:val="22"/>
              </w:rPr>
              <w:t>Train CHMCs and CHVs for CHPS implementation including routine immunisation services, Middle Level Managers (MLM) for EPI staff, EPI equipment Technicians, Waste Management focal persons, Cold Chain and logistics Management and quality assurance</w:t>
            </w:r>
          </w:p>
        </w:tc>
        <w:tc>
          <w:tcPr>
            <w:tcW w:w="5470"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This activity will improve access, availability and quality of immunisation services.</w:t>
            </w:r>
          </w:p>
        </w:tc>
      </w:tr>
      <w:tr w:rsidR="00052899" w:rsidRPr="00B40A7C">
        <w:trPr>
          <w:trHeight w:val="274"/>
        </w:trPr>
        <w:tc>
          <w:tcPr>
            <w:tcW w:w="10348" w:type="dxa"/>
            <w:gridSpan w:val="2"/>
            <w:shd w:val="clear" w:color="auto" w:fill="D9D9D9"/>
          </w:tcPr>
          <w:p w:rsidR="00052899" w:rsidRPr="00B40A7C" w:rsidRDefault="00052899" w:rsidP="00052899">
            <w:pPr>
              <w:jc w:val="both"/>
              <w:rPr>
                <w:rFonts w:cs="Arial"/>
                <w:szCs w:val="22"/>
              </w:rPr>
            </w:pPr>
            <w:r w:rsidRPr="00B40A7C">
              <w:rPr>
                <w:rFonts w:cs="Arial"/>
                <w:b/>
                <w:szCs w:val="22"/>
              </w:rPr>
              <w:t xml:space="preserve">Objective </w:t>
            </w:r>
            <w:r w:rsidRPr="00B40A7C">
              <w:rPr>
                <w:rFonts w:cs="Arial"/>
                <w:szCs w:val="22"/>
              </w:rPr>
              <w:t>2. To strengthen health worker capacity and distribution so as</w:t>
            </w:r>
            <w:r>
              <w:rPr>
                <w:rFonts w:cs="Arial"/>
                <w:szCs w:val="22"/>
              </w:rPr>
              <w:t xml:space="preserve"> to</w:t>
            </w:r>
            <w:r w:rsidRPr="00B40A7C">
              <w:rPr>
                <w:rFonts w:cs="Arial"/>
                <w:szCs w:val="22"/>
              </w:rPr>
              <w:t xml:space="preserve"> address equity issues in districts levels. (Workforce and Human Resources)</w:t>
            </w:r>
          </w:p>
        </w:tc>
      </w:tr>
      <w:tr w:rsidR="00052899" w:rsidRPr="00B40A7C">
        <w:tc>
          <w:tcPr>
            <w:tcW w:w="4878" w:type="dxa"/>
            <w:shd w:val="clear" w:color="auto" w:fill="FFFFFF"/>
          </w:tcPr>
          <w:p w:rsidR="00000000" w:rsidRDefault="00052899">
            <w:pPr>
              <w:spacing w:before="120" w:after="120"/>
              <w:jc w:val="both"/>
              <w:rPr>
                <w:rFonts w:cs="Arial"/>
                <w:szCs w:val="22"/>
              </w:rPr>
            </w:pPr>
            <w:r w:rsidRPr="00B40A7C">
              <w:rPr>
                <w:rFonts w:cs="Arial"/>
                <w:szCs w:val="22"/>
              </w:rPr>
              <w:t>2.1</w:t>
            </w:r>
            <w:r w:rsidR="005D1D35">
              <w:rPr>
                <w:rFonts w:cs="Arial"/>
                <w:szCs w:val="22"/>
              </w:rPr>
              <w:t xml:space="preserve"> </w:t>
            </w:r>
            <w:r w:rsidR="00B97BDB" w:rsidRPr="00B97BDB">
              <w:rPr>
                <w:rFonts w:cs="Arial"/>
                <w:szCs w:val="22"/>
              </w:rPr>
              <w:t>Develop HR productivity measuring framework/tools</w:t>
            </w:r>
          </w:p>
          <w:p w:rsidR="00052899" w:rsidRPr="00B0599A" w:rsidRDefault="00595673" w:rsidP="00052899">
            <w:pPr>
              <w:spacing w:before="120" w:after="120"/>
              <w:jc w:val="both"/>
              <w:rPr>
                <w:rFonts w:eastAsia="Arial Unicode MS"/>
                <w:color w:val="000000"/>
                <w:u w:color="000000"/>
              </w:rPr>
            </w:pPr>
            <w:r>
              <w:rPr>
                <w:rFonts w:cs="Arial"/>
                <w:szCs w:val="22"/>
              </w:rPr>
              <w:t>2.2 Train CHOs and SDHMTs in Management</w:t>
            </w:r>
          </w:p>
        </w:tc>
        <w:tc>
          <w:tcPr>
            <w:tcW w:w="5470" w:type="dxa"/>
            <w:shd w:val="clear" w:color="auto" w:fill="FFFFFF"/>
          </w:tcPr>
          <w:p w:rsidR="00000000" w:rsidRDefault="00052899">
            <w:pPr>
              <w:spacing w:before="120" w:after="120"/>
              <w:jc w:val="both"/>
              <w:rPr>
                <w:rFonts w:cs="Arial"/>
                <w:szCs w:val="22"/>
              </w:rPr>
            </w:pPr>
            <w:r w:rsidRPr="009E3797">
              <w:rPr>
                <w:rFonts w:cs="Arial"/>
                <w:szCs w:val="22"/>
              </w:rPr>
              <w:t>This activity will address</w:t>
            </w:r>
            <w:r w:rsidR="00B0599A">
              <w:rPr>
                <w:rFonts w:cs="Arial"/>
                <w:szCs w:val="22"/>
              </w:rPr>
              <w:t xml:space="preserve"> management capacity needs as well as the instrument to determine productivity, hence, affecting service delivery positively</w:t>
            </w:r>
          </w:p>
        </w:tc>
      </w:tr>
      <w:tr w:rsidR="00052899" w:rsidRPr="00B40A7C">
        <w:tc>
          <w:tcPr>
            <w:tcW w:w="4878"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2.2 Scale-up Management capacity building at district and sub district levels</w:t>
            </w:r>
          </w:p>
        </w:tc>
        <w:tc>
          <w:tcPr>
            <w:tcW w:w="5470"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This activity will ensure the quality of immunisation services.</w:t>
            </w:r>
          </w:p>
        </w:tc>
      </w:tr>
      <w:tr w:rsidR="00052899" w:rsidRPr="00B40A7C">
        <w:tc>
          <w:tcPr>
            <w:tcW w:w="10348" w:type="dxa"/>
            <w:gridSpan w:val="2"/>
            <w:shd w:val="clear" w:color="auto" w:fill="D9D9D9"/>
          </w:tcPr>
          <w:p w:rsidR="00052899" w:rsidRPr="00B40A7C" w:rsidRDefault="00052899" w:rsidP="00052899">
            <w:pPr>
              <w:jc w:val="both"/>
              <w:rPr>
                <w:rFonts w:cs="Arial"/>
                <w:szCs w:val="22"/>
              </w:rPr>
            </w:pPr>
            <w:r w:rsidRPr="00B40A7C">
              <w:rPr>
                <w:rFonts w:cs="Arial"/>
                <w:b/>
                <w:szCs w:val="22"/>
              </w:rPr>
              <w:t xml:space="preserve">Objective </w:t>
            </w:r>
            <w:r w:rsidRPr="00B40A7C">
              <w:rPr>
                <w:rFonts w:cs="Arial"/>
                <w:szCs w:val="22"/>
              </w:rPr>
              <w:t>3. To improve storage, distribution and management of logistics and ensure the availability of potent, quality and safe vaccines, medicines and devices</w:t>
            </w:r>
          </w:p>
        </w:tc>
      </w:tr>
      <w:tr w:rsidR="00052899" w:rsidRPr="00B40A7C">
        <w:tc>
          <w:tcPr>
            <w:tcW w:w="4878"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 xml:space="preserve">3.1  Reorganise the national and district stores to improve logistics management </w:t>
            </w:r>
          </w:p>
        </w:tc>
        <w:tc>
          <w:tcPr>
            <w:tcW w:w="5470" w:type="dxa"/>
            <w:vMerge w:val="restart"/>
            <w:shd w:val="clear" w:color="auto" w:fill="FFFFFF"/>
          </w:tcPr>
          <w:p w:rsidR="00052899" w:rsidRPr="00B40A7C" w:rsidRDefault="00052899" w:rsidP="00052899">
            <w:pPr>
              <w:spacing w:before="120" w:after="120"/>
              <w:jc w:val="both"/>
              <w:rPr>
                <w:rFonts w:cs="Arial"/>
                <w:szCs w:val="22"/>
              </w:rPr>
            </w:pPr>
          </w:p>
          <w:p w:rsidR="00052899" w:rsidRPr="00B40A7C" w:rsidRDefault="00052899" w:rsidP="00052899">
            <w:pPr>
              <w:spacing w:before="120" w:after="120"/>
              <w:jc w:val="both"/>
              <w:rPr>
                <w:rFonts w:cs="Arial"/>
                <w:szCs w:val="22"/>
              </w:rPr>
            </w:pPr>
          </w:p>
          <w:p w:rsidR="00052899" w:rsidRPr="00B40A7C" w:rsidRDefault="00052899" w:rsidP="00052899">
            <w:pPr>
              <w:spacing w:before="120" w:after="120"/>
              <w:jc w:val="both"/>
              <w:rPr>
                <w:rFonts w:cs="Arial"/>
                <w:szCs w:val="22"/>
              </w:rPr>
            </w:pPr>
            <w:r w:rsidRPr="00B40A7C">
              <w:rPr>
                <w:rFonts w:cs="Arial"/>
                <w:szCs w:val="22"/>
              </w:rPr>
              <w:t>This will ensure the availability of quality and essential logistics for immunisation services.</w:t>
            </w:r>
          </w:p>
        </w:tc>
      </w:tr>
      <w:tr w:rsidR="00052899" w:rsidRPr="00B40A7C">
        <w:tc>
          <w:tcPr>
            <w:tcW w:w="4878"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3.2 Build capacity, support and monitor procurements at district and sub district levels</w:t>
            </w:r>
          </w:p>
        </w:tc>
        <w:tc>
          <w:tcPr>
            <w:tcW w:w="5470" w:type="dxa"/>
            <w:vMerge/>
            <w:shd w:val="clear" w:color="auto" w:fill="FFFFFF"/>
          </w:tcPr>
          <w:p w:rsidR="00052899" w:rsidRPr="00B40A7C" w:rsidRDefault="00052899" w:rsidP="00052899">
            <w:pPr>
              <w:spacing w:before="120" w:after="120"/>
              <w:jc w:val="both"/>
              <w:rPr>
                <w:rFonts w:cs="Arial"/>
                <w:szCs w:val="22"/>
              </w:rPr>
            </w:pPr>
          </w:p>
        </w:tc>
      </w:tr>
      <w:tr w:rsidR="00052899" w:rsidRPr="00B40A7C">
        <w:trPr>
          <w:trHeight w:val="1120"/>
        </w:trPr>
        <w:tc>
          <w:tcPr>
            <w:tcW w:w="4878"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lastRenderedPageBreak/>
              <w:t>3.3 Improve the use of the central logistics management information system at regional medical stores and expand to regional and district hospitals to respond to demand</w:t>
            </w:r>
          </w:p>
        </w:tc>
        <w:tc>
          <w:tcPr>
            <w:tcW w:w="5470" w:type="dxa"/>
            <w:vMerge/>
            <w:shd w:val="clear" w:color="auto" w:fill="FFFFFF"/>
          </w:tcPr>
          <w:p w:rsidR="00052899" w:rsidRPr="00B40A7C" w:rsidRDefault="00052899" w:rsidP="00052899">
            <w:pPr>
              <w:spacing w:before="120" w:after="120"/>
              <w:jc w:val="both"/>
              <w:rPr>
                <w:rFonts w:cs="Arial"/>
                <w:szCs w:val="22"/>
              </w:rPr>
            </w:pPr>
          </w:p>
        </w:tc>
      </w:tr>
      <w:tr w:rsidR="00052899" w:rsidRPr="00B40A7C">
        <w:tc>
          <w:tcPr>
            <w:tcW w:w="4878"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3.4 Rehabilitation of Regional Medical Stores in Volta and Northern Region</w:t>
            </w:r>
          </w:p>
        </w:tc>
        <w:tc>
          <w:tcPr>
            <w:tcW w:w="5470"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This activity will exp</w:t>
            </w:r>
            <w:r>
              <w:rPr>
                <w:rFonts w:cs="Arial"/>
                <w:szCs w:val="22"/>
              </w:rPr>
              <w:t>a</w:t>
            </w:r>
            <w:r w:rsidRPr="00B40A7C">
              <w:rPr>
                <w:rFonts w:cs="Arial"/>
                <w:szCs w:val="22"/>
              </w:rPr>
              <w:t>nd storage capacity for effective logistic management for immunisation services.</w:t>
            </w:r>
          </w:p>
        </w:tc>
      </w:tr>
      <w:tr w:rsidR="00052899" w:rsidRPr="00B40A7C">
        <w:tc>
          <w:tcPr>
            <w:tcW w:w="10348" w:type="dxa"/>
            <w:gridSpan w:val="2"/>
            <w:shd w:val="clear" w:color="auto" w:fill="D9D9D9"/>
          </w:tcPr>
          <w:p w:rsidR="00052899" w:rsidRPr="00B40A7C" w:rsidRDefault="00052899" w:rsidP="00052899">
            <w:pPr>
              <w:jc w:val="both"/>
              <w:rPr>
                <w:rFonts w:cs="Arial"/>
                <w:szCs w:val="22"/>
              </w:rPr>
            </w:pPr>
            <w:r w:rsidRPr="00B40A7C">
              <w:rPr>
                <w:rFonts w:cs="Arial"/>
                <w:szCs w:val="22"/>
              </w:rPr>
              <w:t xml:space="preserve">Objective 4: To empower civil society for increased demand for health services at the community  </w:t>
            </w:r>
          </w:p>
        </w:tc>
      </w:tr>
      <w:tr w:rsidR="00052899" w:rsidRPr="00B40A7C">
        <w:tc>
          <w:tcPr>
            <w:tcW w:w="4878"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4.1  Strengthen the national level (GCNH)  to coordinate CSOs activities in health</w:t>
            </w:r>
          </w:p>
        </w:tc>
        <w:tc>
          <w:tcPr>
            <w:tcW w:w="5470"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This activity will ensure effective coordination of CSO activities for immunisation services.</w:t>
            </w:r>
          </w:p>
        </w:tc>
      </w:tr>
      <w:tr w:rsidR="00052899" w:rsidRPr="00B40A7C">
        <w:tc>
          <w:tcPr>
            <w:tcW w:w="4878"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4.2  Develop capacity of CSOs to better support community level services, including mainstreaming gender (Male involvement)</w:t>
            </w:r>
          </w:p>
        </w:tc>
        <w:tc>
          <w:tcPr>
            <w:tcW w:w="5470"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This activity will promote community engagement and male involvement in immunisation services.</w:t>
            </w:r>
          </w:p>
        </w:tc>
      </w:tr>
      <w:tr w:rsidR="00052899" w:rsidRPr="00B40A7C">
        <w:tc>
          <w:tcPr>
            <w:tcW w:w="4878"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4.3 Establish and build the capacities of five satellite sites for CSOs to support community service delivery</w:t>
            </w:r>
          </w:p>
        </w:tc>
        <w:tc>
          <w:tcPr>
            <w:tcW w:w="5470"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This will improve demand creation for immunisation services.</w:t>
            </w:r>
          </w:p>
        </w:tc>
      </w:tr>
      <w:tr w:rsidR="00052899" w:rsidRPr="00B40A7C">
        <w:tc>
          <w:tcPr>
            <w:tcW w:w="4878"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4.4  Recruit/train retired Community Health Nurses and Midwives to partner CSOs to operate in the establish</w:t>
            </w:r>
            <w:r>
              <w:rPr>
                <w:rFonts w:cs="Arial"/>
                <w:szCs w:val="22"/>
              </w:rPr>
              <w:t>ed</w:t>
            </w:r>
            <w:r w:rsidRPr="00B40A7C">
              <w:rPr>
                <w:rFonts w:cs="Arial"/>
                <w:szCs w:val="22"/>
              </w:rPr>
              <w:t xml:space="preserve"> satellite sites in hard  to  reach communities</w:t>
            </w:r>
          </w:p>
        </w:tc>
        <w:tc>
          <w:tcPr>
            <w:tcW w:w="5470" w:type="dxa"/>
            <w:vMerge w:val="restart"/>
            <w:shd w:val="clear" w:color="auto" w:fill="FFFFFF"/>
          </w:tcPr>
          <w:p w:rsidR="00052899" w:rsidRPr="00B40A7C" w:rsidRDefault="00052899" w:rsidP="00052899">
            <w:pPr>
              <w:spacing w:before="120" w:after="120"/>
              <w:jc w:val="both"/>
              <w:rPr>
                <w:rFonts w:cs="Arial"/>
                <w:b/>
                <w:bCs/>
                <w:color w:val="4F81BD"/>
                <w:szCs w:val="22"/>
              </w:rPr>
            </w:pPr>
          </w:p>
          <w:p w:rsidR="00052899" w:rsidRPr="00B40A7C" w:rsidRDefault="00052899" w:rsidP="00052899">
            <w:pPr>
              <w:spacing w:before="120" w:after="120"/>
              <w:jc w:val="both"/>
              <w:rPr>
                <w:rFonts w:cs="Arial"/>
                <w:b/>
                <w:bCs/>
                <w:color w:val="4F81BD"/>
                <w:szCs w:val="22"/>
              </w:rPr>
            </w:pPr>
          </w:p>
          <w:p w:rsidR="00052899" w:rsidRPr="00B40A7C" w:rsidRDefault="00052899" w:rsidP="00052899">
            <w:pPr>
              <w:spacing w:before="120" w:after="120"/>
              <w:jc w:val="both"/>
              <w:rPr>
                <w:rFonts w:cs="Arial"/>
                <w:szCs w:val="22"/>
              </w:rPr>
            </w:pPr>
            <w:r w:rsidRPr="00B40A7C">
              <w:rPr>
                <w:rFonts w:cs="Arial"/>
                <w:szCs w:val="22"/>
              </w:rPr>
              <w:t>This will improve collaboration among CSOs, health service providers and communities for immunisation services.</w:t>
            </w:r>
          </w:p>
        </w:tc>
      </w:tr>
      <w:tr w:rsidR="00052899" w:rsidRPr="00B40A7C">
        <w:tc>
          <w:tcPr>
            <w:tcW w:w="4878"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4.5  Undertake community outreach activities  in partnership with DHMTs and  retired Midwives in  hard-to- reach communities in the selected 20 districts</w:t>
            </w:r>
            <w:r w:rsidR="00EF63AF">
              <w:rPr>
                <w:rFonts w:cs="Arial"/>
                <w:szCs w:val="22"/>
              </w:rPr>
              <w:t xml:space="preserve"> (See annex 3 for list of selected districts</w:t>
            </w:r>
            <w:r w:rsidR="006052EB">
              <w:rPr>
                <w:rFonts w:cs="Arial"/>
                <w:szCs w:val="22"/>
              </w:rPr>
              <w:t xml:space="preserve"> by CSOs).</w:t>
            </w:r>
          </w:p>
        </w:tc>
        <w:tc>
          <w:tcPr>
            <w:tcW w:w="5470" w:type="dxa"/>
            <w:vMerge/>
            <w:shd w:val="clear" w:color="auto" w:fill="FFFFFF"/>
          </w:tcPr>
          <w:p w:rsidR="00052899" w:rsidRPr="00B40A7C" w:rsidRDefault="00052899" w:rsidP="00052899">
            <w:pPr>
              <w:spacing w:before="120" w:after="120"/>
              <w:jc w:val="both"/>
              <w:rPr>
                <w:rFonts w:cs="Arial"/>
                <w:szCs w:val="22"/>
              </w:rPr>
            </w:pPr>
          </w:p>
        </w:tc>
      </w:tr>
      <w:tr w:rsidR="00052899" w:rsidRPr="00B40A7C">
        <w:tc>
          <w:tcPr>
            <w:tcW w:w="10348" w:type="dxa"/>
            <w:gridSpan w:val="2"/>
            <w:shd w:val="clear" w:color="auto" w:fill="D9D9D9"/>
          </w:tcPr>
          <w:p w:rsidR="00052899" w:rsidRPr="00B40A7C" w:rsidRDefault="00052899" w:rsidP="00052899">
            <w:pPr>
              <w:jc w:val="both"/>
              <w:rPr>
                <w:rFonts w:cs="Arial"/>
                <w:szCs w:val="22"/>
              </w:rPr>
            </w:pPr>
            <w:r w:rsidRPr="00B40A7C">
              <w:rPr>
                <w:rFonts w:cs="Arial"/>
                <w:szCs w:val="22"/>
              </w:rPr>
              <w:t>Objective 5: To strengthen governance and health information management for improved health service delivery</w:t>
            </w:r>
          </w:p>
        </w:tc>
      </w:tr>
      <w:tr w:rsidR="00052899" w:rsidRPr="00B40A7C">
        <w:tc>
          <w:tcPr>
            <w:tcW w:w="4878"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 xml:space="preserve">5.1 Upgrade management information system (DHIMS, FMIS and LMIS)   </w:t>
            </w:r>
          </w:p>
        </w:tc>
        <w:tc>
          <w:tcPr>
            <w:tcW w:w="5470"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This will harmonize the existing tools to ensure standardization in reporting of immunisation data.</w:t>
            </w:r>
          </w:p>
        </w:tc>
      </w:tr>
      <w:tr w:rsidR="00052899" w:rsidRPr="00B40A7C">
        <w:trPr>
          <w:trHeight w:val="1101"/>
        </w:trPr>
        <w:tc>
          <w:tcPr>
            <w:tcW w:w="4878"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5.2 Build the capacity of health information officers  and CHOs and undertake quarterly technical and financial data validation at district and sub-district levels</w:t>
            </w:r>
          </w:p>
        </w:tc>
        <w:tc>
          <w:tcPr>
            <w:tcW w:w="5470" w:type="dxa"/>
            <w:vMerge w:val="restart"/>
            <w:shd w:val="clear" w:color="auto" w:fill="FFFFFF"/>
          </w:tcPr>
          <w:p w:rsidR="00052899" w:rsidRPr="00B40A7C" w:rsidRDefault="00052899" w:rsidP="00052899">
            <w:pPr>
              <w:spacing w:before="120" w:after="120"/>
              <w:jc w:val="both"/>
              <w:rPr>
                <w:rFonts w:cs="Arial"/>
                <w:szCs w:val="22"/>
              </w:rPr>
            </w:pPr>
          </w:p>
          <w:p w:rsidR="00052899" w:rsidRPr="00B40A7C" w:rsidRDefault="00052899" w:rsidP="00052899">
            <w:pPr>
              <w:spacing w:before="120" w:after="120"/>
              <w:jc w:val="both"/>
              <w:rPr>
                <w:rFonts w:cs="Arial"/>
                <w:szCs w:val="22"/>
              </w:rPr>
            </w:pPr>
          </w:p>
          <w:p w:rsidR="00052899" w:rsidRPr="00B40A7C" w:rsidRDefault="00052899" w:rsidP="00052899">
            <w:pPr>
              <w:spacing w:before="120" w:after="120"/>
              <w:jc w:val="both"/>
              <w:rPr>
                <w:rFonts w:cs="Arial"/>
                <w:szCs w:val="22"/>
              </w:rPr>
            </w:pPr>
          </w:p>
          <w:p w:rsidR="00052899" w:rsidRPr="00B40A7C" w:rsidRDefault="00052899" w:rsidP="00052899">
            <w:pPr>
              <w:spacing w:before="120" w:after="120"/>
              <w:jc w:val="both"/>
              <w:rPr>
                <w:rFonts w:cs="Arial"/>
                <w:szCs w:val="22"/>
              </w:rPr>
            </w:pPr>
            <w:r w:rsidRPr="00B40A7C">
              <w:rPr>
                <w:rFonts w:cs="Arial"/>
                <w:szCs w:val="22"/>
              </w:rPr>
              <w:t xml:space="preserve">This will ensure </w:t>
            </w:r>
            <w:r>
              <w:rPr>
                <w:rFonts w:cs="Arial"/>
                <w:szCs w:val="22"/>
              </w:rPr>
              <w:t xml:space="preserve">effective implementation and enhance </w:t>
            </w:r>
            <w:r w:rsidRPr="00B40A7C">
              <w:rPr>
                <w:rFonts w:cs="Arial"/>
                <w:szCs w:val="22"/>
              </w:rPr>
              <w:t>data quality and timely reporting of immunisation data.</w:t>
            </w:r>
          </w:p>
        </w:tc>
      </w:tr>
      <w:tr w:rsidR="00052899" w:rsidRPr="00B40A7C">
        <w:trPr>
          <w:trHeight w:val="912"/>
        </w:trPr>
        <w:tc>
          <w:tcPr>
            <w:tcW w:w="4878"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5.3 Improve capacity of sub-district and CHPS Zones staff in micro-planning and develop micro-plans at these levels</w:t>
            </w:r>
          </w:p>
        </w:tc>
        <w:tc>
          <w:tcPr>
            <w:tcW w:w="5470" w:type="dxa"/>
            <w:vMerge/>
            <w:shd w:val="clear" w:color="auto" w:fill="FFFFFF"/>
          </w:tcPr>
          <w:p w:rsidR="00052899" w:rsidRPr="00B40A7C" w:rsidRDefault="00052899" w:rsidP="00052899">
            <w:pPr>
              <w:spacing w:before="120" w:after="120"/>
              <w:jc w:val="both"/>
              <w:rPr>
                <w:rFonts w:cs="Arial"/>
                <w:szCs w:val="22"/>
              </w:rPr>
            </w:pPr>
          </w:p>
        </w:tc>
      </w:tr>
      <w:tr w:rsidR="00052899" w:rsidRPr="00B40A7C">
        <w:tc>
          <w:tcPr>
            <w:tcW w:w="4878"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 xml:space="preserve">5.4 Support the development of health accounts and  joint annual performance review  </w:t>
            </w:r>
          </w:p>
        </w:tc>
        <w:tc>
          <w:tcPr>
            <w:tcW w:w="5470"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This will lead to use of data for effective decision making at the at national and regional levels</w:t>
            </w:r>
          </w:p>
        </w:tc>
      </w:tr>
      <w:tr w:rsidR="00052899" w:rsidRPr="00B40A7C">
        <w:trPr>
          <w:trHeight w:val="165"/>
        </w:trPr>
        <w:tc>
          <w:tcPr>
            <w:tcW w:w="4878"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5.5  Strengthen data management and  M&amp;E systems</w:t>
            </w:r>
          </w:p>
        </w:tc>
        <w:tc>
          <w:tcPr>
            <w:tcW w:w="5470" w:type="dxa"/>
            <w:shd w:val="clear" w:color="auto" w:fill="FFFFFF"/>
          </w:tcPr>
          <w:p w:rsidR="00052899" w:rsidRPr="00B40A7C" w:rsidRDefault="00052899" w:rsidP="00052899">
            <w:pPr>
              <w:spacing w:before="120" w:after="120"/>
              <w:jc w:val="both"/>
              <w:rPr>
                <w:rFonts w:cs="Arial"/>
                <w:szCs w:val="22"/>
              </w:rPr>
            </w:pPr>
            <w:r w:rsidRPr="00B40A7C">
              <w:rPr>
                <w:rFonts w:cs="Arial"/>
                <w:szCs w:val="22"/>
              </w:rPr>
              <w:t>This will ensure effective planning, monitoring and evaluation of immunisation services.</w:t>
            </w:r>
          </w:p>
        </w:tc>
      </w:tr>
    </w:tbl>
    <w:p w:rsidR="00052899" w:rsidRPr="00B40A7C" w:rsidRDefault="00052899" w:rsidP="00052899">
      <w:pPr>
        <w:spacing w:after="200" w:line="276" w:lineRule="auto"/>
        <w:jc w:val="both"/>
        <w:rPr>
          <w:rFonts w:cs="Arial"/>
          <w:szCs w:val="22"/>
        </w:rPr>
      </w:pPr>
    </w:p>
    <w:p w:rsidR="00052899" w:rsidRPr="00B40A7C" w:rsidRDefault="00052899" w:rsidP="00052899">
      <w:pPr>
        <w:spacing w:after="200" w:line="276" w:lineRule="auto"/>
        <w:jc w:val="both"/>
        <w:rPr>
          <w:rFonts w:cs="Arial"/>
          <w:szCs w:val="22"/>
        </w:rPr>
      </w:pPr>
    </w:p>
    <w:p w:rsidR="00052899" w:rsidRPr="00B40A7C" w:rsidRDefault="00052899" w:rsidP="00052899">
      <w:pPr>
        <w:spacing w:after="200" w:line="276" w:lineRule="auto"/>
        <w:jc w:val="both"/>
        <w:rPr>
          <w:rFonts w:cs="Arial"/>
          <w:szCs w:val="22"/>
        </w:rPr>
        <w:sectPr w:rsidR="00052899" w:rsidRPr="00B40A7C">
          <w:pgSz w:w="12240" w:h="15840"/>
          <w:pgMar w:top="709" w:right="1440" w:bottom="1440" w:left="1440" w:header="708" w:footer="708" w:gutter="0"/>
          <w:cols w:space="708"/>
          <w:docGrid w:linePitch="360"/>
        </w:sectPr>
      </w:pPr>
    </w:p>
    <w:tbl>
      <w:tblPr>
        <w:tblW w:w="5000" w:type="pct"/>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251"/>
        <w:gridCol w:w="5900"/>
        <w:gridCol w:w="237"/>
        <w:gridCol w:w="3710"/>
        <w:gridCol w:w="237"/>
        <w:gridCol w:w="2596"/>
        <w:gridCol w:w="245"/>
      </w:tblGrid>
      <w:tr w:rsidR="00052899" w:rsidRPr="00CB6D59">
        <w:tc>
          <w:tcPr>
            <w:tcW w:w="5000" w:type="pct"/>
            <w:gridSpan w:val="7"/>
            <w:tcBorders>
              <w:bottom w:val="single" w:sz="6" w:space="0" w:color="215868"/>
            </w:tcBorders>
            <w:shd w:val="clear" w:color="auto" w:fill="006460"/>
          </w:tcPr>
          <w:p w:rsidR="00052899" w:rsidRPr="00CB6D59" w:rsidRDefault="00B97BDB" w:rsidP="00052899">
            <w:pPr>
              <w:pStyle w:val="Heading1"/>
              <w:rPr>
                <w:rFonts w:cs="Arial"/>
                <w:sz w:val="20"/>
              </w:rPr>
            </w:pPr>
            <w:bookmarkStart w:id="630" w:name="_Toc346116644"/>
            <w:bookmarkStart w:id="631" w:name="_Toc357677791"/>
            <w:bookmarkStart w:id="632" w:name="_Toc377545401"/>
            <w:bookmarkStart w:id="633" w:name="_Toc377026214"/>
            <w:r w:rsidRPr="00B97BDB">
              <w:rPr>
                <w:sz w:val="20"/>
              </w:rPr>
              <w:lastRenderedPageBreak/>
              <w:t>13. RESULTS CHAIN</w:t>
            </w:r>
            <w:bookmarkEnd w:id="630"/>
            <w:bookmarkEnd w:id="631"/>
            <w:bookmarkEnd w:id="632"/>
            <w:r w:rsidRPr="00B97BDB">
              <w:rPr>
                <w:rFonts w:cs="Arial"/>
                <w:sz w:val="20"/>
              </w:rPr>
              <w:tab/>
              <w:t xml:space="preserve"> </w:t>
            </w:r>
            <w:bookmarkEnd w:id="633"/>
          </w:p>
        </w:tc>
      </w:tr>
      <w:tr w:rsidR="00052899" w:rsidRPr="00CB6D59">
        <w:trPr>
          <w:trHeight w:val="663"/>
        </w:trPr>
        <w:tc>
          <w:tcPr>
            <w:tcW w:w="5000" w:type="pct"/>
            <w:gridSpan w:val="7"/>
            <w:tcBorders>
              <w:bottom w:val="single" w:sz="4" w:space="0" w:color="auto"/>
            </w:tcBorders>
            <w:shd w:val="clear" w:color="auto" w:fill="FFFFFF"/>
          </w:tcPr>
          <w:p w:rsidR="00052899" w:rsidRPr="00CB6D59" w:rsidRDefault="00B97BDB" w:rsidP="00052899">
            <w:pPr>
              <w:spacing w:after="120"/>
              <w:jc w:val="both"/>
              <w:rPr>
                <w:rFonts w:cs="Arial"/>
                <w:b/>
                <w:i/>
                <w:sz w:val="20"/>
                <w:u w:val="single"/>
              </w:rPr>
            </w:pPr>
            <w:r w:rsidRPr="00B97BDB">
              <w:rPr>
                <w:rFonts w:cs="Arial"/>
                <w:b/>
                <w:i/>
                <w:sz w:val="20"/>
                <w:u w:val="single"/>
              </w:rPr>
              <w:t>Objective 1: To strengthen and scale-up community health  interventions aimed at improving the quality of primary health care services</w:t>
            </w:r>
          </w:p>
        </w:tc>
      </w:tr>
      <w:tr w:rsidR="00052899" w:rsidRPr="00CB6D59">
        <w:trPr>
          <w:trHeight w:val="3806"/>
        </w:trPr>
        <w:tc>
          <w:tcPr>
            <w:tcW w:w="95"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60"/>
              <w:jc w:val="both"/>
              <w:rPr>
                <w:rFonts w:cs="Arial"/>
                <w:b/>
                <w:i/>
                <w:sz w:val="20"/>
              </w:rPr>
            </w:pPr>
          </w:p>
        </w:tc>
        <w:tc>
          <w:tcPr>
            <w:tcW w:w="2239" w:type="pct"/>
            <w:tcBorders>
              <w:top w:val="single" w:sz="4" w:space="0" w:color="auto"/>
              <w:left w:val="single" w:sz="4" w:space="0" w:color="auto"/>
              <w:bottom w:val="single" w:sz="4" w:space="0" w:color="auto"/>
              <w:right w:val="single" w:sz="4" w:space="0" w:color="auto"/>
            </w:tcBorders>
            <w:shd w:val="clear" w:color="auto" w:fill="EEECE1"/>
          </w:tcPr>
          <w:p w:rsidR="00000000" w:rsidRDefault="00B97BDB">
            <w:pPr>
              <w:jc w:val="both"/>
              <w:rPr>
                <w:rFonts w:cs="Arial"/>
                <w:color w:val="FF0000"/>
                <w:sz w:val="20"/>
              </w:rPr>
            </w:pPr>
            <w:r w:rsidRPr="00B97BDB">
              <w:rPr>
                <w:rFonts w:cs="Arial"/>
                <w:b/>
                <w:sz w:val="20"/>
              </w:rPr>
              <w:t>Key Activities:</w:t>
            </w:r>
          </w:p>
          <w:p w:rsidR="00052899" w:rsidRPr="00CB6D59" w:rsidRDefault="00B97BDB" w:rsidP="00052899">
            <w:pPr>
              <w:jc w:val="both"/>
              <w:rPr>
                <w:rFonts w:cs="Arial"/>
                <w:sz w:val="20"/>
              </w:rPr>
            </w:pPr>
            <w:r w:rsidRPr="00B97BDB">
              <w:rPr>
                <w:rFonts w:cs="Arial"/>
                <w:sz w:val="20"/>
              </w:rPr>
              <w:t>1.1 Procure needed logistics and improve transport capacity to support service delivery</w:t>
            </w:r>
          </w:p>
          <w:p w:rsidR="005E04C4" w:rsidRPr="00CB6D59" w:rsidRDefault="005E04C4" w:rsidP="003A0EE0">
            <w:pPr>
              <w:keepNext/>
              <w:spacing w:before="240" w:after="60"/>
              <w:jc w:val="both"/>
              <w:rPr>
                <w:rFonts w:cs="Arial"/>
                <w:color w:val="FF0000"/>
                <w:sz w:val="20"/>
              </w:rPr>
            </w:pPr>
          </w:p>
          <w:p w:rsidR="00052899" w:rsidRPr="00CB6D59" w:rsidRDefault="00B97BDB" w:rsidP="00052899">
            <w:pPr>
              <w:jc w:val="both"/>
              <w:rPr>
                <w:rFonts w:cs="Arial"/>
                <w:sz w:val="20"/>
              </w:rPr>
            </w:pPr>
            <w:r w:rsidRPr="00B97BDB">
              <w:rPr>
                <w:rFonts w:cs="Arial"/>
                <w:sz w:val="20"/>
              </w:rPr>
              <w:t>1.2 Strengthen capacity and provide  resources needed to undertake outreach services at the district and sub district levels</w:t>
            </w:r>
          </w:p>
          <w:p w:rsidR="005E04C4" w:rsidRPr="00CB6D59" w:rsidRDefault="005E04C4" w:rsidP="00052899">
            <w:pPr>
              <w:keepNext/>
              <w:spacing w:before="240" w:after="60"/>
              <w:jc w:val="both"/>
              <w:rPr>
                <w:rFonts w:cs="Arial"/>
                <w:sz w:val="20"/>
              </w:rPr>
            </w:pPr>
          </w:p>
          <w:p w:rsidR="00052899" w:rsidRPr="00CB6D59" w:rsidRDefault="00B97BDB" w:rsidP="00052899">
            <w:pPr>
              <w:jc w:val="both"/>
              <w:rPr>
                <w:rFonts w:cs="Arial"/>
                <w:sz w:val="20"/>
              </w:rPr>
            </w:pPr>
            <w:r w:rsidRPr="00B97BDB">
              <w:rPr>
                <w:rFonts w:cs="Arial"/>
                <w:sz w:val="20"/>
              </w:rPr>
              <w:t>1.3 Support National, Regional, Districts and Sub District team Supervision and monitoring</w:t>
            </w:r>
          </w:p>
          <w:p w:rsidR="00052899" w:rsidRPr="00CB6D59" w:rsidRDefault="00B97BDB" w:rsidP="00052899">
            <w:pPr>
              <w:jc w:val="both"/>
              <w:rPr>
                <w:rFonts w:cs="Arial"/>
                <w:sz w:val="20"/>
              </w:rPr>
            </w:pPr>
            <w:r w:rsidRPr="00B97BDB">
              <w:rPr>
                <w:rFonts w:cs="Arial"/>
                <w:sz w:val="20"/>
              </w:rPr>
              <w:t>1.4 Construct  and renovate cold chain infrastructure and equipment</w:t>
            </w:r>
          </w:p>
          <w:p w:rsidR="00052899" w:rsidRPr="00CB6D59" w:rsidRDefault="00B97BDB" w:rsidP="00052899">
            <w:pPr>
              <w:jc w:val="both"/>
              <w:rPr>
                <w:rFonts w:cs="Arial"/>
                <w:b/>
                <w:sz w:val="20"/>
              </w:rPr>
            </w:pPr>
            <w:r w:rsidRPr="00B97BDB">
              <w:rPr>
                <w:rFonts w:cs="Arial"/>
                <w:sz w:val="20"/>
              </w:rPr>
              <w:t>1.5 Train CHMCs and CHVs for CHPS implementation including  routine immunisation services, Middle Level Managers (MLM) for EPI staff, EPI equipment Technicians, Waste Management focal persons, Cold Chain and logistics Management and quality assurance</w:t>
            </w:r>
          </w:p>
        </w:tc>
        <w:tc>
          <w:tcPr>
            <w:tcW w:w="90"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60"/>
              <w:jc w:val="both"/>
              <w:rPr>
                <w:rFonts w:cs="Arial"/>
                <w:b/>
                <w:i/>
                <w:sz w:val="20"/>
              </w:rPr>
            </w:pPr>
          </w:p>
        </w:tc>
        <w:tc>
          <w:tcPr>
            <w:tcW w:w="1408" w:type="pct"/>
            <w:tcBorders>
              <w:top w:val="single" w:sz="4" w:space="0" w:color="auto"/>
              <w:left w:val="single" w:sz="4" w:space="0" w:color="auto"/>
              <w:bottom w:val="single" w:sz="4" w:space="0" w:color="auto"/>
              <w:right w:val="single" w:sz="4" w:space="0" w:color="auto"/>
            </w:tcBorders>
            <w:shd w:val="clear" w:color="auto" w:fill="DBE5F1"/>
          </w:tcPr>
          <w:p w:rsidR="00000000" w:rsidRDefault="00B97BDB">
            <w:pPr>
              <w:jc w:val="both"/>
              <w:rPr>
                <w:rFonts w:cs="Arial"/>
                <w:b/>
                <w:sz w:val="20"/>
              </w:rPr>
            </w:pPr>
            <w:r w:rsidRPr="00B97BDB">
              <w:rPr>
                <w:rFonts w:cs="Arial"/>
                <w:b/>
                <w:sz w:val="20"/>
              </w:rPr>
              <w:t xml:space="preserve">Outputs / Intermediate Results: </w:t>
            </w:r>
          </w:p>
          <w:p w:rsidR="00052899" w:rsidRPr="00CB6D59" w:rsidRDefault="00B97BDB" w:rsidP="00052899">
            <w:pPr>
              <w:pStyle w:val="ColorfulList-Accent11"/>
              <w:numPr>
                <w:ilvl w:val="0"/>
                <w:numId w:val="10"/>
              </w:numPr>
              <w:spacing w:after="0"/>
              <w:jc w:val="both"/>
              <w:rPr>
                <w:rFonts w:ascii="Arial" w:hAnsi="Arial" w:cs="Arial"/>
                <w:lang w:eastAsia="en-US"/>
              </w:rPr>
            </w:pPr>
            <w:r w:rsidRPr="00B97BDB">
              <w:rPr>
                <w:rFonts w:ascii="Arial" w:hAnsi="Arial" w:cs="Arial"/>
                <w:lang w:eastAsia="en-US"/>
              </w:rPr>
              <w:t xml:space="preserve">Increased proportion of functioning refrigerator and thermometer  </w:t>
            </w:r>
          </w:p>
          <w:p w:rsidR="00052899" w:rsidRPr="00CB6D59" w:rsidRDefault="00B97BDB" w:rsidP="00052899">
            <w:pPr>
              <w:pStyle w:val="ColorfulList-Accent11"/>
              <w:numPr>
                <w:ilvl w:val="0"/>
                <w:numId w:val="10"/>
              </w:numPr>
              <w:spacing w:after="0"/>
              <w:jc w:val="both"/>
              <w:rPr>
                <w:rFonts w:ascii="Arial" w:hAnsi="Arial" w:cs="Arial"/>
                <w:lang w:eastAsia="en-US"/>
              </w:rPr>
            </w:pPr>
            <w:r w:rsidRPr="00B97BDB">
              <w:rPr>
                <w:rFonts w:ascii="Arial" w:hAnsi="Arial" w:cs="Arial"/>
                <w:lang w:eastAsia="en-US"/>
              </w:rPr>
              <w:t>Increased proportion of facilities undertaking at least 75%  of planned outreach activities</w:t>
            </w:r>
          </w:p>
          <w:p w:rsidR="00052899" w:rsidRPr="00CB6D59" w:rsidRDefault="00B97BDB" w:rsidP="00052899">
            <w:pPr>
              <w:pStyle w:val="ColorfulList-Accent11"/>
              <w:numPr>
                <w:ilvl w:val="0"/>
                <w:numId w:val="10"/>
              </w:numPr>
              <w:spacing w:after="0"/>
              <w:jc w:val="both"/>
              <w:rPr>
                <w:rFonts w:ascii="Arial" w:hAnsi="Arial" w:cs="Arial"/>
                <w:lang w:eastAsia="en-US"/>
              </w:rPr>
            </w:pPr>
            <w:r w:rsidRPr="00B97BDB">
              <w:rPr>
                <w:rFonts w:ascii="Arial" w:hAnsi="Arial" w:cs="Arial"/>
                <w:lang w:eastAsia="en-US"/>
              </w:rPr>
              <w:t>Reduced vaccine stock-out rate  for OPV, PENTA, MR and PCV</w:t>
            </w:r>
          </w:p>
          <w:p w:rsidR="00052899" w:rsidRPr="00CB6D59" w:rsidRDefault="00B97BDB">
            <w:pPr>
              <w:pStyle w:val="ColorfulList-Accent11"/>
              <w:numPr>
                <w:ilvl w:val="0"/>
                <w:numId w:val="10"/>
              </w:numPr>
              <w:spacing w:after="0"/>
              <w:jc w:val="both"/>
              <w:rPr>
                <w:rFonts w:ascii="Arial" w:hAnsi="Arial" w:cs="Arial"/>
                <w:b/>
                <w:lang w:eastAsia="en-US"/>
              </w:rPr>
            </w:pPr>
            <w:r w:rsidRPr="00B97BDB">
              <w:rPr>
                <w:rFonts w:ascii="Arial" w:hAnsi="Arial" w:cs="Arial"/>
                <w:lang w:eastAsia="en-US"/>
              </w:rPr>
              <w:t>Increased proportion of district with managers trained in  MLM</w:t>
            </w:r>
          </w:p>
        </w:tc>
        <w:tc>
          <w:tcPr>
            <w:tcW w:w="90"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60"/>
              <w:jc w:val="both"/>
              <w:rPr>
                <w:rFonts w:cs="Arial"/>
                <w:noProof/>
                <w:sz w:val="20"/>
                <w:u w:val="single"/>
              </w:rPr>
            </w:pPr>
          </w:p>
        </w:tc>
        <w:tc>
          <w:tcPr>
            <w:tcW w:w="985" w:type="pct"/>
            <w:tcBorders>
              <w:top w:val="single" w:sz="4" w:space="0" w:color="auto"/>
              <w:left w:val="single" w:sz="4" w:space="0" w:color="auto"/>
              <w:bottom w:val="single" w:sz="4" w:space="0" w:color="auto"/>
              <w:right w:val="single" w:sz="4" w:space="0" w:color="auto"/>
            </w:tcBorders>
            <w:shd w:val="clear" w:color="auto" w:fill="F2DBDB"/>
          </w:tcPr>
          <w:p w:rsidR="00000000" w:rsidRDefault="00B97BDB">
            <w:pPr>
              <w:jc w:val="both"/>
              <w:rPr>
                <w:rFonts w:cs="Arial"/>
                <w:b/>
                <w:sz w:val="20"/>
              </w:rPr>
            </w:pPr>
            <w:r w:rsidRPr="00B97BDB">
              <w:rPr>
                <w:rFonts w:cs="Arial"/>
                <w:b/>
                <w:sz w:val="20"/>
              </w:rPr>
              <w:t>Immunisation Outcomes:</w:t>
            </w:r>
          </w:p>
          <w:p w:rsidR="00052899" w:rsidRPr="00CB6D59" w:rsidRDefault="00B97BDB" w:rsidP="00052899">
            <w:pPr>
              <w:pStyle w:val="ColorfulList-Accent11"/>
              <w:numPr>
                <w:ilvl w:val="0"/>
                <w:numId w:val="12"/>
              </w:numPr>
              <w:spacing w:after="0"/>
              <w:jc w:val="both"/>
              <w:rPr>
                <w:rFonts w:ascii="Arial" w:hAnsi="Arial" w:cs="Arial"/>
                <w:lang w:eastAsia="en-US"/>
              </w:rPr>
            </w:pPr>
            <w:r w:rsidRPr="00B97BDB">
              <w:rPr>
                <w:rFonts w:ascii="Arial" w:hAnsi="Arial" w:cs="Arial"/>
                <w:lang w:eastAsia="en-US"/>
              </w:rPr>
              <w:t>Increase PENTA 3 Coverage</w:t>
            </w:r>
          </w:p>
          <w:p w:rsidR="00052899" w:rsidRPr="00CB6D59" w:rsidRDefault="00B97BDB" w:rsidP="00052899">
            <w:pPr>
              <w:pStyle w:val="ColorfulList-Accent11"/>
              <w:numPr>
                <w:ilvl w:val="0"/>
                <w:numId w:val="12"/>
              </w:numPr>
              <w:spacing w:after="0"/>
              <w:jc w:val="both"/>
              <w:rPr>
                <w:rFonts w:ascii="Arial" w:hAnsi="Arial" w:cs="Arial"/>
                <w:b/>
                <w:lang w:eastAsia="en-US"/>
              </w:rPr>
            </w:pPr>
            <w:r w:rsidRPr="00B97BDB">
              <w:rPr>
                <w:rFonts w:ascii="Arial" w:hAnsi="Arial" w:cs="Arial"/>
                <w:lang w:eastAsia="en-US"/>
              </w:rPr>
              <w:t>Increase in the proportion of district with PENTA3 coverage &gt;80%</w:t>
            </w:r>
          </w:p>
        </w:tc>
        <w:tc>
          <w:tcPr>
            <w:tcW w:w="93"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60"/>
              <w:jc w:val="both"/>
              <w:rPr>
                <w:rFonts w:cs="Arial"/>
                <w:b/>
                <w:i/>
                <w:sz w:val="20"/>
              </w:rPr>
            </w:pPr>
          </w:p>
        </w:tc>
      </w:tr>
      <w:tr w:rsidR="00052899" w:rsidRPr="00CB6D59">
        <w:trPr>
          <w:trHeight w:val="642"/>
        </w:trPr>
        <w:tc>
          <w:tcPr>
            <w:tcW w:w="95"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120"/>
              <w:jc w:val="both"/>
              <w:rPr>
                <w:rFonts w:cs="Arial"/>
                <w:b/>
                <w:i/>
                <w:sz w:val="20"/>
              </w:rPr>
            </w:pPr>
          </w:p>
        </w:tc>
        <w:tc>
          <w:tcPr>
            <w:tcW w:w="2239" w:type="pct"/>
            <w:tcBorders>
              <w:top w:val="single" w:sz="4" w:space="0" w:color="auto"/>
              <w:left w:val="single" w:sz="4" w:space="0" w:color="auto"/>
              <w:bottom w:val="single" w:sz="4" w:space="0" w:color="auto"/>
              <w:right w:val="single" w:sz="4" w:space="0" w:color="auto"/>
            </w:tcBorders>
            <w:shd w:val="clear" w:color="auto" w:fill="EEECE1"/>
          </w:tcPr>
          <w:p w:rsidR="00000000" w:rsidRDefault="00B97BDB">
            <w:pPr>
              <w:jc w:val="both"/>
              <w:rPr>
                <w:rFonts w:cs="Arial"/>
                <w:sz w:val="20"/>
              </w:rPr>
            </w:pPr>
            <w:r w:rsidRPr="00B97BDB">
              <w:rPr>
                <w:rFonts w:cs="Arial"/>
                <w:b/>
                <w:sz w:val="20"/>
              </w:rPr>
              <w:t>Related Key Activities Indicators:</w:t>
            </w:r>
          </w:p>
          <w:p w:rsidR="00052899" w:rsidRPr="00CB6D59" w:rsidRDefault="00B97BDB" w:rsidP="00052899">
            <w:pPr>
              <w:numPr>
                <w:ilvl w:val="0"/>
                <w:numId w:val="11"/>
              </w:numPr>
              <w:jc w:val="both"/>
              <w:rPr>
                <w:rFonts w:cs="Arial"/>
                <w:sz w:val="20"/>
              </w:rPr>
            </w:pPr>
            <w:r w:rsidRPr="00B97BDB">
              <w:rPr>
                <w:rFonts w:cs="Arial"/>
                <w:sz w:val="20"/>
              </w:rPr>
              <w:t xml:space="preserve">Number of sub districts provided with essential logistics and transport </w:t>
            </w:r>
          </w:p>
          <w:p w:rsidR="00052899" w:rsidRPr="00CB6D59" w:rsidRDefault="00B97BDB" w:rsidP="00052899">
            <w:pPr>
              <w:numPr>
                <w:ilvl w:val="0"/>
                <w:numId w:val="11"/>
              </w:numPr>
              <w:jc w:val="both"/>
              <w:rPr>
                <w:rFonts w:cs="Arial"/>
                <w:sz w:val="20"/>
              </w:rPr>
            </w:pPr>
            <w:r w:rsidRPr="00B97BDB">
              <w:rPr>
                <w:rFonts w:cs="Arial"/>
                <w:sz w:val="20"/>
              </w:rPr>
              <w:t>Number of districts and sub districts supported with resources to undertake outreach services</w:t>
            </w:r>
          </w:p>
          <w:p w:rsidR="00052899" w:rsidRPr="00CB6D59" w:rsidRDefault="00B97BDB" w:rsidP="00052899">
            <w:pPr>
              <w:numPr>
                <w:ilvl w:val="0"/>
                <w:numId w:val="11"/>
              </w:numPr>
              <w:jc w:val="both"/>
              <w:rPr>
                <w:rFonts w:cs="Arial"/>
                <w:sz w:val="20"/>
              </w:rPr>
            </w:pPr>
            <w:r w:rsidRPr="00B97BDB">
              <w:rPr>
                <w:rFonts w:cs="Arial"/>
                <w:sz w:val="20"/>
              </w:rPr>
              <w:t>Number of supportive supervision undertaken at all levels</w:t>
            </w:r>
          </w:p>
          <w:p w:rsidR="00052899" w:rsidRPr="00CB6D59" w:rsidRDefault="00B97BDB" w:rsidP="00052899">
            <w:pPr>
              <w:numPr>
                <w:ilvl w:val="0"/>
                <w:numId w:val="11"/>
              </w:numPr>
              <w:jc w:val="both"/>
              <w:rPr>
                <w:rFonts w:cs="Arial"/>
                <w:sz w:val="20"/>
              </w:rPr>
            </w:pPr>
            <w:r w:rsidRPr="00B97BDB">
              <w:rPr>
                <w:rFonts w:cs="Arial"/>
                <w:sz w:val="20"/>
              </w:rPr>
              <w:t>Number of facilities provided with cold chain infrastructure and equipment</w:t>
            </w:r>
          </w:p>
          <w:p w:rsidR="00052899" w:rsidRPr="00CB6D59" w:rsidRDefault="00B97BDB" w:rsidP="00052899">
            <w:pPr>
              <w:numPr>
                <w:ilvl w:val="0"/>
                <w:numId w:val="11"/>
              </w:numPr>
              <w:jc w:val="both"/>
              <w:rPr>
                <w:rFonts w:cs="Arial"/>
                <w:sz w:val="20"/>
              </w:rPr>
            </w:pPr>
            <w:r w:rsidRPr="00B97BDB">
              <w:rPr>
                <w:rFonts w:cs="Arial"/>
                <w:sz w:val="20"/>
              </w:rPr>
              <w:t xml:space="preserve">Number of people trained by type of training </w:t>
            </w:r>
          </w:p>
        </w:tc>
        <w:tc>
          <w:tcPr>
            <w:tcW w:w="90"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120"/>
              <w:jc w:val="both"/>
              <w:rPr>
                <w:rFonts w:cs="Arial"/>
                <w:b/>
                <w:i/>
                <w:sz w:val="20"/>
              </w:rPr>
            </w:pPr>
          </w:p>
          <w:p w:rsidR="00052899" w:rsidRPr="00CB6D59" w:rsidRDefault="00B97BDB" w:rsidP="00052899">
            <w:pPr>
              <w:spacing w:after="120"/>
              <w:jc w:val="both"/>
              <w:rPr>
                <w:rFonts w:cs="Arial"/>
                <w:b/>
                <w:i/>
                <w:sz w:val="20"/>
              </w:rPr>
            </w:pPr>
            <w:r w:rsidRPr="00B97BDB">
              <w:rPr>
                <w:rFonts w:cs="Arial"/>
                <w:noProof/>
                <w:sz w:val="20"/>
                <w:u w:val="single"/>
              </w:rPr>
              <w:pict>
                <v:shape id="_x0000_s1027" type="#_x0000_t32" style="position:absolute;left:0;text-align:left;margin-left:-5.35pt;margin-top:12.05pt;width:11.3pt;height:0;z-index:251617792" o:connectortype="straight">
                  <v:stroke endarrow="block"/>
                </v:shape>
              </w:pict>
            </w:r>
          </w:p>
        </w:tc>
        <w:tc>
          <w:tcPr>
            <w:tcW w:w="1408" w:type="pct"/>
            <w:tcBorders>
              <w:top w:val="single" w:sz="4" w:space="0" w:color="auto"/>
              <w:left w:val="single" w:sz="4" w:space="0" w:color="auto"/>
              <w:bottom w:val="single" w:sz="4" w:space="0" w:color="auto"/>
              <w:right w:val="single" w:sz="4" w:space="0" w:color="auto"/>
            </w:tcBorders>
            <w:shd w:val="clear" w:color="auto" w:fill="DBE5F1"/>
          </w:tcPr>
          <w:p w:rsidR="00000000" w:rsidRDefault="00B97BDB">
            <w:pPr>
              <w:jc w:val="both"/>
              <w:rPr>
                <w:rFonts w:cs="Arial"/>
                <w:sz w:val="20"/>
              </w:rPr>
            </w:pPr>
            <w:r w:rsidRPr="00B97BDB">
              <w:rPr>
                <w:rFonts w:cs="Arial"/>
                <w:b/>
                <w:sz w:val="20"/>
              </w:rPr>
              <w:t>Related Intermediate Results Indicators:</w:t>
            </w:r>
          </w:p>
          <w:p w:rsidR="00052899" w:rsidRPr="00CB6D59" w:rsidRDefault="00B97BDB" w:rsidP="00052899">
            <w:pPr>
              <w:numPr>
                <w:ilvl w:val="0"/>
                <w:numId w:val="11"/>
              </w:numPr>
              <w:jc w:val="both"/>
              <w:rPr>
                <w:rFonts w:cs="Arial"/>
                <w:b/>
                <w:i/>
                <w:sz w:val="20"/>
              </w:rPr>
            </w:pPr>
            <w:r w:rsidRPr="00B97BDB">
              <w:rPr>
                <w:rFonts w:cs="Arial"/>
                <w:i/>
                <w:sz w:val="20"/>
              </w:rPr>
              <w:t>Proportion of  functioning refrigerators at regional, district and sub-district levels</w:t>
            </w:r>
          </w:p>
          <w:p w:rsidR="00052899" w:rsidRPr="00CB6D59" w:rsidRDefault="00B97BDB" w:rsidP="00052899">
            <w:pPr>
              <w:numPr>
                <w:ilvl w:val="0"/>
                <w:numId w:val="11"/>
              </w:numPr>
              <w:jc w:val="both"/>
              <w:rPr>
                <w:rFonts w:cs="Arial"/>
                <w:i/>
                <w:sz w:val="20"/>
              </w:rPr>
            </w:pPr>
            <w:r w:rsidRPr="00B97BDB">
              <w:rPr>
                <w:rFonts w:cs="Arial"/>
                <w:i/>
                <w:sz w:val="20"/>
              </w:rPr>
              <w:t>Proportion of facilities undertaking at least 75%  of planned outreach activities</w:t>
            </w:r>
          </w:p>
          <w:p w:rsidR="00052899" w:rsidRPr="00CB6D59" w:rsidRDefault="00B97BDB" w:rsidP="00052899">
            <w:pPr>
              <w:numPr>
                <w:ilvl w:val="0"/>
                <w:numId w:val="11"/>
              </w:numPr>
              <w:jc w:val="both"/>
              <w:rPr>
                <w:rFonts w:cs="Arial"/>
                <w:i/>
                <w:sz w:val="20"/>
              </w:rPr>
            </w:pPr>
            <w:r w:rsidRPr="00B97BDB">
              <w:rPr>
                <w:rFonts w:cs="Arial"/>
                <w:i/>
                <w:sz w:val="20"/>
              </w:rPr>
              <w:t>Stockout rate  for OPV, PENTA and Measles</w:t>
            </w:r>
          </w:p>
          <w:p w:rsidR="00052899" w:rsidRPr="00CB6D59" w:rsidRDefault="00B97BDB" w:rsidP="00052899">
            <w:pPr>
              <w:numPr>
                <w:ilvl w:val="0"/>
                <w:numId w:val="11"/>
              </w:numPr>
              <w:jc w:val="both"/>
              <w:rPr>
                <w:rFonts w:cs="Arial"/>
                <w:i/>
                <w:sz w:val="20"/>
              </w:rPr>
            </w:pPr>
            <w:r w:rsidRPr="00B97BDB">
              <w:rPr>
                <w:rFonts w:cs="Arial"/>
                <w:i/>
                <w:sz w:val="20"/>
              </w:rPr>
              <w:t>Proportion of district with managers trained in  MLM</w:t>
            </w:r>
          </w:p>
        </w:tc>
        <w:tc>
          <w:tcPr>
            <w:tcW w:w="90" w:type="pct"/>
            <w:tcBorders>
              <w:top w:val="nil"/>
              <w:left w:val="single" w:sz="4" w:space="0" w:color="auto"/>
              <w:bottom w:val="nil"/>
              <w:right w:val="single" w:sz="4" w:space="0" w:color="auto"/>
            </w:tcBorders>
            <w:shd w:val="clear" w:color="auto" w:fill="FFFFFF"/>
          </w:tcPr>
          <w:p w:rsidR="00052899" w:rsidRPr="00CB6D59" w:rsidRDefault="00B97BDB" w:rsidP="00052899">
            <w:pPr>
              <w:spacing w:after="120"/>
              <w:jc w:val="both"/>
              <w:rPr>
                <w:rFonts w:cs="Arial"/>
                <w:b/>
                <w:i/>
                <w:sz w:val="20"/>
              </w:rPr>
            </w:pPr>
            <w:r w:rsidRPr="00B97BDB">
              <w:rPr>
                <w:rFonts w:cs="Arial"/>
                <w:noProof/>
                <w:sz w:val="20"/>
                <w:u w:val="single"/>
              </w:rPr>
              <w:pict>
                <v:shape id="_x0000_s1028" type="#_x0000_t32" style="position:absolute;left:0;text-align:left;margin-left:-2.75pt;margin-top:36.05pt;width:9.9pt;height:.05pt;z-index:251618816;mso-position-horizontal-relative:text;mso-position-vertical-relative:text" o:connectortype="straight">
                  <v:stroke endarrow="block"/>
                </v:shape>
              </w:pict>
            </w:r>
          </w:p>
        </w:tc>
        <w:tc>
          <w:tcPr>
            <w:tcW w:w="985" w:type="pct"/>
            <w:tcBorders>
              <w:top w:val="single" w:sz="4" w:space="0" w:color="auto"/>
              <w:left w:val="single" w:sz="4" w:space="0" w:color="auto"/>
              <w:bottom w:val="single" w:sz="4" w:space="0" w:color="auto"/>
              <w:right w:val="single" w:sz="4" w:space="0" w:color="auto"/>
            </w:tcBorders>
            <w:shd w:val="clear" w:color="auto" w:fill="F2DBDB"/>
          </w:tcPr>
          <w:p w:rsidR="00000000" w:rsidRDefault="00B97BDB">
            <w:pPr>
              <w:jc w:val="both"/>
              <w:rPr>
                <w:rFonts w:cs="Arial"/>
                <w:sz w:val="20"/>
              </w:rPr>
            </w:pPr>
            <w:r w:rsidRPr="00B97BDB">
              <w:rPr>
                <w:rFonts w:cs="Arial"/>
                <w:b/>
                <w:sz w:val="20"/>
              </w:rPr>
              <w:t>Related Immunisations Outcome Indicators:</w:t>
            </w:r>
          </w:p>
          <w:p w:rsidR="00052899" w:rsidRPr="00CB6D59" w:rsidRDefault="00B97BDB" w:rsidP="00052899">
            <w:pPr>
              <w:numPr>
                <w:ilvl w:val="0"/>
                <w:numId w:val="11"/>
              </w:numPr>
              <w:jc w:val="both"/>
              <w:rPr>
                <w:rFonts w:cs="Arial"/>
                <w:b/>
                <w:i/>
                <w:sz w:val="20"/>
              </w:rPr>
            </w:pPr>
            <w:r w:rsidRPr="00B97BDB">
              <w:rPr>
                <w:rFonts w:cs="Arial"/>
                <w:i/>
                <w:sz w:val="20"/>
              </w:rPr>
              <w:t xml:space="preserve"> National PENTA 3 Coverage</w:t>
            </w:r>
          </w:p>
          <w:p w:rsidR="00052899" w:rsidRPr="00CB6D59" w:rsidRDefault="00B97BDB" w:rsidP="00052899">
            <w:pPr>
              <w:numPr>
                <w:ilvl w:val="0"/>
                <w:numId w:val="11"/>
              </w:numPr>
              <w:jc w:val="both"/>
              <w:rPr>
                <w:rFonts w:cs="Arial"/>
                <w:i/>
                <w:sz w:val="20"/>
              </w:rPr>
            </w:pPr>
            <w:r w:rsidRPr="00B97BDB">
              <w:rPr>
                <w:rFonts w:cs="Arial"/>
                <w:sz w:val="20"/>
              </w:rPr>
              <w:t>proportion of district with PENTA3 coverage &gt;80%</w:t>
            </w:r>
          </w:p>
        </w:tc>
        <w:tc>
          <w:tcPr>
            <w:tcW w:w="93"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120"/>
              <w:jc w:val="both"/>
              <w:rPr>
                <w:rFonts w:cs="Arial"/>
                <w:b/>
                <w:i/>
                <w:sz w:val="20"/>
              </w:rPr>
            </w:pPr>
          </w:p>
        </w:tc>
      </w:tr>
      <w:tr w:rsidR="00052899" w:rsidRPr="00CB6D59">
        <w:trPr>
          <w:trHeight w:val="179"/>
        </w:trPr>
        <w:tc>
          <w:tcPr>
            <w:tcW w:w="4907" w:type="pct"/>
            <w:gridSpan w:val="6"/>
            <w:tcBorders>
              <w:top w:val="single" w:sz="4" w:space="0" w:color="auto"/>
              <w:left w:val="single" w:sz="4" w:space="0" w:color="auto"/>
              <w:bottom w:val="single" w:sz="4" w:space="0" w:color="auto"/>
              <w:right w:val="single" w:sz="4" w:space="0" w:color="auto"/>
            </w:tcBorders>
            <w:shd w:val="clear" w:color="auto" w:fill="FFFFFF"/>
          </w:tcPr>
          <w:p w:rsidR="001C47D4" w:rsidRPr="00CB6D59" w:rsidRDefault="001C47D4" w:rsidP="00052899">
            <w:pPr>
              <w:keepNext/>
              <w:spacing w:before="240" w:after="120"/>
              <w:jc w:val="both"/>
              <w:rPr>
                <w:rFonts w:cs="Arial"/>
                <w:b/>
                <w:i/>
                <w:sz w:val="20"/>
                <w:u w:val="single"/>
              </w:rPr>
            </w:pPr>
          </w:p>
          <w:p w:rsidR="001C47D4" w:rsidRPr="00CB6D59" w:rsidRDefault="001C47D4" w:rsidP="00052899">
            <w:pPr>
              <w:keepNext/>
              <w:spacing w:before="240" w:after="120"/>
              <w:jc w:val="both"/>
              <w:rPr>
                <w:rFonts w:cs="Arial"/>
                <w:b/>
                <w:i/>
                <w:sz w:val="20"/>
                <w:u w:val="single"/>
              </w:rPr>
            </w:pPr>
          </w:p>
          <w:p w:rsidR="00CB6D59" w:rsidRDefault="00CB6D59" w:rsidP="00052899">
            <w:pPr>
              <w:spacing w:after="120"/>
              <w:jc w:val="both"/>
              <w:rPr>
                <w:rFonts w:cs="Arial"/>
                <w:b/>
                <w:i/>
                <w:sz w:val="20"/>
                <w:u w:val="single"/>
              </w:rPr>
            </w:pPr>
          </w:p>
          <w:p w:rsidR="00CB6D59" w:rsidRDefault="00CB6D59" w:rsidP="00052899">
            <w:pPr>
              <w:spacing w:after="120"/>
              <w:jc w:val="both"/>
              <w:rPr>
                <w:rFonts w:cs="Arial"/>
                <w:b/>
                <w:i/>
                <w:sz w:val="20"/>
                <w:u w:val="single"/>
              </w:rPr>
            </w:pPr>
          </w:p>
          <w:p w:rsidR="00052899" w:rsidRPr="00CB6D59" w:rsidRDefault="00B97BDB" w:rsidP="00052899">
            <w:pPr>
              <w:spacing w:after="120"/>
              <w:jc w:val="both"/>
              <w:rPr>
                <w:rFonts w:cs="Arial"/>
                <w:b/>
                <w:i/>
                <w:sz w:val="20"/>
              </w:rPr>
            </w:pPr>
            <w:r w:rsidRPr="00B97BDB">
              <w:rPr>
                <w:rFonts w:cs="Arial"/>
                <w:b/>
                <w:i/>
                <w:sz w:val="20"/>
                <w:u w:val="single"/>
              </w:rPr>
              <w:lastRenderedPageBreak/>
              <w:t>Objective 2:  To strengthen health worker capacity and distribution so as address equity issues in districts levels</w:t>
            </w:r>
          </w:p>
        </w:tc>
        <w:tc>
          <w:tcPr>
            <w:tcW w:w="93"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120"/>
              <w:jc w:val="both"/>
              <w:rPr>
                <w:rFonts w:cs="Arial"/>
                <w:b/>
                <w:i/>
                <w:sz w:val="20"/>
              </w:rPr>
            </w:pPr>
          </w:p>
        </w:tc>
      </w:tr>
      <w:tr w:rsidR="00052899" w:rsidRPr="00CB6D59" w:rsidTr="00CB6D59">
        <w:trPr>
          <w:trHeight w:val="1610"/>
        </w:trPr>
        <w:tc>
          <w:tcPr>
            <w:tcW w:w="95"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120"/>
              <w:jc w:val="both"/>
              <w:rPr>
                <w:rFonts w:cs="Arial"/>
                <w:b/>
                <w:i/>
                <w:sz w:val="20"/>
              </w:rPr>
            </w:pPr>
          </w:p>
        </w:tc>
        <w:tc>
          <w:tcPr>
            <w:tcW w:w="223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2899" w:rsidRPr="00CB6D59" w:rsidRDefault="00B97BDB" w:rsidP="00052899">
            <w:pPr>
              <w:jc w:val="both"/>
              <w:rPr>
                <w:rFonts w:cs="Arial"/>
                <w:b/>
                <w:sz w:val="20"/>
              </w:rPr>
            </w:pPr>
            <w:r w:rsidRPr="00B97BDB">
              <w:rPr>
                <w:rFonts w:cs="Arial"/>
                <w:b/>
                <w:sz w:val="20"/>
              </w:rPr>
              <w:t>Key Activities:</w:t>
            </w:r>
          </w:p>
          <w:p w:rsidR="00B0599A" w:rsidRPr="00CB6D59" w:rsidRDefault="00B97BDB" w:rsidP="00B0599A">
            <w:pPr>
              <w:spacing w:before="120" w:after="120"/>
              <w:jc w:val="both"/>
              <w:rPr>
                <w:rFonts w:cs="Arial"/>
                <w:sz w:val="20"/>
              </w:rPr>
            </w:pPr>
            <w:r w:rsidRPr="00B97BDB">
              <w:rPr>
                <w:rFonts w:cs="Arial"/>
                <w:sz w:val="20"/>
              </w:rPr>
              <w:t>2.1 Develop HR productivity measuring framework/tools</w:t>
            </w:r>
          </w:p>
          <w:p w:rsidR="00052899" w:rsidRPr="00CB6D59" w:rsidRDefault="00B97BDB" w:rsidP="00052899">
            <w:pPr>
              <w:jc w:val="both"/>
              <w:rPr>
                <w:rFonts w:cs="Arial"/>
                <w:i/>
                <w:sz w:val="20"/>
              </w:rPr>
            </w:pPr>
            <w:r w:rsidRPr="00B97BDB">
              <w:rPr>
                <w:rFonts w:cs="Arial"/>
                <w:sz w:val="20"/>
              </w:rPr>
              <w:t>2.2 Train CHOs and SDHMTs in Management</w:t>
            </w:r>
          </w:p>
        </w:tc>
        <w:tc>
          <w:tcPr>
            <w:tcW w:w="90"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120"/>
              <w:jc w:val="both"/>
              <w:rPr>
                <w:rFonts w:cs="Arial"/>
                <w:noProof/>
                <w:sz w:val="20"/>
                <w:u w:val="single"/>
              </w:rPr>
            </w:pPr>
          </w:p>
        </w:tc>
        <w:tc>
          <w:tcPr>
            <w:tcW w:w="140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599A" w:rsidRPr="00CB6D59" w:rsidRDefault="00B97BDB" w:rsidP="00052899">
            <w:pPr>
              <w:keepNext/>
              <w:spacing w:before="240" w:after="60"/>
              <w:jc w:val="both"/>
              <w:rPr>
                <w:rFonts w:cs="Arial"/>
                <w:b/>
                <w:sz w:val="20"/>
              </w:rPr>
            </w:pPr>
            <w:r w:rsidRPr="00B97BDB">
              <w:rPr>
                <w:rFonts w:cs="Arial"/>
                <w:b/>
                <w:sz w:val="20"/>
              </w:rPr>
              <w:t xml:space="preserve">Outputs / Intermediate Results: </w:t>
            </w:r>
          </w:p>
          <w:p w:rsidR="00000000" w:rsidRDefault="00B02BEF">
            <w:pPr>
              <w:jc w:val="both"/>
              <w:rPr>
                <w:rFonts w:cs="Arial"/>
                <w:b/>
                <w:sz w:val="20"/>
              </w:rPr>
            </w:pPr>
          </w:p>
          <w:p w:rsidR="00052899" w:rsidRPr="00CB6D59" w:rsidRDefault="00B97BDB" w:rsidP="00052899">
            <w:pPr>
              <w:pStyle w:val="ColorfulList-Accent11"/>
              <w:numPr>
                <w:ilvl w:val="0"/>
                <w:numId w:val="13"/>
              </w:numPr>
              <w:jc w:val="both"/>
              <w:rPr>
                <w:rFonts w:ascii="Arial" w:hAnsi="Arial" w:cs="Arial"/>
                <w:b/>
              </w:rPr>
            </w:pPr>
            <w:r w:rsidRPr="00B97BDB">
              <w:rPr>
                <w:rFonts w:ascii="Arial" w:hAnsi="Arial" w:cs="Arial"/>
                <w:i/>
                <w:lang w:eastAsia="en-US"/>
              </w:rPr>
              <w:t>Increased number of children immunised in the low performing districts.</w:t>
            </w:r>
          </w:p>
        </w:tc>
        <w:tc>
          <w:tcPr>
            <w:tcW w:w="90"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120"/>
              <w:jc w:val="both"/>
              <w:rPr>
                <w:rFonts w:cs="Arial"/>
                <w:noProof/>
                <w:sz w:val="20"/>
                <w:u w:val="single"/>
              </w:rPr>
            </w:pPr>
          </w:p>
        </w:tc>
        <w:tc>
          <w:tcPr>
            <w:tcW w:w="985"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00000" w:rsidRDefault="00B97BDB">
            <w:pPr>
              <w:jc w:val="both"/>
              <w:rPr>
                <w:rFonts w:cs="Arial"/>
                <w:b/>
                <w:sz w:val="20"/>
              </w:rPr>
            </w:pPr>
            <w:r w:rsidRPr="00B97BDB">
              <w:rPr>
                <w:rFonts w:cs="Arial"/>
                <w:b/>
                <w:sz w:val="20"/>
              </w:rPr>
              <w:t>Immunisation Outcomes:</w:t>
            </w:r>
          </w:p>
          <w:p w:rsidR="00052899" w:rsidRPr="00CB6D59" w:rsidRDefault="00B97BDB" w:rsidP="00052899">
            <w:pPr>
              <w:numPr>
                <w:ilvl w:val="0"/>
                <w:numId w:val="11"/>
              </w:numPr>
              <w:jc w:val="both"/>
              <w:rPr>
                <w:rFonts w:cs="Arial"/>
                <w:b/>
                <w:sz w:val="20"/>
              </w:rPr>
            </w:pPr>
            <w:r w:rsidRPr="00B97BDB">
              <w:rPr>
                <w:rFonts w:cs="Arial"/>
                <w:i/>
                <w:sz w:val="20"/>
              </w:rPr>
              <w:t xml:space="preserve">Increase proportion of districts with PENTA 3 at or above 80% </w:t>
            </w:r>
          </w:p>
        </w:tc>
        <w:tc>
          <w:tcPr>
            <w:tcW w:w="93"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120"/>
              <w:jc w:val="both"/>
              <w:rPr>
                <w:rFonts w:cs="Arial"/>
                <w:b/>
                <w:i/>
                <w:sz w:val="20"/>
              </w:rPr>
            </w:pPr>
          </w:p>
        </w:tc>
      </w:tr>
      <w:tr w:rsidR="00052899" w:rsidRPr="00CB6D59" w:rsidTr="00CB6D59">
        <w:trPr>
          <w:trHeight w:val="2341"/>
        </w:trPr>
        <w:tc>
          <w:tcPr>
            <w:tcW w:w="95" w:type="pct"/>
            <w:tcBorders>
              <w:top w:val="nil"/>
              <w:left w:val="single" w:sz="4" w:space="0" w:color="auto"/>
              <w:bottom w:val="nil"/>
              <w:right w:val="single" w:sz="4" w:space="0" w:color="auto"/>
            </w:tcBorders>
            <w:shd w:val="clear" w:color="auto" w:fill="FFFFFF"/>
          </w:tcPr>
          <w:p w:rsidR="00052899" w:rsidRPr="00CB6D59" w:rsidRDefault="00052899" w:rsidP="00052899">
            <w:pPr>
              <w:spacing w:after="120"/>
              <w:jc w:val="both"/>
              <w:rPr>
                <w:rFonts w:cs="Arial"/>
                <w:b/>
                <w:i/>
                <w:sz w:val="20"/>
              </w:rPr>
            </w:pPr>
          </w:p>
        </w:tc>
        <w:tc>
          <w:tcPr>
            <w:tcW w:w="223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2899" w:rsidRPr="00CB6D59" w:rsidRDefault="00052899" w:rsidP="00052899">
            <w:pPr>
              <w:jc w:val="both"/>
              <w:rPr>
                <w:rFonts w:cs="Arial"/>
                <w:b/>
                <w:sz w:val="20"/>
              </w:rPr>
            </w:pPr>
          </w:p>
          <w:p w:rsidR="00052899" w:rsidRPr="00CB6D59" w:rsidRDefault="00B97BDB" w:rsidP="00052899">
            <w:pPr>
              <w:jc w:val="both"/>
              <w:rPr>
                <w:rFonts w:cs="Arial"/>
                <w:b/>
                <w:sz w:val="20"/>
              </w:rPr>
            </w:pPr>
            <w:r w:rsidRPr="00B97BDB">
              <w:rPr>
                <w:rFonts w:cs="Arial"/>
                <w:b/>
                <w:sz w:val="20"/>
              </w:rPr>
              <w:t>Related Key Activities Indicators:</w:t>
            </w:r>
          </w:p>
          <w:p w:rsidR="00052899" w:rsidRPr="00CB6D59" w:rsidRDefault="00052899" w:rsidP="00052899">
            <w:pPr>
              <w:keepNext/>
              <w:spacing w:before="240" w:after="60"/>
              <w:jc w:val="both"/>
              <w:rPr>
                <w:rFonts w:cs="Arial"/>
                <w:sz w:val="20"/>
              </w:rPr>
            </w:pPr>
          </w:p>
          <w:p w:rsidR="00052899" w:rsidRPr="00CB6D59" w:rsidRDefault="00B97BDB" w:rsidP="00052899">
            <w:pPr>
              <w:numPr>
                <w:ilvl w:val="0"/>
                <w:numId w:val="11"/>
              </w:numPr>
              <w:jc w:val="both"/>
              <w:rPr>
                <w:rFonts w:cs="Arial"/>
                <w:b/>
                <w:i/>
                <w:sz w:val="20"/>
              </w:rPr>
            </w:pPr>
            <w:r w:rsidRPr="00B97BDB">
              <w:rPr>
                <w:rFonts w:cs="Arial"/>
                <w:i/>
                <w:sz w:val="20"/>
              </w:rPr>
              <w:t>Availability of HR  productivity measuring tool</w:t>
            </w:r>
          </w:p>
          <w:p w:rsidR="00052899" w:rsidRPr="00CB6D59" w:rsidRDefault="00B97BDB" w:rsidP="00052899">
            <w:pPr>
              <w:numPr>
                <w:ilvl w:val="0"/>
                <w:numId w:val="11"/>
              </w:numPr>
              <w:jc w:val="both"/>
              <w:rPr>
                <w:rFonts w:cs="Arial"/>
                <w:i/>
                <w:sz w:val="20"/>
              </w:rPr>
            </w:pPr>
            <w:r w:rsidRPr="00B97BDB">
              <w:rPr>
                <w:rFonts w:cs="Arial"/>
                <w:i/>
                <w:sz w:val="20"/>
              </w:rPr>
              <w:t>Number of districts and sub districts with managers trained in management.</w:t>
            </w:r>
          </w:p>
        </w:tc>
        <w:tc>
          <w:tcPr>
            <w:tcW w:w="90" w:type="pct"/>
            <w:tcBorders>
              <w:top w:val="nil"/>
              <w:left w:val="single" w:sz="4" w:space="0" w:color="auto"/>
              <w:bottom w:val="nil"/>
              <w:right w:val="single" w:sz="4" w:space="0" w:color="auto"/>
            </w:tcBorders>
            <w:shd w:val="clear" w:color="auto" w:fill="FFFFFF"/>
          </w:tcPr>
          <w:p w:rsidR="00052899" w:rsidRPr="00CB6D59" w:rsidRDefault="00B97BDB" w:rsidP="00052899">
            <w:pPr>
              <w:spacing w:after="120"/>
              <w:jc w:val="both"/>
              <w:rPr>
                <w:rFonts w:cs="Arial"/>
                <w:b/>
                <w:i/>
                <w:sz w:val="20"/>
              </w:rPr>
            </w:pPr>
            <w:r w:rsidRPr="00B97BDB">
              <w:rPr>
                <w:rFonts w:cs="Arial"/>
                <w:noProof/>
                <w:sz w:val="20"/>
                <w:u w:val="single"/>
              </w:rPr>
              <w:pict>
                <v:shape id="_x0000_s1029" type="#_x0000_t32" style="position:absolute;left:0;text-align:left;margin-left:-5.15pt;margin-top:31.4pt;width:11.6pt;height:0;z-index:251619840;mso-position-horizontal-relative:text;mso-position-vertical-relative:text" o:connectortype="straight">
                  <v:stroke endarrow="block"/>
                </v:shape>
              </w:pict>
            </w:r>
          </w:p>
        </w:tc>
        <w:tc>
          <w:tcPr>
            <w:tcW w:w="140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52899" w:rsidRPr="00CB6D59" w:rsidRDefault="00052899" w:rsidP="00052899">
            <w:pPr>
              <w:jc w:val="both"/>
              <w:rPr>
                <w:rFonts w:cs="Arial"/>
                <w:b/>
                <w:sz w:val="20"/>
              </w:rPr>
            </w:pPr>
          </w:p>
          <w:p w:rsidR="00000000" w:rsidRDefault="00B97BDB">
            <w:pPr>
              <w:jc w:val="both"/>
              <w:rPr>
                <w:rFonts w:cs="Arial"/>
                <w:sz w:val="20"/>
              </w:rPr>
            </w:pPr>
            <w:r w:rsidRPr="00B97BDB">
              <w:rPr>
                <w:rFonts w:cs="Arial"/>
                <w:b/>
                <w:sz w:val="20"/>
              </w:rPr>
              <w:t>Related Intermediate Results Indicators:</w:t>
            </w:r>
          </w:p>
          <w:p w:rsidR="00000000" w:rsidRDefault="00B97BDB">
            <w:pPr>
              <w:pStyle w:val="ColorfulList-Accent11"/>
              <w:numPr>
                <w:ilvl w:val="0"/>
                <w:numId w:val="21"/>
              </w:numPr>
              <w:spacing w:after="0"/>
              <w:jc w:val="both"/>
              <w:rPr>
                <w:rFonts w:ascii="Arial" w:hAnsi="Arial" w:cs="Arial"/>
                <w:i/>
                <w:lang w:eastAsia="en-US"/>
              </w:rPr>
            </w:pPr>
            <w:r w:rsidRPr="00B97BDB">
              <w:rPr>
                <w:rFonts w:cs="Arial"/>
                <w:i/>
                <w:lang w:eastAsia="en-US"/>
              </w:rPr>
              <w:t>Proportion of low performing district ( &lt;80%) with PENTA 3 immunisation above 80%,</w:t>
            </w:r>
          </w:p>
          <w:p w:rsidR="00052899" w:rsidRPr="00CB6D59" w:rsidRDefault="00B97BDB">
            <w:pPr>
              <w:pStyle w:val="ColorfulList-Accent11"/>
              <w:numPr>
                <w:ilvl w:val="0"/>
                <w:numId w:val="21"/>
              </w:numPr>
              <w:spacing w:after="0"/>
              <w:jc w:val="both"/>
              <w:rPr>
                <w:rFonts w:ascii="Arial" w:hAnsi="Arial" w:cs="Arial"/>
                <w:lang w:eastAsia="en-US"/>
              </w:rPr>
            </w:pPr>
            <w:r w:rsidRPr="00B97BDB">
              <w:rPr>
                <w:rFonts w:ascii="Arial" w:hAnsi="Arial" w:cs="Arial"/>
                <w:i/>
                <w:lang w:eastAsia="en-US"/>
              </w:rPr>
              <w:t>Proportion districts and sub-districts with managers trained in management</w:t>
            </w:r>
          </w:p>
        </w:tc>
        <w:tc>
          <w:tcPr>
            <w:tcW w:w="90" w:type="pct"/>
            <w:tcBorders>
              <w:top w:val="nil"/>
              <w:left w:val="single" w:sz="4" w:space="0" w:color="auto"/>
              <w:bottom w:val="nil"/>
              <w:right w:val="single" w:sz="4" w:space="0" w:color="auto"/>
            </w:tcBorders>
            <w:shd w:val="clear" w:color="auto" w:fill="FFFFFF"/>
          </w:tcPr>
          <w:p w:rsidR="00052899" w:rsidRPr="00CB6D59" w:rsidRDefault="00B97BDB" w:rsidP="00052899">
            <w:pPr>
              <w:spacing w:after="120"/>
              <w:jc w:val="both"/>
              <w:rPr>
                <w:rFonts w:cs="Arial"/>
                <w:b/>
                <w:i/>
                <w:sz w:val="20"/>
              </w:rPr>
            </w:pPr>
            <w:r w:rsidRPr="00B97BDB">
              <w:rPr>
                <w:rFonts w:cs="Arial"/>
                <w:noProof/>
                <w:sz w:val="20"/>
                <w:u w:val="single"/>
              </w:rPr>
              <w:pict>
                <v:shape id="_x0000_s1030" type="#_x0000_t32" style="position:absolute;left:0;text-align:left;margin-left:-2.75pt;margin-top:31.4pt;width:9.9pt;height:.05pt;z-index:251620864;mso-position-horizontal-relative:text;mso-position-vertical-relative:text" o:connectortype="straight">
                  <v:stroke endarrow="block"/>
                </v:shape>
              </w:pict>
            </w:r>
          </w:p>
        </w:tc>
        <w:tc>
          <w:tcPr>
            <w:tcW w:w="985"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52899" w:rsidRPr="00CB6D59" w:rsidRDefault="00052899" w:rsidP="00052899">
            <w:pPr>
              <w:jc w:val="both"/>
              <w:rPr>
                <w:rFonts w:cs="Arial"/>
                <w:b/>
                <w:sz w:val="20"/>
              </w:rPr>
            </w:pPr>
          </w:p>
          <w:p w:rsidR="00000000" w:rsidRDefault="00B97BDB">
            <w:pPr>
              <w:jc w:val="both"/>
              <w:rPr>
                <w:rFonts w:cs="Arial"/>
                <w:sz w:val="20"/>
              </w:rPr>
            </w:pPr>
            <w:r w:rsidRPr="00B97BDB">
              <w:rPr>
                <w:rFonts w:cs="Arial"/>
                <w:b/>
                <w:sz w:val="20"/>
              </w:rPr>
              <w:t>Related Immunisations Outcome Indicators:</w:t>
            </w:r>
          </w:p>
          <w:p w:rsidR="00052899" w:rsidRPr="00CB6D59" w:rsidRDefault="00B97BDB" w:rsidP="00052899">
            <w:pPr>
              <w:numPr>
                <w:ilvl w:val="0"/>
                <w:numId w:val="11"/>
              </w:numPr>
              <w:jc w:val="both"/>
              <w:rPr>
                <w:rFonts w:cs="Arial"/>
                <w:sz w:val="20"/>
              </w:rPr>
            </w:pPr>
            <w:r w:rsidRPr="00B97BDB">
              <w:rPr>
                <w:rFonts w:cs="Arial"/>
                <w:i/>
                <w:sz w:val="20"/>
              </w:rPr>
              <w:t xml:space="preserve">proportion of districts with PENTA 3 at or above 80% </w:t>
            </w:r>
          </w:p>
        </w:tc>
        <w:tc>
          <w:tcPr>
            <w:tcW w:w="93"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120"/>
              <w:jc w:val="both"/>
              <w:rPr>
                <w:rFonts w:cs="Arial"/>
                <w:b/>
                <w:i/>
                <w:sz w:val="20"/>
              </w:rPr>
            </w:pPr>
          </w:p>
        </w:tc>
      </w:tr>
      <w:tr w:rsidR="00052899" w:rsidRPr="00CB6D59">
        <w:trPr>
          <w:trHeight w:val="385"/>
        </w:trPr>
        <w:tc>
          <w:tcPr>
            <w:tcW w:w="4907" w:type="pct"/>
            <w:gridSpan w:val="6"/>
            <w:tcBorders>
              <w:top w:val="single" w:sz="4" w:space="0" w:color="auto"/>
              <w:left w:val="single" w:sz="4" w:space="0" w:color="auto"/>
              <w:bottom w:val="single" w:sz="4" w:space="0" w:color="auto"/>
              <w:right w:val="single" w:sz="4" w:space="0" w:color="auto"/>
            </w:tcBorders>
            <w:shd w:val="clear" w:color="auto" w:fill="FFFFFF"/>
          </w:tcPr>
          <w:p w:rsidR="00052899" w:rsidRPr="00CB6D59" w:rsidRDefault="00B97BDB" w:rsidP="00052899">
            <w:pPr>
              <w:spacing w:after="120"/>
              <w:jc w:val="both"/>
              <w:rPr>
                <w:rFonts w:cs="Arial"/>
                <w:b/>
                <w:i/>
                <w:sz w:val="20"/>
              </w:rPr>
            </w:pPr>
            <w:r w:rsidRPr="00B97BDB">
              <w:rPr>
                <w:rFonts w:cs="Arial"/>
                <w:b/>
                <w:i/>
                <w:sz w:val="20"/>
                <w:u w:val="single"/>
              </w:rPr>
              <w:t>Objective 3:  To improve storage, distribution and management of logistics and ensure the availability of potent, quality and safe vaccines, medicines and devices</w:t>
            </w:r>
          </w:p>
        </w:tc>
        <w:tc>
          <w:tcPr>
            <w:tcW w:w="93"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120"/>
              <w:jc w:val="both"/>
              <w:rPr>
                <w:rFonts w:cs="Arial"/>
                <w:b/>
                <w:i/>
                <w:sz w:val="20"/>
              </w:rPr>
            </w:pPr>
          </w:p>
        </w:tc>
      </w:tr>
      <w:tr w:rsidR="00052899" w:rsidRPr="00CB6D59">
        <w:trPr>
          <w:trHeight w:val="2690"/>
        </w:trPr>
        <w:tc>
          <w:tcPr>
            <w:tcW w:w="95"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120"/>
              <w:jc w:val="both"/>
              <w:rPr>
                <w:rFonts w:cs="Arial"/>
                <w:b/>
                <w:i/>
                <w:sz w:val="20"/>
              </w:rPr>
            </w:pPr>
          </w:p>
        </w:tc>
        <w:tc>
          <w:tcPr>
            <w:tcW w:w="2239" w:type="pct"/>
            <w:tcBorders>
              <w:top w:val="single" w:sz="4" w:space="0" w:color="auto"/>
              <w:left w:val="single" w:sz="4" w:space="0" w:color="auto"/>
              <w:bottom w:val="single" w:sz="4" w:space="0" w:color="auto"/>
              <w:right w:val="single" w:sz="4" w:space="0" w:color="auto"/>
            </w:tcBorders>
            <w:shd w:val="clear" w:color="auto" w:fill="EEECE1"/>
          </w:tcPr>
          <w:p w:rsidR="00000000" w:rsidRDefault="00B97BDB">
            <w:pPr>
              <w:jc w:val="both"/>
              <w:rPr>
                <w:rFonts w:cs="Arial"/>
                <w:sz w:val="20"/>
              </w:rPr>
            </w:pPr>
            <w:r w:rsidRPr="00B97BDB">
              <w:rPr>
                <w:rFonts w:cs="Arial"/>
                <w:b/>
                <w:sz w:val="20"/>
              </w:rPr>
              <w:t>Key Activities:</w:t>
            </w:r>
          </w:p>
          <w:p w:rsidR="00052899" w:rsidRPr="00CB6D59" w:rsidRDefault="00B97BDB" w:rsidP="00052899">
            <w:pPr>
              <w:jc w:val="both"/>
              <w:rPr>
                <w:rFonts w:cs="Arial"/>
                <w:sz w:val="20"/>
              </w:rPr>
            </w:pPr>
            <w:r w:rsidRPr="00B97BDB">
              <w:rPr>
                <w:rFonts w:cs="Arial"/>
                <w:i/>
                <w:sz w:val="20"/>
              </w:rPr>
              <w:t>3.1 Reorganise the national and district stores to improve logistics management</w:t>
            </w:r>
          </w:p>
          <w:p w:rsidR="00052899" w:rsidRPr="00CB6D59" w:rsidRDefault="00B97BDB" w:rsidP="00052899">
            <w:pPr>
              <w:jc w:val="both"/>
              <w:rPr>
                <w:rFonts w:cs="Arial"/>
                <w:i/>
                <w:sz w:val="20"/>
              </w:rPr>
            </w:pPr>
            <w:r w:rsidRPr="00B97BDB">
              <w:rPr>
                <w:rFonts w:cs="Arial"/>
                <w:i/>
                <w:sz w:val="20"/>
              </w:rPr>
              <w:t>3.2 Build capacity, support and monitor procurements at district and sub district levels:</w:t>
            </w:r>
          </w:p>
          <w:p w:rsidR="00052899" w:rsidRPr="00CB6D59" w:rsidRDefault="00B97BDB" w:rsidP="00052899">
            <w:pPr>
              <w:jc w:val="both"/>
              <w:rPr>
                <w:rFonts w:cs="Arial"/>
                <w:sz w:val="20"/>
              </w:rPr>
            </w:pPr>
            <w:r w:rsidRPr="00B97BDB">
              <w:rPr>
                <w:rFonts w:cs="Arial"/>
                <w:sz w:val="20"/>
              </w:rPr>
              <w:t>3.3 Improve the use of the central logistics management information system at regional medical stores and expand to regional and district hospitals to respond to demand:</w:t>
            </w:r>
          </w:p>
          <w:p w:rsidR="00052899" w:rsidRPr="00CB6D59" w:rsidRDefault="00B97BDB" w:rsidP="00052899">
            <w:pPr>
              <w:jc w:val="both"/>
              <w:rPr>
                <w:rFonts w:cs="Arial"/>
                <w:b/>
                <w:sz w:val="20"/>
              </w:rPr>
            </w:pPr>
            <w:r w:rsidRPr="00B97BDB">
              <w:rPr>
                <w:rFonts w:cs="Arial"/>
                <w:sz w:val="20"/>
              </w:rPr>
              <w:t>3.4 Rehabilitation of Regional Medical Stores in Volta and Northern Region</w:t>
            </w:r>
          </w:p>
        </w:tc>
        <w:tc>
          <w:tcPr>
            <w:tcW w:w="90"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120"/>
              <w:jc w:val="both"/>
              <w:rPr>
                <w:rFonts w:cs="Arial"/>
                <w:noProof/>
                <w:sz w:val="20"/>
                <w:u w:val="single"/>
              </w:rPr>
            </w:pPr>
          </w:p>
        </w:tc>
        <w:tc>
          <w:tcPr>
            <w:tcW w:w="1408" w:type="pct"/>
            <w:tcBorders>
              <w:top w:val="single" w:sz="4" w:space="0" w:color="auto"/>
              <w:left w:val="single" w:sz="4" w:space="0" w:color="auto"/>
              <w:bottom w:val="single" w:sz="4" w:space="0" w:color="auto"/>
              <w:right w:val="single" w:sz="4" w:space="0" w:color="auto"/>
            </w:tcBorders>
            <w:shd w:val="clear" w:color="auto" w:fill="DBE5F1"/>
          </w:tcPr>
          <w:p w:rsidR="00000000" w:rsidRDefault="00B97BDB">
            <w:pPr>
              <w:jc w:val="both"/>
              <w:rPr>
                <w:rFonts w:cs="Arial"/>
                <w:b/>
                <w:sz w:val="20"/>
              </w:rPr>
            </w:pPr>
            <w:r w:rsidRPr="00B97BDB">
              <w:rPr>
                <w:rFonts w:cs="Arial"/>
                <w:b/>
                <w:sz w:val="20"/>
              </w:rPr>
              <w:t xml:space="preserve">Outputs / Intermediate Results: </w:t>
            </w:r>
          </w:p>
          <w:p w:rsidR="00052899" w:rsidRPr="00CB6D59" w:rsidRDefault="00B97BDB">
            <w:pPr>
              <w:pStyle w:val="ColorfulList-Accent11"/>
              <w:numPr>
                <w:ilvl w:val="0"/>
                <w:numId w:val="13"/>
              </w:numPr>
              <w:jc w:val="both"/>
              <w:rPr>
                <w:rFonts w:ascii="Arial" w:hAnsi="Arial" w:cs="Arial"/>
                <w:b/>
                <w:lang w:eastAsia="en-US"/>
              </w:rPr>
            </w:pPr>
            <w:r w:rsidRPr="00B97BDB">
              <w:rPr>
                <w:rFonts w:ascii="Arial" w:hAnsi="Arial" w:cs="Arial"/>
                <w:i/>
                <w:lang w:eastAsia="en-US"/>
              </w:rPr>
              <w:t xml:space="preserve">Reduced proportion of regional medical stores with stockout of essential tracer  commodities (Auto disable syringes, BCG syringes, safety boxes, ORS, key anti malaria drugs) </w:t>
            </w:r>
          </w:p>
        </w:tc>
        <w:tc>
          <w:tcPr>
            <w:tcW w:w="90"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120"/>
              <w:jc w:val="both"/>
              <w:rPr>
                <w:rFonts w:cs="Arial"/>
                <w:noProof/>
                <w:sz w:val="20"/>
                <w:u w:val="single"/>
              </w:rPr>
            </w:pPr>
          </w:p>
        </w:tc>
        <w:tc>
          <w:tcPr>
            <w:tcW w:w="985" w:type="pct"/>
            <w:tcBorders>
              <w:top w:val="single" w:sz="4" w:space="0" w:color="auto"/>
              <w:left w:val="single" w:sz="4" w:space="0" w:color="auto"/>
              <w:bottom w:val="single" w:sz="4" w:space="0" w:color="auto"/>
              <w:right w:val="single" w:sz="4" w:space="0" w:color="auto"/>
            </w:tcBorders>
            <w:shd w:val="clear" w:color="auto" w:fill="F2DBDB"/>
          </w:tcPr>
          <w:p w:rsidR="00000000" w:rsidRDefault="00B97BDB">
            <w:pPr>
              <w:jc w:val="both"/>
              <w:rPr>
                <w:rFonts w:cs="Arial"/>
                <w:b/>
                <w:sz w:val="20"/>
              </w:rPr>
            </w:pPr>
            <w:r w:rsidRPr="00B97BDB">
              <w:rPr>
                <w:rFonts w:cs="Arial"/>
                <w:b/>
                <w:sz w:val="20"/>
              </w:rPr>
              <w:t>Immunisation Outcomes:</w:t>
            </w:r>
          </w:p>
          <w:p w:rsidR="00052899" w:rsidRPr="00CB6D59" w:rsidRDefault="00B97BDB" w:rsidP="00052899">
            <w:pPr>
              <w:pStyle w:val="ColorfulList-Accent11"/>
              <w:numPr>
                <w:ilvl w:val="0"/>
                <w:numId w:val="14"/>
              </w:numPr>
              <w:jc w:val="both"/>
              <w:rPr>
                <w:rFonts w:ascii="Arial" w:hAnsi="Arial" w:cs="Arial"/>
                <w:b/>
                <w:lang w:eastAsia="en-US"/>
              </w:rPr>
            </w:pPr>
            <w:r w:rsidRPr="00B97BDB">
              <w:rPr>
                <w:rFonts w:ascii="Arial" w:hAnsi="Arial" w:cs="Arial"/>
                <w:i/>
                <w:lang w:eastAsia="en-US"/>
              </w:rPr>
              <w:t xml:space="preserve">Increase PENTA 3 Coverage </w:t>
            </w:r>
          </w:p>
        </w:tc>
        <w:tc>
          <w:tcPr>
            <w:tcW w:w="93"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120"/>
              <w:jc w:val="both"/>
              <w:rPr>
                <w:rFonts w:cs="Arial"/>
                <w:b/>
                <w:i/>
                <w:sz w:val="20"/>
              </w:rPr>
            </w:pPr>
          </w:p>
        </w:tc>
      </w:tr>
      <w:tr w:rsidR="00052899" w:rsidRPr="00CB6D59">
        <w:trPr>
          <w:trHeight w:val="642"/>
        </w:trPr>
        <w:tc>
          <w:tcPr>
            <w:tcW w:w="95"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120"/>
              <w:jc w:val="both"/>
              <w:rPr>
                <w:rFonts w:cs="Arial"/>
                <w:b/>
                <w:i/>
                <w:sz w:val="20"/>
              </w:rPr>
            </w:pPr>
          </w:p>
        </w:tc>
        <w:tc>
          <w:tcPr>
            <w:tcW w:w="2239" w:type="pct"/>
            <w:tcBorders>
              <w:top w:val="single" w:sz="4" w:space="0" w:color="auto"/>
              <w:left w:val="single" w:sz="4" w:space="0" w:color="auto"/>
              <w:bottom w:val="single" w:sz="4" w:space="0" w:color="auto"/>
              <w:right w:val="single" w:sz="4" w:space="0" w:color="auto"/>
            </w:tcBorders>
            <w:shd w:val="clear" w:color="auto" w:fill="EEECE1"/>
          </w:tcPr>
          <w:p w:rsidR="00000000" w:rsidRDefault="00B97BDB">
            <w:pPr>
              <w:jc w:val="both"/>
              <w:rPr>
                <w:rFonts w:cs="Arial"/>
                <w:sz w:val="20"/>
              </w:rPr>
            </w:pPr>
            <w:r w:rsidRPr="00B97BDB">
              <w:rPr>
                <w:rFonts w:cs="Arial"/>
                <w:b/>
                <w:sz w:val="20"/>
              </w:rPr>
              <w:t>Related Key Activities Indicators:</w:t>
            </w:r>
          </w:p>
          <w:p w:rsidR="00052899" w:rsidRPr="00CB6D59" w:rsidRDefault="00B97BDB" w:rsidP="00052899">
            <w:pPr>
              <w:numPr>
                <w:ilvl w:val="0"/>
                <w:numId w:val="11"/>
              </w:numPr>
              <w:contextualSpacing/>
              <w:jc w:val="both"/>
              <w:rPr>
                <w:rFonts w:cs="Arial"/>
                <w:b/>
                <w:i/>
                <w:sz w:val="20"/>
              </w:rPr>
            </w:pPr>
            <w:r w:rsidRPr="00B97BDB">
              <w:rPr>
                <w:rFonts w:cs="Arial"/>
                <w:i/>
                <w:sz w:val="20"/>
              </w:rPr>
              <w:t>Number of district stores reorganised</w:t>
            </w:r>
          </w:p>
          <w:p w:rsidR="00052899" w:rsidRPr="00CB6D59" w:rsidRDefault="00B97BDB" w:rsidP="00052899">
            <w:pPr>
              <w:numPr>
                <w:ilvl w:val="0"/>
                <w:numId w:val="11"/>
              </w:numPr>
              <w:contextualSpacing/>
              <w:jc w:val="both"/>
              <w:rPr>
                <w:rFonts w:cs="Arial"/>
                <w:b/>
                <w:i/>
                <w:sz w:val="20"/>
              </w:rPr>
            </w:pPr>
            <w:r w:rsidRPr="00B97BDB">
              <w:rPr>
                <w:rFonts w:cs="Arial"/>
                <w:i/>
                <w:sz w:val="20"/>
              </w:rPr>
              <w:t>Number of districts with staff trained in procurement management</w:t>
            </w:r>
          </w:p>
          <w:p w:rsidR="00052899" w:rsidRPr="00CB6D59" w:rsidRDefault="00B97BDB" w:rsidP="00052899">
            <w:pPr>
              <w:numPr>
                <w:ilvl w:val="0"/>
                <w:numId w:val="11"/>
              </w:numPr>
              <w:contextualSpacing/>
              <w:jc w:val="both"/>
              <w:rPr>
                <w:rFonts w:cs="Arial"/>
                <w:b/>
                <w:i/>
                <w:sz w:val="20"/>
              </w:rPr>
            </w:pPr>
            <w:r w:rsidRPr="00B97BDB">
              <w:rPr>
                <w:rFonts w:cs="Arial"/>
                <w:i/>
                <w:sz w:val="20"/>
              </w:rPr>
              <w:t>Number of districts with stores with computerized networked with national level</w:t>
            </w:r>
          </w:p>
          <w:p w:rsidR="00052899" w:rsidRPr="00CB6D59" w:rsidRDefault="00B97BDB" w:rsidP="00052899">
            <w:pPr>
              <w:numPr>
                <w:ilvl w:val="0"/>
                <w:numId w:val="11"/>
              </w:numPr>
              <w:jc w:val="both"/>
              <w:rPr>
                <w:rFonts w:cs="Arial"/>
                <w:b/>
                <w:i/>
                <w:sz w:val="20"/>
              </w:rPr>
            </w:pPr>
            <w:r w:rsidRPr="00B97BDB">
              <w:rPr>
                <w:rFonts w:cs="Arial"/>
                <w:i/>
                <w:sz w:val="20"/>
              </w:rPr>
              <w:t>Two regional medical stores rehabilitated</w:t>
            </w:r>
          </w:p>
        </w:tc>
        <w:tc>
          <w:tcPr>
            <w:tcW w:w="90" w:type="pct"/>
            <w:tcBorders>
              <w:top w:val="nil"/>
              <w:left w:val="single" w:sz="4" w:space="0" w:color="auto"/>
              <w:bottom w:val="nil"/>
              <w:right w:val="single" w:sz="4" w:space="0" w:color="auto"/>
            </w:tcBorders>
            <w:shd w:val="clear" w:color="auto" w:fill="FFFFFF"/>
          </w:tcPr>
          <w:p w:rsidR="00052899" w:rsidRPr="00CB6D59" w:rsidRDefault="00B97BDB" w:rsidP="00052899">
            <w:pPr>
              <w:spacing w:after="120"/>
              <w:jc w:val="both"/>
              <w:rPr>
                <w:rFonts w:cs="Arial"/>
                <w:b/>
                <w:i/>
                <w:sz w:val="20"/>
              </w:rPr>
            </w:pPr>
            <w:r w:rsidRPr="00B97BDB">
              <w:rPr>
                <w:rFonts w:cs="Arial"/>
                <w:noProof/>
                <w:sz w:val="20"/>
                <w:u w:val="single"/>
              </w:rPr>
              <w:pict>
                <v:shape id="_x0000_s1031" type="#_x0000_t32" style="position:absolute;left:0;text-align:left;margin-left:-4.35pt;margin-top:31.45pt;width:14.75pt;height:0;z-index:251621888;mso-position-horizontal-relative:text;mso-position-vertical-relative:text" o:connectortype="straight">
                  <v:stroke endarrow="block"/>
                </v:shape>
              </w:pict>
            </w:r>
          </w:p>
        </w:tc>
        <w:tc>
          <w:tcPr>
            <w:tcW w:w="1408" w:type="pct"/>
            <w:tcBorders>
              <w:top w:val="single" w:sz="4" w:space="0" w:color="auto"/>
              <w:left w:val="single" w:sz="4" w:space="0" w:color="auto"/>
              <w:bottom w:val="single" w:sz="4" w:space="0" w:color="auto"/>
              <w:right w:val="single" w:sz="4" w:space="0" w:color="auto"/>
            </w:tcBorders>
            <w:shd w:val="clear" w:color="auto" w:fill="DBE5F1"/>
          </w:tcPr>
          <w:p w:rsidR="00000000" w:rsidRDefault="00B97BDB">
            <w:pPr>
              <w:jc w:val="both"/>
              <w:rPr>
                <w:rFonts w:cs="Arial"/>
                <w:sz w:val="20"/>
              </w:rPr>
            </w:pPr>
            <w:r w:rsidRPr="00B97BDB">
              <w:rPr>
                <w:rFonts w:cs="Arial"/>
                <w:b/>
                <w:sz w:val="20"/>
              </w:rPr>
              <w:t>Related Intermediate Results Indicators:</w:t>
            </w:r>
          </w:p>
          <w:p w:rsidR="00052899" w:rsidRPr="00CB6D59" w:rsidRDefault="00B97BDB" w:rsidP="00052899">
            <w:pPr>
              <w:pStyle w:val="ColorfulList-Accent11"/>
              <w:numPr>
                <w:ilvl w:val="0"/>
                <w:numId w:val="22"/>
              </w:numPr>
              <w:jc w:val="both"/>
              <w:rPr>
                <w:rFonts w:ascii="Arial" w:hAnsi="Arial" w:cs="Arial"/>
                <w:i/>
                <w:lang w:eastAsia="en-US"/>
              </w:rPr>
            </w:pPr>
            <w:r w:rsidRPr="00B97BDB">
              <w:rPr>
                <w:rFonts w:ascii="Arial" w:hAnsi="Arial" w:cs="Arial"/>
                <w:i/>
                <w:lang w:eastAsia="en-US"/>
              </w:rPr>
              <w:t>Proportion of regional medical stores without stockout of essential tracer  commodities</w:t>
            </w:r>
          </w:p>
        </w:tc>
        <w:tc>
          <w:tcPr>
            <w:tcW w:w="90" w:type="pct"/>
            <w:tcBorders>
              <w:top w:val="nil"/>
              <w:left w:val="single" w:sz="4" w:space="0" w:color="auto"/>
              <w:bottom w:val="nil"/>
              <w:right w:val="single" w:sz="4" w:space="0" w:color="auto"/>
            </w:tcBorders>
            <w:shd w:val="clear" w:color="auto" w:fill="FFFFFF"/>
          </w:tcPr>
          <w:p w:rsidR="00052899" w:rsidRPr="00CB6D59" w:rsidRDefault="00B97BDB" w:rsidP="00052899">
            <w:pPr>
              <w:spacing w:after="120"/>
              <w:jc w:val="both"/>
              <w:rPr>
                <w:rFonts w:cs="Arial"/>
                <w:b/>
                <w:i/>
                <w:sz w:val="20"/>
              </w:rPr>
            </w:pPr>
            <w:r w:rsidRPr="00B97BDB">
              <w:rPr>
                <w:rFonts w:cs="Arial"/>
                <w:noProof/>
                <w:sz w:val="20"/>
                <w:u w:val="single"/>
              </w:rPr>
              <w:pict>
                <v:shape id="_x0000_s1032" type="#_x0000_t32" style="position:absolute;left:0;text-align:left;margin-left:-2.75pt;margin-top:31.4pt;width:9.9pt;height:.05pt;z-index:251622912;mso-position-horizontal-relative:text;mso-position-vertical-relative:text" o:connectortype="straight">
                  <v:stroke endarrow="block"/>
                </v:shape>
              </w:pict>
            </w:r>
          </w:p>
        </w:tc>
        <w:tc>
          <w:tcPr>
            <w:tcW w:w="985" w:type="pct"/>
            <w:tcBorders>
              <w:top w:val="single" w:sz="4" w:space="0" w:color="auto"/>
              <w:left w:val="single" w:sz="4" w:space="0" w:color="auto"/>
              <w:bottom w:val="single" w:sz="4" w:space="0" w:color="auto"/>
              <w:right w:val="single" w:sz="4" w:space="0" w:color="auto"/>
            </w:tcBorders>
            <w:shd w:val="clear" w:color="auto" w:fill="F2DBDB"/>
          </w:tcPr>
          <w:p w:rsidR="00000000" w:rsidRDefault="00B97BDB">
            <w:pPr>
              <w:jc w:val="both"/>
              <w:rPr>
                <w:rFonts w:cs="Arial"/>
                <w:sz w:val="20"/>
              </w:rPr>
            </w:pPr>
            <w:r w:rsidRPr="00B97BDB">
              <w:rPr>
                <w:rFonts w:cs="Arial"/>
                <w:b/>
                <w:sz w:val="20"/>
              </w:rPr>
              <w:t>Related Immunisations Outcome Indicators:</w:t>
            </w:r>
          </w:p>
          <w:p w:rsidR="00052899" w:rsidRPr="00CB6D59" w:rsidRDefault="00B97BDB" w:rsidP="00052899">
            <w:pPr>
              <w:numPr>
                <w:ilvl w:val="0"/>
                <w:numId w:val="11"/>
              </w:numPr>
              <w:jc w:val="both"/>
              <w:rPr>
                <w:rFonts w:cs="Arial"/>
                <w:b/>
                <w:i/>
                <w:sz w:val="20"/>
              </w:rPr>
            </w:pPr>
            <w:r w:rsidRPr="00B97BDB">
              <w:rPr>
                <w:rFonts w:cs="Arial"/>
                <w:i/>
                <w:sz w:val="20"/>
              </w:rPr>
              <w:t>National PENTA 3 Coverage</w:t>
            </w:r>
          </w:p>
        </w:tc>
        <w:tc>
          <w:tcPr>
            <w:tcW w:w="93"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120"/>
              <w:jc w:val="both"/>
              <w:rPr>
                <w:rFonts w:cs="Arial"/>
                <w:b/>
                <w:i/>
                <w:sz w:val="20"/>
              </w:rPr>
            </w:pPr>
          </w:p>
        </w:tc>
      </w:tr>
      <w:tr w:rsidR="00052899" w:rsidRPr="00CB6D59">
        <w:trPr>
          <w:trHeight w:val="108"/>
        </w:trPr>
        <w:tc>
          <w:tcPr>
            <w:tcW w:w="95"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120"/>
              <w:jc w:val="both"/>
              <w:rPr>
                <w:rFonts w:cs="Arial"/>
                <w:b/>
                <w:i/>
                <w:sz w:val="20"/>
              </w:rPr>
            </w:pPr>
          </w:p>
        </w:tc>
        <w:tc>
          <w:tcPr>
            <w:tcW w:w="4812" w:type="pct"/>
            <w:gridSpan w:val="5"/>
            <w:tcBorders>
              <w:top w:val="single" w:sz="4" w:space="0" w:color="auto"/>
              <w:left w:val="single" w:sz="4" w:space="0" w:color="auto"/>
              <w:bottom w:val="single" w:sz="4" w:space="0" w:color="auto"/>
              <w:right w:val="single" w:sz="4" w:space="0" w:color="auto"/>
            </w:tcBorders>
            <w:shd w:val="clear" w:color="auto" w:fill="auto"/>
          </w:tcPr>
          <w:p w:rsidR="00052899" w:rsidRPr="00CB6D59" w:rsidRDefault="00B97BDB" w:rsidP="00052899">
            <w:pPr>
              <w:jc w:val="both"/>
              <w:rPr>
                <w:rFonts w:cs="Arial"/>
                <w:b/>
                <w:sz w:val="20"/>
              </w:rPr>
            </w:pPr>
            <w:r w:rsidRPr="00B97BDB">
              <w:rPr>
                <w:rFonts w:cs="Arial"/>
                <w:b/>
                <w:i/>
                <w:sz w:val="20"/>
                <w:u w:val="single"/>
              </w:rPr>
              <w:t>Objective 4  To empower civil society for increased demand for health services at the community</w:t>
            </w:r>
          </w:p>
        </w:tc>
        <w:tc>
          <w:tcPr>
            <w:tcW w:w="93"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120"/>
              <w:jc w:val="both"/>
              <w:rPr>
                <w:rFonts w:cs="Arial"/>
                <w:b/>
                <w:i/>
                <w:sz w:val="20"/>
              </w:rPr>
            </w:pPr>
          </w:p>
        </w:tc>
      </w:tr>
      <w:tr w:rsidR="00052899" w:rsidRPr="00CB6D59" w:rsidTr="00CB6D59">
        <w:trPr>
          <w:trHeight w:val="3784"/>
        </w:trPr>
        <w:tc>
          <w:tcPr>
            <w:tcW w:w="95"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60"/>
              <w:jc w:val="both"/>
              <w:rPr>
                <w:rFonts w:cs="Arial"/>
                <w:b/>
                <w:i/>
                <w:sz w:val="20"/>
              </w:rPr>
            </w:pPr>
          </w:p>
        </w:tc>
        <w:tc>
          <w:tcPr>
            <w:tcW w:w="2239" w:type="pct"/>
            <w:tcBorders>
              <w:top w:val="single" w:sz="4" w:space="0" w:color="auto"/>
              <w:left w:val="single" w:sz="4" w:space="0" w:color="auto"/>
              <w:bottom w:val="single" w:sz="4" w:space="0" w:color="auto"/>
              <w:right w:val="single" w:sz="4" w:space="0" w:color="auto"/>
            </w:tcBorders>
            <w:shd w:val="clear" w:color="auto" w:fill="EEECE1"/>
          </w:tcPr>
          <w:p w:rsidR="00000000" w:rsidRDefault="00B97BDB">
            <w:pPr>
              <w:jc w:val="both"/>
              <w:rPr>
                <w:lang w:eastAsia="en-US"/>
              </w:rPr>
            </w:pPr>
            <w:r w:rsidRPr="00B97BDB">
              <w:rPr>
                <w:rFonts w:cs="Arial"/>
                <w:b/>
                <w:sz w:val="20"/>
              </w:rPr>
              <w:t>Key Activities:</w:t>
            </w:r>
          </w:p>
          <w:p w:rsidR="00052899" w:rsidRPr="00CB6D59" w:rsidRDefault="00B97BDB" w:rsidP="00052899">
            <w:pPr>
              <w:pStyle w:val="ColorfulList-Accent11"/>
              <w:numPr>
                <w:ilvl w:val="1"/>
                <w:numId w:val="7"/>
              </w:numPr>
              <w:spacing w:after="0"/>
              <w:jc w:val="both"/>
              <w:rPr>
                <w:rFonts w:ascii="Arial" w:hAnsi="Arial" w:cs="Arial"/>
                <w:lang w:eastAsia="en-US"/>
              </w:rPr>
            </w:pPr>
            <w:r w:rsidRPr="00B97BDB">
              <w:rPr>
                <w:rFonts w:ascii="Arial" w:hAnsi="Arial" w:cs="Arial"/>
                <w:lang w:eastAsia="en-US"/>
              </w:rPr>
              <w:t>Strengthen the national level (GCNH)  to coordinate CSOs activities in health</w:t>
            </w:r>
          </w:p>
          <w:p w:rsidR="00052899" w:rsidRPr="00CB6D59" w:rsidRDefault="00B97BDB" w:rsidP="00052899">
            <w:pPr>
              <w:pStyle w:val="ColorfulList-Accent11"/>
              <w:numPr>
                <w:ilvl w:val="1"/>
                <w:numId w:val="7"/>
              </w:numPr>
              <w:spacing w:after="0"/>
              <w:jc w:val="both"/>
              <w:rPr>
                <w:rFonts w:ascii="Arial" w:hAnsi="Arial" w:cs="Arial"/>
                <w:lang w:eastAsia="en-US"/>
              </w:rPr>
            </w:pPr>
            <w:r w:rsidRPr="00B97BDB">
              <w:rPr>
                <w:rFonts w:ascii="Arial" w:hAnsi="Arial" w:cs="Arial"/>
                <w:lang w:eastAsia="en-US"/>
              </w:rPr>
              <w:t>Develop capacity of CSOs to better support community level services, including mainstreaming gender (Male involvement)</w:t>
            </w:r>
          </w:p>
          <w:p w:rsidR="00052899" w:rsidRPr="00CB6D59" w:rsidRDefault="00B97BDB" w:rsidP="00052899">
            <w:pPr>
              <w:pStyle w:val="ColorfulList-Accent11"/>
              <w:numPr>
                <w:ilvl w:val="1"/>
                <w:numId w:val="7"/>
              </w:numPr>
              <w:spacing w:after="0"/>
              <w:jc w:val="both"/>
              <w:rPr>
                <w:rFonts w:ascii="Arial" w:hAnsi="Arial" w:cs="Arial"/>
                <w:lang w:eastAsia="en-US"/>
              </w:rPr>
            </w:pPr>
            <w:r w:rsidRPr="00B97BDB">
              <w:rPr>
                <w:rFonts w:ascii="Arial" w:hAnsi="Arial" w:cs="Arial"/>
                <w:lang w:eastAsia="en-US"/>
              </w:rPr>
              <w:t>Establish and build the capacities of five satellite sites for CSOs to support community service delivery</w:t>
            </w:r>
          </w:p>
          <w:p w:rsidR="00052899" w:rsidRPr="00CB6D59" w:rsidRDefault="00B97BDB" w:rsidP="00052899">
            <w:pPr>
              <w:pStyle w:val="ColorfulList-Accent11"/>
              <w:numPr>
                <w:ilvl w:val="1"/>
                <w:numId w:val="7"/>
              </w:numPr>
              <w:spacing w:after="0"/>
              <w:jc w:val="both"/>
              <w:rPr>
                <w:rFonts w:ascii="Arial" w:hAnsi="Arial" w:cs="Arial"/>
                <w:lang w:eastAsia="en-US"/>
              </w:rPr>
            </w:pPr>
            <w:r w:rsidRPr="00B97BDB">
              <w:rPr>
                <w:rFonts w:ascii="Arial" w:hAnsi="Arial" w:cs="Arial"/>
                <w:lang w:eastAsia="en-US"/>
              </w:rPr>
              <w:t>Recruit/train retired community Health nurses and Midwives to partner CSOs to operate in the establish satellite sites in hard  to  reach communities</w:t>
            </w:r>
          </w:p>
          <w:p w:rsidR="00052899" w:rsidRPr="00CB6D59" w:rsidRDefault="00B97BDB" w:rsidP="00052899">
            <w:pPr>
              <w:pStyle w:val="ColorfulList-Accent11"/>
              <w:numPr>
                <w:ilvl w:val="1"/>
                <w:numId w:val="7"/>
              </w:numPr>
              <w:spacing w:after="0"/>
              <w:jc w:val="both"/>
              <w:rPr>
                <w:rFonts w:ascii="Arial" w:hAnsi="Arial" w:cs="Arial"/>
                <w:b/>
                <w:lang w:eastAsia="en-US"/>
              </w:rPr>
            </w:pPr>
            <w:r w:rsidRPr="00B97BDB">
              <w:rPr>
                <w:rFonts w:ascii="Arial" w:hAnsi="Arial" w:cs="Arial"/>
                <w:lang w:eastAsia="en-US"/>
              </w:rPr>
              <w:t xml:space="preserve"> Undertake community outreach activities  in partnership with DHMTs and  retired Midwives in  hard-to- reach communities in the selected 20 districts</w:t>
            </w:r>
          </w:p>
        </w:tc>
        <w:tc>
          <w:tcPr>
            <w:tcW w:w="90"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60"/>
              <w:jc w:val="both"/>
              <w:rPr>
                <w:rFonts w:cs="Arial"/>
                <w:noProof/>
                <w:sz w:val="20"/>
                <w:u w:val="single"/>
              </w:rPr>
            </w:pPr>
          </w:p>
        </w:tc>
        <w:tc>
          <w:tcPr>
            <w:tcW w:w="1408" w:type="pct"/>
            <w:tcBorders>
              <w:top w:val="single" w:sz="4" w:space="0" w:color="auto"/>
              <w:left w:val="single" w:sz="4" w:space="0" w:color="auto"/>
              <w:bottom w:val="single" w:sz="4" w:space="0" w:color="auto"/>
              <w:right w:val="single" w:sz="4" w:space="0" w:color="auto"/>
            </w:tcBorders>
            <w:shd w:val="clear" w:color="auto" w:fill="DBE5F1"/>
          </w:tcPr>
          <w:p w:rsidR="00000000" w:rsidRDefault="00B97BDB">
            <w:pPr>
              <w:jc w:val="both"/>
              <w:rPr>
                <w:lang w:eastAsia="en-US"/>
              </w:rPr>
            </w:pPr>
            <w:r w:rsidRPr="00B97BDB">
              <w:rPr>
                <w:rFonts w:cs="Arial"/>
                <w:b/>
                <w:sz w:val="20"/>
              </w:rPr>
              <w:t xml:space="preserve">Outputs / Intermediate Results: </w:t>
            </w:r>
          </w:p>
          <w:p w:rsidR="00052899" w:rsidRPr="00CB6D59" w:rsidRDefault="00B97BDB" w:rsidP="00052899">
            <w:pPr>
              <w:pStyle w:val="ColorfulList-Accent11"/>
              <w:numPr>
                <w:ilvl w:val="0"/>
                <w:numId w:val="28"/>
              </w:numPr>
              <w:spacing w:after="0"/>
              <w:jc w:val="both"/>
              <w:rPr>
                <w:rFonts w:ascii="Arial" w:hAnsi="Arial" w:cs="Arial"/>
                <w:lang w:eastAsia="en-US"/>
              </w:rPr>
            </w:pPr>
            <w:r w:rsidRPr="00B97BDB">
              <w:rPr>
                <w:rFonts w:ascii="Arial" w:hAnsi="Arial" w:cs="Arial"/>
                <w:lang w:eastAsia="en-US"/>
              </w:rPr>
              <w:t>Increased proportion of intervening districts reporting active CSO participation in annual DHMT micro planning meetings and  reviews per annum</w:t>
            </w:r>
          </w:p>
          <w:p w:rsidR="00052899" w:rsidRPr="00CB6D59" w:rsidRDefault="00B97BDB" w:rsidP="00052899">
            <w:pPr>
              <w:pStyle w:val="ColorfulList-Accent11"/>
              <w:numPr>
                <w:ilvl w:val="0"/>
                <w:numId w:val="28"/>
              </w:numPr>
              <w:spacing w:after="0"/>
              <w:jc w:val="both"/>
              <w:rPr>
                <w:rFonts w:ascii="Arial" w:hAnsi="Arial" w:cs="Arial"/>
                <w:lang w:eastAsia="en-US"/>
              </w:rPr>
            </w:pPr>
            <w:r w:rsidRPr="00B97BDB">
              <w:rPr>
                <w:rFonts w:ascii="Arial" w:hAnsi="Arial" w:cs="Arial"/>
                <w:lang w:eastAsia="en-US"/>
              </w:rPr>
              <w:t>Increased proportion of volunteers trained to undertake EPI activities</w:t>
            </w:r>
          </w:p>
          <w:p w:rsidR="00052899" w:rsidRPr="00CB6D59" w:rsidRDefault="00B97BDB" w:rsidP="00052899">
            <w:pPr>
              <w:pStyle w:val="ColorfulList-Accent11"/>
              <w:numPr>
                <w:ilvl w:val="0"/>
                <w:numId w:val="28"/>
              </w:numPr>
              <w:spacing w:after="0"/>
              <w:jc w:val="both"/>
              <w:rPr>
                <w:rFonts w:ascii="Arial" w:hAnsi="Arial" w:cs="Arial"/>
                <w:lang w:eastAsia="en-US"/>
              </w:rPr>
            </w:pPr>
            <w:r w:rsidRPr="00B97BDB">
              <w:rPr>
                <w:rFonts w:ascii="Arial" w:hAnsi="Arial" w:cs="Arial"/>
                <w:lang w:eastAsia="en-US"/>
              </w:rPr>
              <w:t>Increased proportion of targeted districts implementing planned community outreach services (e.g.  durbars)</w:t>
            </w:r>
          </w:p>
          <w:p w:rsidR="00052899" w:rsidRPr="00CB6D59" w:rsidRDefault="00B97BDB" w:rsidP="00052899">
            <w:pPr>
              <w:pStyle w:val="ColorfulList-Accent11"/>
              <w:numPr>
                <w:ilvl w:val="0"/>
                <w:numId w:val="28"/>
              </w:numPr>
              <w:spacing w:after="0"/>
              <w:jc w:val="both"/>
              <w:rPr>
                <w:rFonts w:ascii="Arial" w:hAnsi="Arial" w:cs="Arial"/>
                <w:b/>
                <w:lang w:eastAsia="en-US"/>
              </w:rPr>
            </w:pPr>
            <w:r w:rsidRPr="00B97BDB">
              <w:rPr>
                <w:rFonts w:ascii="Arial" w:hAnsi="Arial" w:cs="Arial"/>
                <w:lang w:eastAsia="en-US"/>
              </w:rPr>
              <w:t xml:space="preserve">Increased knowledge and acceptance of immunisation </w:t>
            </w:r>
            <w:r w:rsidRPr="00B97BDB">
              <w:rPr>
                <w:rFonts w:ascii="Arial" w:hAnsi="Arial" w:cs="Arial"/>
                <w:lang w:eastAsia="en-US"/>
              </w:rPr>
              <w:lastRenderedPageBreak/>
              <w:t>services within the communities</w:t>
            </w:r>
          </w:p>
        </w:tc>
        <w:tc>
          <w:tcPr>
            <w:tcW w:w="90"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60"/>
              <w:jc w:val="both"/>
              <w:rPr>
                <w:rFonts w:cs="Arial"/>
                <w:noProof/>
                <w:sz w:val="20"/>
                <w:u w:val="single"/>
              </w:rPr>
            </w:pPr>
          </w:p>
        </w:tc>
        <w:tc>
          <w:tcPr>
            <w:tcW w:w="985" w:type="pct"/>
            <w:tcBorders>
              <w:top w:val="single" w:sz="4" w:space="0" w:color="auto"/>
              <w:left w:val="single" w:sz="4" w:space="0" w:color="auto"/>
              <w:bottom w:val="single" w:sz="4" w:space="0" w:color="auto"/>
              <w:right w:val="single" w:sz="4" w:space="0" w:color="auto"/>
            </w:tcBorders>
            <w:shd w:val="clear" w:color="auto" w:fill="F2DBDB"/>
          </w:tcPr>
          <w:p w:rsidR="00000000" w:rsidRDefault="00B97BDB">
            <w:pPr>
              <w:jc w:val="both"/>
              <w:rPr>
                <w:lang w:eastAsia="en-US"/>
              </w:rPr>
            </w:pPr>
            <w:r w:rsidRPr="00B97BDB">
              <w:rPr>
                <w:rFonts w:cs="Arial"/>
                <w:b/>
                <w:sz w:val="20"/>
              </w:rPr>
              <w:t>Immunisation Outcomes</w:t>
            </w:r>
          </w:p>
          <w:p w:rsidR="00052899" w:rsidRPr="00CB6D59" w:rsidRDefault="00B97BDB" w:rsidP="00052899">
            <w:pPr>
              <w:pStyle w:val="ColorfulList-Accent11"/>
              <w:numPr>
                <w:ilvl w:val="0"/>
                <w:numId w:val="14"/>
              </w:numPr>
              <w:spacing w:after="0"/>
              <w:jc w:val="both"/>
              <w:rPr>
                <w:rFonts w:ascii="Arial" w:hAnsi="Arial" w:cs="Arial"/>
                <w:lang w:eastAsia="en-US"/>
              </w:rPr>
            </w:pPr>
            <w:r w:rsidRPr="00B97BDB">
              <w:rPr>
                <w:rFonts w:ascii="Arial" w:hAnsi="Arial" w:cs="Arial"/>
                <w:lang w:eastAsia="en-US"/>
              </w:rPr>
              <w:t>Increased PENTA 3 coverage in targeted districts</w:t>
            </w:r>
          </w:p>
          <w:p w:rsidR="00052899" w:rsidRPr="00CB6D59" w:rsidRDefault="00B97BDB" w:rsidP="00052899">
            <w:pPr>
              <w:pStyle w:val="ColorfulList-Accent11"/>
              <w:numPr>
                <w:ilvl w:val="0"/>
                <w:numId w:val="14"/>
              </w:numPr>
              <w:spacing w:after="0"/>
              <w:jc w:val="both"/>
              <w:rPr>
                <w:rFonts w:ascii="Arial" w:hAnsi="Arial" w:cs="Arial"/>
                <w:b/>
                <w:lang w:eastAsia="en-US"/>
              </w:rPr>
            </w:pPr>
            <w:r w:rsidRPr="00B97BDB">
              <w:rPr>
                <w:rFonts w:ascii="Arial" w:hAnsi="Arial" w:cs="Arial"/>
                <w:lang w:eastAsia="en-US"/>
              </w:rPr>
              <w:t>Improved geographic equity of PENTA 3 coverage - % of targeted districts that have at or above 80% PENTA 3 coverage</w:t>
            </w:r>
          </w:p>
        </w:tc>
        <w:tc>
          <w:tcPr>
            <w:tcW w:w="93"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60"/>
              <w:jc w:val="both"/>
              <w:rPr>
                <w:rFonts w:cs="Arial"/>
                <w:b/>
                <w:i/>
                <w:sz w:val="20"/>
              </w:rPr>
            </w:pPr>
          </w:p>
        </w:tc>
      </w:tr>
      <w:tr w:rsidR="00052899" w:rsidRPr="00CB6D59">
        <w:trPr>
          <w:trHeight w:val="642"/>
        </w:trPr>
        <w:tc>
          <w:tcPr>
            <w:tcW w:w="95" w:type="pct"/>
            <w:tcBorders>
              <w:top w:val="nil"/>
              <w:left w:val="single" w:sz="4" w:space="0" w:color="auto"/>
              <w:bottom w:val="nil"/>
              <w:right w:val="single" w:sz="4" w:space="0" w:color="auto"/>
            </w:tcBorders>
            <w:shd w:val="clear" w:color="auto" w:fill="FFFFFF"/>
          </w:tcPr>
          <w:p w:rsidR="00052899" w:rsidRPr="00CB6D59" w:rsidRDefault="00052899" w:rsidP="00052899">
            <w:pPr>
              <w:jc w:val="both"/>
              <w:rPr>
                <w:rFonts w:cs="Arial"/>
                <w:b/>
                <w:i/>
                <w:sz w:val="20"/>
              </w:rPr>
            </w:pPr>
          </w:p>
        </w:tc>
        <w:tc>
          <w:tcPr>
            <w:tcW w:w="2239" w:type="pct"/>
            <w:tcBorders>
              <w:top w:val="single" w:sz="4" w:space="0" w:color="auto"/>
              <w:left w:val="single" w:sz="4" w:space="0" w:color="auto"/>
              <w:bottom w:val="single" w:sz="4" w:space="0" w:color="auto"/>
              <w:right w:val="single" w:sz="4" w:space="0" w:color="auto"/>
            </w:tcBorders>
            <w:shd w:val="clear" w:color="auto" w:fill="EEECE1"/>
          </w:tcPr>
          <w:p w:rsidR="00000000" w:rsidRDefault="00B97BDB">
            <w:pPr>
              <w:jc w:val="both"/>
              <w:rPr>
                <w:rFonts w:cs="Arial"/>
                <w:sz w:val="20"/>
              </w:rPr>
            </w:pPr>
            <w:r w:rsidRPr="00B97BDB">
              <w:rPr>
                <w:rFonts w:cs="Arial"/>
                <w:b/>
                <w:sz w:val="20"/>
              </w:rPr>
              <w:t>Related Key Activities Indicators:</w:t>
            </w:r>
            <w:r w:rsidRPr="00B97BDB">
              <w:rPr>
                <w:rFonts w:cs="Arial"/>
                <w:noProof/>
                <w:sz w:val="20"/>
                <w:u w:val="single"/>
              </w:rPr>
              <w:pict>
                <v:shape id="_x0000_s1035" type="#_x0000_t32" style="position:absolute;left:0;text-align:left;margin-left:288.95pt;margin-top:18.8pt;width:13pt;height:.05pt;z-index:251623936;mso-position-horizontal-relative:text;mso-position-vertical-relative:text" o:connectortype="straight">
                  <v:stroke endarrow="block"/>
                </v:shape>
              </w:pict>
            </w:r>
          </w:p>
          <w:p w:rsidR="00052899" w:rsidRPr="00CB6D59" w:rsidRDefault="00B97BDB" w:rsidP="00052899">
            <w:pPr>
              <w:numPr>
                <w:ilvl w:val="0"/>
                <w:numId w:val="11"/>
              </w:numPr>
              <w:jc w:val="both"/>
              <w:rPr>
                <w:rFonts w:cs="Arial"/>
                <w:b/>
                <w:i/>
                <w:sz w:val="20"/>
              </w:rPr>
            </w:pPr>
            <w:r w:rsidRPr="00B97BDB">
              <w:rPr>
                <w:rFonts w:cs="Arial"/>
                <w:i/>
                <w:sz w:val="20"/>
              </w:rPr>
              <w:t>National secretariat level of GCNH capacity built</w:t>
            </w:r>
          </w:p>
          <w:p w:rsidR="00052899" w:rsidRPr="00CB6D59" w:rsidRDefault="00B97BDB" w:rsidP="00052899">
            <w:pPr>
              <w:numPr>
                <w:ilvl w:val="0"/>
                <w:numId w:val="11"/>
              </w:numPr>
              <w:jc w:val="both"/>
              <w:rPr>
                <w:rFonts w:cs="Arial"/>
                <w:b/>
                <w:i/>
                <w:sz w:val="20"/>
              </w:rPr>
            </w:pPr>
            <w:r w:rsidRPr="00B97BDB">
              <w:rPr>
                <w:rFonts w:cs="Arial"/>
                <w:i/>
                <w:sz w:val="20"/>
              </w:rPr>
              <w:t>Number of CSOs with capacity built to support community level activities</w:t>
            </w:r>
          </w:p>
          <w:p w:rsidR="00052899" w:rsidRPr="00CB6D59" w:rsidRDefault="00B97BDB" w:rsidP="00052899">
            <w:pPr>
              <w:numPr>
                <w:ilvl w:val="0"/>
                <w:numId w:val="11"/>
              </w:numPr>
              <w:jc w:val="both"/>
              <w:rPr>
                <w:rFonts w:cs="Arial"/>
                <w:b/>
                <w:i/>
                <w:sz w:val="20"/>
              </w:rPr>
            </w:pPr>
            <w:r w:rsidRPr="00B97BDB">
              <w:rPr>
                <w:rFonts w:cs="Arial"/>
                <w:i/>
                <w:sz w:val="20"/>
              </w:rPr>
              <w:t>Five satellite sites identified and provided with support for community level activities</w:t>
            </w:r>
          </w:p>
          <w:p w:rsidR="00052899" w:rsidRPr="00CB6D59" w:rsidRDefault="00B97BDB" w:rsidP="00052899">
            <w:pPr>
              <w:numPr>
                <w:ilvl w:val="0"/>
                <w:numId w:val="11"/>
              </w:numPr>
              <w:jc w:val="both"/>
              <w:rPr>
                <w:rFonts w:cs="Arial"/>
                <w:i/>
                <w:sz w:val="20"/>
              </w:rPr>
            </w:pPr>
            <w:r w:rsidRPr="00B97BDB">
              <w:rPr>
                <w:rFonts w:cs="Arial"/>
                <w:i/>
                <w:sz w:val="20"/>
              </w:rPr>
              <w:t>Number of retired nurses and midwives recruited and trained</w:t>
            </w:r>
          </w:p>
          <w:p w:rsidR="00052899" w:rsidRPr="00CB6D59" w:rsidRDefault="00B97BDB" w:rsidP="00052899">
            <w:pPr>
              <w:numPr>
                <w:ilvl w:val="0"/>
                <w:numId w:val="11"/>
              </w:numPr>
              <w:jc w:val="both"/>
              <w:rPr>
                <w:rFonts w:cs="Arial"/>
                <w:i/>
                <w:sz w:val="20"/>
              </w:rPr>
            </w:pPr>
            <w:r w:rsidRPr="00B97BDB">
              <w:rPr>
                <w:rFonts w:cs="Arial"/>
                <w:i/>
                <w:sz w:val="20"/>
              </w:rPr>
              <w:t>Number of outreach activities undertaken</w:t>
            </w:r>
          </w:p>
        </w:tc>
        <w:tc>
          <w:tcPr>
            <w:tcW w:w="90"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60"/>
              <w:jc w:val="both"/>
              <w:rPr>
                <w:rFonts w:cs="Arial"/>
                <w:b/>
                <w:i/>
                <w:sz w:val="20"/>
              </w:rPr>
            </w:pPr>
          </w:p>
        </w:tc>
        <w:tc>
          <w:tcPr>
            <w:tcW w:w="1408" w:type="pct"/>
            <w:tcBorders>
              <w:top w:val="single" w:sz="4" w:space="0" w:color="auto"/>
              <w:left w:val="single" w:sz="4" w:space="0" w:color="auto"/>
              <w:bottom w:val="single" w:sz="4" w:space="0" w:color="auto"/>
              <w:right w:val="single" w:sz="4" w:space="0" w:color="auto"/>
            </w:tcBorders>
            <w:shd w:val="clear" w:color="auto" w:fill="DBE5F1"/>
          </w:tcPr>
          <w:p w:rsidR="00000000" w:rsidRDefault="00B97BDB">
            <w:pPr>
              <w:jc w:val="both"/>
              <w:rPr>
                <w:rFonts w:cs="Arial"/>
                <w:sz w:val="20"/>
              </w:rPr>
            </w:pPr>
            <w:r w:rsidRPr="00B97BDB">
              <w:rPr>
                <w:rFonts w:cs="Arial"/>
                <w:b/>
                <w:sz w:val="20"/>
              </w:rPr>
              <w:t>Related Intermediate Results Indicators</w:t>
            </w:r>
          </w:p>
          <w:p w:rsidR="00052899" w:rsidRPr="00CB6D59" w:rsidRDefault="00B97BDB" w:rsidP="00052899">
            <w:pPr>
              <w:pStyle w:val="ColorfulList-Accent11"/>
              <w:numPr>
                <w:ilvl w:val="0"/>
                <w:numId w:val="27"/>
              </w:numPr>
              <w:spacing w:after="0"/>
              <w:jc w:val="both"/>
              <w:rPr>
                <w:rFonts w:ascii="Arial" w:hAnsi="Arial" w:cs="Arial"/>
                <w:i/>
                <w:lang w:eastAsia="en-US"/>
              </w:rPr>
            </w:pPr>
            <w:r w:rsidRPr="00B97BDB">
              <w:rPr>
                <w:rFonts w:ascii="Arial" w:hAnsi="Arial" w:cs="Arial"/>
                <w:i/>
                <w:lang w:eastAsia="en-US"/>
              </w:rPr>
              <w:t>Proportions of intervening districts reporting active CSO participation in annual DHMT micro planning meetings and  reviews per annum</w:t>
            </w:r>
          </w:p>
          <w:p w:rsidR="00052899" w:rsidRPr="00CB6D59" w:rsidRDefault="00B97BDB" w:rsidP="00052899">
            <w:pPr>
              <w:pStyle w:val="ColorfulList-Accent11"/>
              <w:numPr>
                <w:ilvl w:val="0"/>
                <w:numId w:val="27"/>
              </w:numPr>
              <w:spacing w:after="0"/>
              <w:jc w:val="both"/>
              <w:rPr>
                <w:rFonts w:ascii="Arial" w:hAnsi="Arial" w:cs="Arial"/>
                <w:i/>
                <w:lang w:eastAsia="en-US"/>
              </w:rPr>
            </w:pPr>
            <w:r w:rsidRPr="00B97BDB">
              <w:rPr>
                <w:rFonts w:ascii="Arial" w:hAnsi="Arial" w:cs="Arial"/>
                <w:i/>
                <w:lang w:eastAsia="en-US"/>
              </w:rPr>
              <w:t>Proportion of targeted communities with volunteers trained to undertake EPI activities</w:t>
            </w:r>
          </w:p>
          <w:p w:rsidR="00052899" w:rsidRPr="00CB6D59" w:rsidRDefault="00B97BDB" w:rsidP="00052899">
            <w:pPr>
              <w:pStyle w:val="ColorfulList-Accent11"/>
              <w:numPr>
                <w:ilvl w:val="0"/>
                <w:numId w:val="22"/>
              </w:numPr>
              <w:spacing w:after="0"/>
              <w:jc w:val="both"/>
              <w:rPr>
                <w:rFonts w:ascii="Arial" w:hAnsi="Arial" w:cs="Arial"/>
                <w:b/>
              </w:rPr>
            </w:pPr>
            <w:r w:rsidRPr="00B97BDB">
              <w:rPr>
                <w:rFonts w:ascii="Arial" w:hAnsi="Arial" w:cs="Arial"/>
                <w:i/>
                <w:lang w:eastAsia="en-US"/>
              </w:rPr>
              <w:t>Proportion of targeted communities benefiting from planned community outreach services (e.g.  durbars)</w:t>
            </w:r>
          </w:p>
          <w:p w:rsidR="00052899" w:rsidRPr="00CB6D59" w:rsidRDefault="00B97BDB" w:rsidP="00052899">
            <w:pPr>
              <w:pStyle w:val="ColorfulList-Accent11"/>
              <w:numPr>
                <w:ilvl w:val="0"/>
                <w:numId w:val="22"/>
              </w:numPr>
              <w:spacing w:after="0"/>
              <w:jc w:val="both"/>
              <w:rPr>
                <w:rFonts w:ascii="Arial" w:hAnsi="Arial" w:cs="Arial"/>
                <w:b/>
              </w:rPr>
            </w:pPr>
            <w:r w:rsidRPr="00B97BDB">
              <w:rPr>
                <w:rFonts w:ascii="Arial" w:hAnsi="Arial" w:cs="Arial"/>
                <w:i/>
                <w:lang w:eastAsia="en-US"/>
              </w:rPr>
              <w:t>Proportion of targeted communities sensitized on the benefits of immunisation and the need for service uptake</w:t>
            </w:r>
          </w:p>
        </w:tc>
        <w:tc>
          <w:tcPr>
            <w:tcW w:w="90" w:type="pct"/>
            <w:tcBorders>
              <w:top w:val="nil"/>
              <w:left w:val="single" w:sz="4" w:space="0" w:color="auto"/>
              <w:bottom w:val="nil"/>
              <w:right w:val="single" w:sz="4" w:space="0" w:color="auto"/>
            </w:tcBorders>
            <w:shd w:val="clear" w:color="auto" w:fill="FFFFFF"/>
          </w:tcPr>
          <w:p w:rsidR="00052899" w:rsidRPr="00CB6D59" w:rsidRDefault="00B97BDB" w:rsidP="00052899">
            <w:pPr>
              <w:jc w:val="both"/>
              <w:rPr>
                <w:rFonts w:cs="Arial"/>
                <w:b/>
                <w:i/>
                <w:sz w:val="20"/>
              </w:rPr>
            </w:pPr>
            <w:r w:rsidRPr="00B97BDB">
              <w:rPr>
                <w:rFonts w:cs="Arial"/>
                <w:noProof/>
                <w:sz w:val="20"/>
                <w:u w:val="single"/>
              </w:rPr>
              <w:pict>
                <v:shape id="_x0000_s1036" type="#_x0000_t32" style="position:absolute;left:0;text-align:left;margin-left:-2.75pt;margin-top:31.4pt;width:9.9pt;height:.05pt;z-index:251624960;mso-position-horizontal-relative:text;mso-position-vertical-relative:text" o:connectortype="straight">
                  <v:stroke endarrow="block"/>
                </v:shape>
              </w:pict>
            </w:r>
          </w:p>
        </w:tc>
        <w:tc>
          <w:tcPr>
            <w:tcW w:w="985" w:type="pct"/>
            <w:tcBorders>
              <w:top w:val="single" w:sz="4" w:space="0" w:color="auto"/>
              <w:left w:val="single" w:sz="4" w:space="0" w:color="auto"/>
              <w:bottom w:val="single" w:sz="4" w:space="0" w:color="auto"/>
              <w:right w:val="single" w:sz="4" w:space="0" w:color="auto"/>
            </w:tcBorders>
            <w:shd w:val="clear" w:color="auto" w:fill="F2DBDB"/>
          </w:tcPr>
          <w:p w:rsidR="00000000" w:rsidRDefault="00B97BDB">
            <w:pPr>
              <w:jc w:val="both"/>
              <w:rPr>
                <w:rFonts w:cs="Arial"/>
                <w:sz w:val="20"/>
              </w:rPr>
            </w:pPr>
            <w:r w:rsidRPr="00B97BDB">
              <w:rPr>
                <w:rFonts w:cs="Arial"/>
                <w:b/>
                <w:sz w:val="20"/>
              </w:rPr>
              <w:t>Related Immunisations Outcome Indicators:</w:t>
            </w:r>
          </w:p>
          <w:p w:rsidR="00052899" w:rsidRPr="00CB6D59" w:rsidRDefault="00B97BDB" w:rsidP="00052899">
            <w:pPr>
              <w:pStyle w:val="ColorfulList-Accent11"/>
              <w:numPr>
                <w:ilvl w:val="0"/>
                <w:numId w:val="14"/>
              </w:numPr>
              <w:spacing w:after="0"/>
              <w:jc w:val="both"/>
              <w:rPr>
                <w:rFonts w:ascii="Arial" w:hAnsi="Arial" w:cs="Arial"/>
                <w:lang w:eastAsia="en-US"/>
              </w:rPr>
            </w:pPr>
            <w:r w:rsidRPr="00B97BDB">
              <w:rPr>
                <w:rFonts w:ascii="Arial" w:hAnsi="Arial" w:cs="Arial"/>
                <w:lang w:eastAsia="en-US"/>
              </w:rPr>
              <w:t>PENTA 3 coverage in targeted districts</w:t>
            </w:r>
          </w:p>
          <w:p w:rsidR="00052899" w:rsidRPr="00CB6D59" w:rsidRDefault="00B97BDB" w:rsidP="00052899">
            <w:pPr>
              <w:pStyle w:val="ColorfulList-Accent11"/>
              <w:numPr>
                <w:ilvl w:val="0"/>
                <w:numId w:val="14"/>
              </w:numPr>
              <w:spacing w:after="0"/>
              <w:jc w:val="both"/>
              <w:rPr>
                <w:rFonts w:ascii="Arial" w:hAnsi="Arial" w:cs="Arial"/>
                <w:lang w:eastAsia="en-US"/>
              </w:rPr>
            </w:pPr>
            <w:r w:rsidRPr="00B97BDB">
              <w:rPr>
                <w:rFonts w:ascii="Arial" w:hAnsi="Arial" w:cs="Arial"/>
                <w:lang w:eastAsia="en-US"/>
              </w:rPr>
              <w:t>PENTA 3 coverage - % of targeted districts that have at or above 80% PENTA 3 coverage</w:t>
            </w:r>
          </w:p>
          <w:p w:rsidR="00052899" w:rsidRPr="00CB6D59" w:rsidRDefault="00052899" w:rsidP="00052899">
            <w:pPr>
              <w:pStyle w:val="ColorfulList-Accent11"/>
              <w:keepNext/>
              <w:spacing w:before="240" w:after="0"/>
              <w:jc w:val="both"/>
              <w:rPr>
                <w:rFonts w:ascii="Arial" w:hAnsi="Arial" w:cs="Arial"/>
                <w:b/>
                <w:lang w:eastAsia="en-US"/>
              </w:rPr>
            </w:pPr>
          </w:p>
          <w:p w:rsidR="00052899" w:rsidRPr="00CB6D59" w:rsidRDefault="00052899" w:rsidP="00052899">
            <w:pPr>
              <w:keepNext/>
              <w:spacing w:before="240" w:after="60"/>
              <w:ind w:left="360"/>
              <w:jc w:val="both"/>
              <w:rPr>
                <w:rFonts w:cs="Arial"/>
                <w:b/>
                <w:i/>
                <w:sz w:val="20"/>
              </w:rPr>
            </w:pPr>
          </w:p>
        </w:tc>
        <w:tc>
          <w:tcPr>
            <w:tcW w:w="93"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60"/>
              <w:jc w:val="both"/>
              <w:rPr>
                <w:rFonts w:cs="Arial"/>
                <w:b/>
                <w:i/>
                <w:sz w:val="20"/>
              </w:rPr>
            </w:pPr>
          </w:p>
        </w:tc>
      </w:tr>
      <w:tr w:rsidR="00052899" w:rsidRPr="00CB6D59">
        <w:trPr>
          <w:trHeight w:val="53"/>
        </w:trPr>
        <w:tc>
          <w:tcPr>
            <w:tcW w:w="95"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60"/>
              <w:jc w:val="both"/>
              <w:rPr>
                <w:rFonts w:cs="Arial"/>
                <w:b/>
                <w:i/>
                <w:sz w:val="20"/>
                <w:u w:val="single"/>
              </w:rPr>
            </w:pPr>
          </w:p>
        </w:tc>
        <w:tc>
          <w:tcPr>
            <w:tcW w:w="4812" w:type="pct"/>
            <w:gridSpan w:val="5"/>
            <w:tcBorders>
              <w:top w:val="single" w:sz="4" w:space="0" w:color="auto"/>
              <w:left w:val="single" w:sz="4" w:space="0" w:color="auto"/>
              <w:bottom w:val="single" w:sz="4" w:space="0" w:color="auto"/>
              <w:right w:val="single" w:sz="4" w:space="0" w:color="auto"/>
            </w:tcBorders>
            <w:shd w:val="clear" w:color="auto" w:fill="auto"/>
          </w:tcPr>
          <w:p w:rsidR="00052899" w:rsidRPr="00CB6D59" w:rsidRDefault="00B97BDB" w:rsidP="00052899">
            <w:pPr>
              <w:jc w:val="both"/>
              <w:rPr>
                <w:rFonts w:cs="Arial"/>
                <w:b/>
                <w:i/>
                <w:sz w:val="20"/>
                <w:u w:val="single"/>
              </w:rPr>
            </w:pPr>
            <w:r w:rsidRPr="00B97BDB">
              <w:rPr>
                <w:rFonts w:cs="Arial"/>
                <w:b/>
                <w:i/>
                <w:sz w:val="20"/>
                <w:u w:val="single"/>
              </w:rPr>
              <w:t>Objective 5  To strengthen governance and health information management for improved health service delivery</w:t>
            </w:r>
          </w:p>
        </w:tc>
        <w:tc>
          <w:tcPr>
            <w:tcW w:w="93"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60"/>
              <w:jc w:val="both"/>
              <w:rPr>
                <w:rFonts w:cs="Arial"/>
                <w:b/>
                <w:i/>
                <w:sz w:val="20"/>
              </w:rPr>
            </w:pPr>
          </w:p>
        </w:tc>
      </w:tr>
      <w:tr w:rsidR="00052899" w:rsidRPr="00CB6D59">
        <w:trPr>
          <w:trHeight w:val="3257"/>
        </w:trPr>
        <w:tc>
          <w:tcPr>
            <w:tcW w:w="95"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60"/>
              <w:jc w:val="both"/>
              <w:rPr>
                <w:rFonts w:cs="Arial"/>
                <w:b/>
                <w:i/>
                <w:sz w:val="20"/>
              </w:rPr>
            </w:pPr>
          </w:p>
        </w:tc>
        <w:tc>
          <w:tcPr>
            <w:tcW w:w="2239" w:type="pct"/>
            <w:tcBorders>
              <w:top w:val="single" w:sz="4" w:space="0" w:color="auto"/>
              <w:left w:val="single" w:sz="4" w:space="0" w:color="auto"/>
              <w:bottom w:val="single" w:sz="4" w:space="0" w:color="auto"/>
              <w:right w:val="single" w:sz="4" w:space="0" w:color="auto"/>
            </w:tcBorders>
            <w:shd w:val="clear" w:color="auto" w:fill="EEECE1"/>
          </w:tcPr>
          <w:p w:rsidR="00052899" w:rsidRPr="00CB6D59" w:rsidRDefault="00B97BDB" w:rsidP="00052899">
            <w:pPr>
              <w:jc w:val="both"/>
              <w:rPr>
                <w:rFonts w:cs="Arial"/>
                <w:sz w:val="20"/>
              </w:rPr>
            </w:pPr>
            <w:r w:rsidRPr="00B97BDB">
              <w:rPr>
                <w:rFonts w:cs="Arial"/>
                <w:sz w:val="20"/>
              </w:rPr>
              <w:t>Key Activities:</w:t>
            </w:r>
          </w:p>
          <w:p w:rsidR="00052899" w:rsidRPr="00CB6D59" w:rsidRDefault="00B97BDB" w:rsidP="00052899">
            <w:pPr>
              <w:pStyle w:val="ColorfulList-Accent11"/>
              <w:numPr>
                <w:ilvl w:val="1"/>
                <w:numId w:val="8"/>
              </w:numPr>
              <w:spacing w:after="0"/>
              <w:jc w:val="both"/>
              <w:rPr>
                <w:rFonts w:ascii="Arial" w:hAnsi="Arial" w:cs="Arial"/>
                <w:lang w:eastAsia="en-US"/>
              </w:rPr>
            </w:pPr>
            <w:r w:rsidRPr="00B97BDB">
              <w:rPr>
                <w:rFonts w:ascii="Arial" w:hAnsi="Arial" w:cs="Arial"/>
                <w:lang w:eastAsia="en-US"/>
              </w:rPr>
              <w:t xml:space="preserve">Upgrade management information system (DHIMS 11, FMIS and LMIS)   </w:t>
            </w:r>
          </w:p>
          <w:p w:rsidR="00052899" w:rsidRPr="00CB6D59" w:rsidRDefault="00B97BDB" w:rsidP="00052899">
            <w:pPr>
              <w:pStyle w:val="ColorfulList-Accent11"/>
              <w:numPr>
                <w:ilvl w:val="1"/>
                <w:numId w:val="8"/>
              </w:numPr>
              <w:spacing w:after="0"/>
              <w:jc w:val="both"/>
              <w:rPr>
                <w:rFonts w:ascii="Arial" w:hAnsi="Arial" w:cs="Arial"/>
                <w:lang w:eastAsia="en-US"/>
              </w:rPr>
            </w:pPr>
            <w:r w:rsidRPr="00B97BDB">
              <w:rPr>
                <w:rFonts w:ascii="Arial" w:hAnsi="Arial" w:cs="Arial"/>
                <w:lang w:eastAsia="en-US"/>
              </w:rPr>
              <w:t xml:space="preserve"> Build the capacity of health information officers  and CHOs and undertake quarterly technical and financial data validation at district and sub-district levels</w:t>
            </w:r>
          </w:p>
          <w:p w:rsidR="00052899" w:rsidRPr="00CB6D59" w:rsidRDefault="00B97BDB" w:rsidP="00052899">
            <w:pPr>
              <w:pStyle w:val="ColorfulList-Accent11"/>
              <w:numPr>
                <w:ilvl w:val="1"/>
                <w:numId w:val="8"/>
              </w:numPr>
              <w:spacing w:after="0"/>
              <w:jc w:val="both"/>
              <w:rPr>
                <w:rFonts w:ascii="Arial" w:hAnsi="Arial" w:cs="Arial"/>
                <w:lang w:eastAsia="en-US"/>
              </w:rPr>
            </w:pPr>
            <w:r w:rsidRPr="00B97BDB">
              <w:rPr>
                <w:rFonts w:ascii="Arial" w:hAnsi="Arial" w:cs="Arial"/>
                <w:lang w:eastAsia="en-US"/>
              </w:rPr>
              <w:t>Improve capacity of sub-district and CHPS Zones staff in micro-planning and develop micro-plans at these levels</w:t>
            </w:r>
          </w:p>
          <w:p w:rsidR="00052899" w:rsidRPr="00CB6D59" w:rsidRDefault="00B97BDB" w:rsidP="00052899">
            <w:pPr>
              <w:pStyle w:val="ColorfulList-Accent11"/>
              <w:numPr>
                <w:ilvl w:val="1"/>
                <w:numId w:val="8"/>
              </w:numPr>
              <w:spacing w:after="0"/>
              <w:jc w:val="both"/>
              <w:rPr>
                <w:rFonts w:ascii="Arial" w:hAnsi="Arial" w:cs="Arial"/>
                <w:lang w:eastAsia="en-US"/>
              </w:rPr>
            </w:pPr>
            <w:r w:rsidRPr="00B97BDB">
              <w:rPr>
                <w:rFonts w:ascii="Arial" w:hAnsi="Arial" w:cs="Arial"/>
                <w:lang w:eastAsia="en-US"/>
              </w:rPr>
              <w:t xml:space="preserve">Support the development of health accounts and  joint annual performance review  </w:t>
            </w:r>
          </w:p>
          <w:p w:rsidR="00052899" w:rsidRPr="00CB6D59" w:rsidRDefault="00B97BDB" w:rsidP="00052899">
            <w:pPr>
              <w:pStyle w:val="ColorfulList-Accent11"/>
              <w:numPr>
                <w:ilvl w:val="1"/>
                <w:numId w:val="8"/>
              </w:numPr>
              <w:spacing w:after="0"/>
              <w:jc w:val="both"/>
              <w:rPr>
                <w:rFonts w:ascii="Arial" w:hAnsi="Arial" w:cs="Arial"/>
                <w:lang w:eastAsia="en-US"/>
              </w:rPr>
            </w:pPr>
            <w:r w:rsidRPr="00B97BDB">
              <w:rPr>
                <w:rFonts w:ascii="Arial" w:hAnsi="Arial" w:cs="Arial"/>
                <w:lang w:eastAsia="en-US"/>
              </w:rPr>
              <w:t>Strengthen data management and  M&amp;E systems</w:t>
            </w:r>
          </w:p>
        </w:tc>
        <w:tc>
          <w:tcPr>
            <w:tcW w:w="90"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60"/>
              <w:jc w:val="both"/>
              <w:rPr>
                <w:rFonts w:cs="Arial"/>
                <w:noProof/>
                <w:sz w:val="20"/>
                <w:u w:val="single"/>
              </w:rPr>
            </w:pPr>
          </w:p>
        </w:tc>
        <w:tc>
          <w:tcPr>
            <w:tcW w:w="1408" w:type="pct"/>
            <w:tcBorders>
              <w:top w:val="single" w:sz="4" w:space="0" w:color="auto"/>
              <w:left w:val="single" w:sz="4" w:space="0" w:color="auto"/>
              <w:bottom w:val="single" w:sz="4" w:space="0" w:color="auto"/>
              <w:right w:val="single" w:sz="4" w:space="0" w:color="auto"/>
            </w:tcBorders>
            <w:shd w:val="clear" w:color="auto" w:fill="DBE5F1"/>
          </w:tcPr>
          <w:p w:rsidR="00000000" w:rsidRDefault="00B97BDB">
            <w:pPr>
              <w:jc w:val="both"/>
              <w:rPr>
                <w:lang w:eastAsia="en-US"/>
              </w:rPr>
            </w:pPr>
            <w:r w:rsidRPr="00B97BDB">
              <w:rPr>
                <w:rFonts w:cs="Arial"/>
                <w:b/>
                <w:sz w:val="20"/>
              </w:rPr>
              <w:t xml:space="preserve">Outputs / Intermediate Results: </w:t>
            </w:r>
          </w:p>
          <w:p w:rsidR="00052899" w:rsidRPr="00CB6D59" w:rsidRDefault="00B97BDB" w:rsidP="00052899">
            <w:pPr>
              <w:pStyle w:val="ColorfulList-Accent11"/>
              <w:numPr>
                <w:ilvl w:val="0"/>
                <w:numId w:val="13"/>
              </w:numPr>
              <w:spacing w:after="0"/>
              <w:jc w:val="both"/>
              <w:rPr>
                <w:rFonts w:ascii="Arial" w:hAnsi="Arial" w:cs="Arial"/>
                <w:i/>
                <w:lang w:eastAsia="en-US"/>
              </w:rPr>
            </w:pPr>
            <w:r w:rsidRPr="00B97BDB">
              <w:rPr>
                <w:rFonts w:ascii="Arial" w:hAnsi="Arial" w:cs="Arial"/>
                <w:i/>
                <w:lang w:eastAsia="en-US"/>
              </w:rPr>
              <w:t>Increased percentage of districts reporting data completeness and timely in the DHIMS</w:t>
            </w:r>
          </w:p>
          <w:p w:rsidR="00052899" w:rsidRPr="00CB6D59" w:rsidRDefault="00B97BDB" w:rsidP="00052899">
            <w:pPr>
              <w:pStyle w:val="ColorfulList-Accent11"/>
              <w:numPr>
                <w:ilvl w:val="0"/>
                <w:numId w:val="13"/>
              </w:numPr>
              <w:spacing w:after="0"/>
              <w:jc w:val="both"/>
              <w:rPr>
                <w:rFonts w:ascii="Arial" w:hAnsi="Arial" w:cs="Arial"/>
                <w:i/>
                <w:lang w:eastAsia="en-US"/>
              </w:rPr>
            </w:pPr>
            <w:r w:rsidRPr="00B97BDB">
              <w:rPr>
                <w:rFonts w:ascii="Arial" w:hAnsi="Arial" w:cs="Arial"/>
                <w:i/>
                <w:lang w:eastAsia="en-US"/>
              </w:rPr>
              <w:t>Increased proportion of districts  with  technical and financial data quarterly validated</w:t>
            </w:r>
          </w:p>
          <w:p w:rsidR="00052899" w:rsidRPr="00CB6D59" w:rsidRDefault="00B97BDB" w:rsidP="00052899">
            <w:pPr>
              <w:pStyle w:val="ColorfulList-Accent11"/>
              <w:numPr>
                <w:ilvl w:val="0"/>
                <w:numId w:val="13"/>
              </w:numPr>
              <w:spacing w:after="0"/>
              <w:jc w:val="both"/>
              <w:rPr>
                <w:rFonts w:ascii="Arial" w:hAnsi="Arial" w:cs="Arial"/>
                <w:b/>
                <w:lang w:eastAsia="en-US"/>
              </w:rPr>
            </w:pPr>
            <w:r w:rsidRPr="00B97BDB">
              <w:rPr>
                <w:rFonts w:ascii="Arial" w:hAnsi="Arial" w:cs="Arial"/>
                <w:i/>
                <w:lang w:eastAsia="en-US"/>
              </w:rPr>
              <w:t>Increased proportion of districts and sub-districts with integrated annual operational plans</w:t>
            </w:r>
          </w:p>
        </w:tc>
        <w:tc>
          <w:tcPr>
            <w:tcW w:w="90"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60"/>
              <w:jc w:val="both"/>
              <w:rPr>
                <w:rFonts w:cs="Arial"/>
                <w:noProof/>
                <w:sz w:val="20"/>
                <w:u w:val="single"/>
              </w:rPr>
            </w:pPr>
          </w:p>
        </w:tc>
        <w:tc>
          <w:tcPr>
            <w:tcW w:w="985" w:type="pct"/>
            <w:tcBorders>
              <w:top w:val="single" w:sz="4" w:space="0" w:color="auto"/>
              <w:left w:val="single" w:sz="4" w:space="0" w:color="auto"/>
              <w:bottom w:val="single" w:sz="4" w:space="0" w:color="auto"/>
              <w:right w:val="single" w:sz="4" w:space="0" w:color="auto"/>
            </w:tcBorders>
            <w:shd w:val="clear" w:color="auto" w:fill="F2DBDB"/>
          </w:tcPr>
          <w:p w:rsidR="00000000" w:rsidRDefault="00B97BDB">
            <w:pPr>
              <w:jc w:val="both"/>
              <w:rPr>
                <w:rFonts w:eastAsia="Calibri" w:cs="Arial"/>
                <w:b/>
                <w:sz w:val="20"/>
                <w:lang w:eastAsia="en-US"/>
              </w:rPr>
            </w:pPr>
            <w:r w:rsidRPr="00B97BDB">
              <w:rPr>
                <w:rFonts w:cs="Arial"/>
                <w:b/>
                <w:sz w:val="20"/>
              </w:rPr>
              <w:t>Immunisation Outcomes:</w:t>
            </w:r>
          </w:p>
          <w:p w:rsidR="00052899" w:rsidRPr="00CB6D59" w:rsidRDefault="00B97BDB" w:rsidP="00052899">
            <w:pPr>
              <w:pStyle w:val="ColorfulList-Accent11"/>
              <w:numPr>
                <w:ilvl w:val="0"/>
                <w:numId w:val="15"/>
              </w:numPr>
              <w:spacing w:after="0"/>
              <w:jc w:val="both"/>
              <w:rPr>
                <w:rFonts w:ascii="Arial" w:hAnsi="Arial" w:cs="Arial"/>
                <w:b/>
                <w:lang w:eastAsia="en-US"/>
              </w:rPr>
            </w:pPr>
            <w:r w:rsidRPr="00B97BDB">
              <w:rPr>
                <w:rFonts w:ascii="Arial" w:hAnsi="Arial" w:cs="Arial"/>
                <w:lang w:eastAsia="en-US"/>
              </w:rPr>
              <w:t>Increased Geographic equity of PENTA 3 coverage - % of districts that have at or above 80% PENTA 3 coverage</w:t>
            </w:r>
          </w:p>
        </w:tc>
        <w:tc>
          <w:tcPr>
            <w:tcW w:w="93"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60"/>
              <w:jc w:val="both"/>
              <w:rPr>
                <w:rFonts w:cs="Arial"/>
                <w:b/>
                <w:i/>
                <w:sz w:val="20"/>
              </w:rPr>
            </w:pPr>
          </w:p>
        </w:tc>
      </w:tr>
      <w:tr w:rsidR="00052899" w:rsidRPr="00CB6D59" w:rsidTr="00CB6D59">
        <w:trPr>
          <w:trHeight w:val="2815"/>
        </w:trPr>
        <w:tc>
          <w:tcPr>
            <w:tcW w:w="95"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60"/>
              <w:jc w:val="both"/>
              <w:rPr>
                <w:rFonts w:cs="Arial"/>
                <w:b/>
                <w:i/>
                <w:sz w:val="20"/>
              </w:rPr>
            </w:pPr>
          </w:p>
        </w:tc>
        <w:tc>
          <w:tcPr>
            <w:tcW w:w="2239" w:type="pct"/>
            <w:tcBorders>
              <w:top w:val="single" w:sz="4" w:space="0" w:color="auto"/>
              <w:left w:val="single" w:sz="4" w:space="0" w:color="auto"/>
              <w:bottom w:val="single" w:sz="4" w:space="0" w:color="auto"/>
              <w:right w:val="single" w:sz="4" w:space="0" w:color="auto"/>
            </w:tcBorders>
            <w:shd w:val="clear" w:color="auto" w:fill="EEECE1"/>
          </w:tcPr>
          <w:p w:rsidR="00052899" w:rsidRPr="00CB6D59" w:rsidRDefault="00B97BDB" w:rsidP="00052899">
            <w:pPr>
              <w:jc w:val="both"/>
              <w:rPr>
                <w:rFonts w:cs="Arial"/>
                <w:b/>
                <w:sz w:val="20"/>
              </w:rPr>
            </w:pPr>
            <w:r w:rsidRPr="00B97BDB">
              <w:rPr>
                <w:rFonts w:cs="Arial"/>
                <w:b/>
                <w:sz w:val="20"/>
              </w:rPr>
              <w:t>Related Key Activities Indicators:</w:t>
            </w:r>
          </w:p>
          <w:p w:rsidR="00052899" w:rsidRPr="00CB6D59" w:rsidRDefault="00B97BDB" w:rsidP="00052899">
            <w:pPr>
              <w:pStyle w:val="ColorfulList-Accent11"/>
              <w:numPr>
                <w:ilvl w:val="0"/>
                <w:numId w:val="24"/>
              </w:numPr>
              <w:spacing w:after="0"/>
              <w:jc w:val="both"/>
              <w:rPr>
                <w:rFonts w:ascii="Arial" w:hAnsi="Arial" w:cs="Arial"/>
                <w:lang w:eastAsia="en-US"/>
              </w:rPr>
            </w:pPr>
            <w:r w:rsidRPr="00B97BDB">
              <w:rPr>
                <w:rFonts w:cs="Arial"/>
                <w:b/>
                <w:noProof/>
                <w:lang w:val="en-CA" w:eastAsia="en-CA"/>
              </w:rPr>
              <w:pict>
                <v:shape id="_x0000_s1520" type="#_x0000_t32" style="position:absolute;left:0;text-align:left;margin-left:288.45pt;margin-top:24.95pt;width:13pt;height:.05pt;z-index:251694592" o:connectortype="straight">
                  <v:stroke endarrow="block"/>
                </v:shape>
              </w:pict>
            </w:r>
            <w:r w:rsidRPr="00B97BDB">
              <w:rPr>
                <w:rFonts w:ascii="Arial" w:hAnsi="Arial" w:cs="Arial"/>
                <w:lang w:eastAsia="en-US"/>
              </w:rPr>
              <w:t>DHIMS II upgraded and integrated with DVD-MT and LMIS</w:t>
            </w:r>
          </w:p>
          <w:p w:rsidR="00052899" w:rsidRPr="00CB6D59" w:rsidRDefault="00B97BDB" w:rsidP="00052899">
            <w:pPr>
              <w:pStyle w:val="ColorfulList-Accent11"/>
              <w:numPr>
                <w:ilvl w:val="0"/>
                <w:numId w:val="24"/>
              </w:numPr>
              <w:spacing w:after="0"/>
              <w:jc w:val="both"/>
              <w:rPr>
                <w:rFonts w:ascii="Arial" w:hAnsi="Arial" w:cs="Arial"/>
                <w:lang w:eastAsia="en-US"/>
              </w:rPr>
            </w:pPr>
            <w:r w:rsidRPr="00B97BDB">
              <w:rPr>
                <w:rFonts w:ascii="Arial" w:hAnsi="Arial" w:cs="Arial"/>
                <w:lang w:eastAsia="en-US"/>
              </w:rPr>
              <w:t>Number of BMCs with staff trained to undertake technical andfinancial data validation</w:t>
            </w:r>
          </w:p>
          <w:p w:rsidR="00052899" w:rsidRPr="00CB6D59" w:rsidRDefault="00B97BDB" w:rsidP="00052899">
            <w:pPr>
              <w:pStyle w:val="ColorfulList-Accent11"/>
              <w:numPr>
                <w:ilvl w:val="0"/>
                <w:numId w:val="24"/>
              </w:numPr>
              <w:spacing w:after="0"/>
              <w:jc w:val="both"/>
              <w:rPr>
                <w:rFonts w:ascii="Arial" w:hAnsi="Arial" w:cs="Arial"/>
                <w:lang w:eastAsia="en-US"/>
              </w:rPr>
            </w:pPr>
            <w:r w:rsidRPr="00B97BDB">
              <w:rPr>
                <w:rFonts w:ascii="Arial" w:hAnsi="Arial" w:cs="Arial"/>
                <w:lang w:eastAsia="en-US"/>
              </w:rPr>
              <w:t>Number of districts, sub districts and CHPS zones with capacity build in micro planning</w:t>
            </w:r>
          </w:p>
          <w:p w:rsidR="00052899" w:rsidRPr="00CB6D59" w:rsidRDefault="00B97BDB" w:rsidP="00052899">
            <w:pPr>
              <w:pStyle w:val="ColorfulList-Accent11"/>
              <w:numPr>
                <w:ilvl w:val="0"/>
                <w:numId w:val="24"/>
              </w:numPr>
              <w:spacing w:after="0"/>
              <w:jc w:val="both"/>
              <w:rPr>
                <w:rFonts w:ascii="Arial" w:hAnsi="Arial" w:cs="Arial"/>
                <w:b/>
                <w:lang w:eastAsia="en-US"/>
              </w:rPr>
            </w:pPr>
            <w:r w:rsidRPr="00B97BDB">
              <w:rPr>
                <w:rFonts w:ascii="Arial" w:hAnsi="Arial" w:cs="Arial"/>
                <w:lang w:eastAsia="en-US"/>
              </w:rPr>
              <w:t>Performance management systems strengthened</w:t>
            </w:r>
          </w:p>
        </w:tc>
        <w:tc>
          <w:tcPr>
            <w:tcW w:w="90"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60"/>
              <w:jc w:val="both"/>
              <w:rPr>
                <w:rFonts w:cs="Arial"/>
                <w:noProof/>
                <w:sz w:val="20"/>
                <w:u w:val="single"/>
              </w:rPr>
            </w:pPr>
          </w:p>
        </w:tc>
        <w:tc>
          <w:tcPr>
            <w:tcW w:w="1408" w:type="pct"/>
            <w:tcBorders>
              <w:top w:val="single" w:sz="4" w:space="0" w:color="auto"/>
              <w:left w:val="single" w:sz="4" w:space="0" w:color="auto"/>
              <w:bottom w:val="single" w:sz="4" w:space="0" w:color="auto"/>
              <w:right w:val="single" w:sz="4" w:space="0" w:color="auto"/>
            </w:tcBorders>
            <w:shd w:val="clear" w:color="auto" w:fill="DBE5F1"/>
          </w:tcPr>
          <w:p w:rsidR="00052899" w:rsidRPr="00CB6D59" w:rsidRDefault="00B97BDB" w:rsidP="00052899">
            <w:pPr>
              <w:jc w:val="both"/>
              <w:rPr>
                <w:rFonts w:cs="Arial"/>
                <w:b/>
                <w:sz w:val="20"/>
              </w:rPr>
            </w:pPr>
            <w:r w:rsidRPr="00B97BDB">
              <w:rPr>
                <w:rFonts w:cs="Arial"/>
                <w:b/>
                <w:sz w:val="20"/>
              </w:rPr>
              <w:t>Related Intermediate Results Indicators:</w:t>
            </w:r>
          </w:p>
          <w:p w:rsidR="00052899" w:rsidRPr="00CB6D59" w:rsidRDefault="00B97BDB" w:rsidP="00052899">
            <w:pPr>
              <w:pStyle w:val="ColorfulList-Accent11"/>
              <w:numPr>
                <w:ilvl w:val="0"/>
                <w:numId w:val="23"/>
              </w:numPr>
              <w:spacing w:after="0"/>
              <w:jc w:val="both"/>
              <w:rPr>
                <w:rFonts w:ascii="Arial" w:hAnsi="Arial" w:cs="Arial"/>
                <w:b/>
                <w:lang w:eastAsia="en-US"/>
              </w:rPr>
            </w:pPr>
            <w:r w:rsidRPr="00B97BDB">
              <w:rPr>
                <w:rFonts w:ascii="Arial" w:hAnsi="Arial" w:cs="Arial"/>
                <w:i/>
                <w:lang w:eastAsia="en-US"/>
              </w:rPr>
              <w:t>percentage of districts reporting data completeness and timely in the DHIMS</w:t>
            </w:r>
          </w:p>
          <w:p w:rsidR="00052899" w:rsidRPr="00CB6D59" w:rsidRDefault="00B97BDB" w:rsidP="00052899">
            <w:pPr>
              <w:pStyle w:val="ColorfulList-Accent11"/>
              <w:numPr>
                <w:ilvl w:val="0"/>
                <w:numId w:val="23"/>
              </w:numPr>
              <w:spacing w:after="0"/>
              <w:jc w:val="both"/>
              <w:rPr>
                <w:rFonts w:ascii="Arial" w:hAnsi="Arial" w:cs="Arial"/>
                <w:lang w:eastAsia="en-US"/>
              </w:rPr>
            </w:pPr>
            <w:r w:rsidRPr="00B97BDB">
              <w:rPr>
                <w:rFonts w:ascii="Arial" w:hAnsi="Arial" w:cs="Arial"/>
                <w:lang w:eastAsia="en-US"/>
              </w:rPr>
              <w:t>Proportion of BMCs at the district level with  technical and financial data quarterly validated</w:t>
            </w:r>
          </w:p>
          <w:p w:rsidR="00052899" w:rsidRPr="00CB6D59" w:rsidRDefault="00B97BDB" w:rsidP="00052899">
            <w:pPr>
              <w:pStyle w:val="ColorfulList-Accent11"/>
              <w:numPr>
                <w:ilvl w:val="0"/>
                <w:numId w:val="23"/>
              </w:numPr>
              <w:spacing w:after="0"/>
              <w:jc w:val="both"/>
              <w:rPr>
                <w:rFonts w:ascii="Arial" w:hAnsi="Arial" w:cs="Arial"/>
                <w:b/>
                <w:lang w:eastAsia="en-US"/>
              </w:rPr>
            </w:pPr>
            <w:r w:rsidRPr="00B97BDB">
              <w:rPr>
                <w:rFonts w:ascii="Arial" w:hAnsi="Arial" w:cs="Arial"/>
                <w:lang w:eastAsia="en-US"/>
              </w:rPr>
              <w:t>Proportion of districts and sub-districts with integrated annual operational plans</w:t>
            </w:r>
          </w:p>
        </w:tc>
        <w:tc>
          <w:tcPr>
            <w:tcW w:w="90"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60"/>
              <w:jc w:val="both"/>
              <w:rPr>
                <w:rFonts w:cs="Arial"/>
                <w:noProof/>
                <w:sz w:val="20"/>
                <w:u w:val="single"/>
              </w:rPr>
            </w:pPr>
          </w:p>
        </w:tc>
        <w:tc>
          <w:tcPr>
            <w:tcW w:w="985" w:type="pct"/>
            <w:tcBorders>
              <w:top w:val="single" w:sz="4" w:space="0" w:color="auto"/>
              <w:left w:val="single" w:sz="4" w:space="0" w:color="auto"/>
              <w:bottom w:val="single" w:sz="4" w:space="0" w:color="auto"/>
              <w:right w:val="single" w:sz="4" w:space="0" w:color="auto"/>
            </w:tcBorders>
            <w:shd w:val="clear" w:color="auto" w:fill="F2DBDB"/>
          </w:tcPr>
          <w:p w:rsidR="00052899" w:rsidRPr="00CB6D59" w:rsidRDefault="00B97BDB" w:rsidP="00052899">
            <w:pPr>
              <w:jc w:val="both"/>
              <w:rPr>
                <w:rFonts w:cs="Arial"/>
                <w:b/>
                <w:sz w:val="20"/>
              </w:rPr>
            </w:pPr>
            <w:r w:rsidRPr="00B97BDB">
              <w:rPr>
                <w:rFonts w:cs="Arial"/>
                <w:b/>
                <w:sz w:val="20"/>
              </w:rPr>
              <w:t>Immunisation Outcomes:</w:t>
            </w:r>
          </w:p>
          <w:p w:rsidR="00052899" w:rsidRPr="00CB6D59" w:rsidRDefault="00052899" w:rsidP="00052899">
            <w:pPr>
              <w:keepNext/>
              <w:spacing w:before="240" w:after="60"/>
              <w:jc w:val="both"/>
              <w:rPr>
                <w:rFonts w:cs="Arial"/>
                <w:b/>
                <w:sz w:val="20"/>
              </w:rPr>
            </w:pPr>
          </w:p>
          <w:p w:rsidR="00052899" w:rsidRPr="00CB6D59" w:rsidRDefault="00B97BDB" w:rsidP="00052899">
            <w:pPr>
              <w:jc w:val="both"/>
              <w:rPr>
                <w:rFonts w:cs="Arial"/>
                <w:sz w:val="20"/>
              </w:rPr>
            </w:pPr>
            <w:r w:rsidRPr="00B97BDB">
              <w:rPr>
                <w:rFonts w:cs="Arial"/>
                <w:sz w:val="20"/>
              </w:rPr>
              <w:t>Geographic equity of PENTA 3 coverage - % of districts that have at or above 80% PENTA 3 coverage</w:t>
            </w:r>
          </w:p>
          <w:p w:rsidR="00052899" w:rsidRPr="00CB6D59" w:rsidRDefault="00052899" w:rsidP="00052899">
            <w:pPr>
              <w:keepNext/>
              <w:spacing w:before="240" w:after="60"/>
              <w:jc w:val="both"/>
              <w:rPr>
                <w:rFonts w:cs="Arial"/>
                <w:sz w:val="20"/>
              </w:rPr>
            </w:pPr>
          </w:p>
          <w:p w:rsidR="00052899" w:rsidRPr="00CB6D59" w:rsidRDefault="00B97BDB" w:rsidP="00052899">
            <w:pPr>
              <w:tabs>
                <w:tab w:val="left" w:pos="978"/>
              </w:tabs>
              <w:jc w:val="both"/>
              <w:rPr>
                <w:rFonts w:cs="Arial"/>
                <w:sz w:val="20"/>
              </w:rPr>
            </w:pPr>
            <w:r w:rsidRPr="00B97BDB">
              <w:rPr>
                <w:rFonts w:cs="Arial"/>
                <w:sz w:val="20"/>
              </w:rPr>
              <w:tab/>
            </w:r>
          </w:p>
        </w:tc>
        <w:tc>
          <w:tcPr>
            <w:tcW w:w="93" w:type="pct"/>
            <w:tcBorders>
              <w:top w:val="nil"/>
              <w:left w:val="single" w:sz="4" w:space="0" w:color="auto"/>
              <w:bottom w:val="nil"/>
              <w:right w:val="single" w:sz="4" w:space="0" w:color="auto"/>
            </w:tcBorders>
            <w:shd w:val="clear" w:color="auto" w:fill="FFFFFF"/>
          </w:tcPr>
          <w:p w:rsidR="00052899" w:rsidRPr="00CB6D59" w:rsidRDefault="00052899" w:rsidP="00052899">
            <w:pPr>
              <w:keepNext/>
              <w:spacing w:before="240" w:after="60"/>
              <w:jc w:val="both"/>
              <w:rPr>
                <w:rFonts w:cs="Arial"/>
                <w:b/>
                <w:i/>
                <w:sz w:val="20"/>
              </w:rPr>
            </w:pPr>
          </w:p>
        </w:tc>
      </w:tr>
      <w:tr w:rsidR="00052899" w:rsidRPr="00CB6D59">
        <w:trPr>
          <w:trHeight w:val="642"/>
        </w:trPr>
        <w:tc>
          <w:tcPr>
            <w:tcW w:w="5000" w:type="pct"/>
            <w:gridSpan w:val="7"/>
            <w:tcBorders>
              <w:top w:val="single" w:sz="4" w:space="0" w:color="auto"/>
            </w:tcBorders>
            <w:shd w:val="clear" w:color="auto" w:fill="FFFFFF"/>
          </w:tcPr>
          <w:p w:rsidR="00052899" w:rsidRPr="00CB6D59" w:rsidRDefault="00B97BDB" w:rsidP="00052899">
            <w:pPr>
              <w:spacing w:after="120"/>
              <w:jc w:val="both"/>
              <w:rPr>
                <w:rFonts w:cs="Arial"/>
                <w:b/>
                <w:i/>
                <w:sz w:val="20"/>
              </w:rPr>
            </w:pPr>
            <w:r w:rsidRPr="00B97BDB">
              <w:rPr>
                <w:rFonts w:cs="Arial"/>
                <w:b/>
                <w:i/>
                <w:sz w:val="20"/>
                <w:u w:val="single"/>
              </w:rPr>
              <w:t xml:space="preserve">IMPACT: </w:t>
            </w:r>
            <w:r w:rsidRPr="00B97BDB">
              <w:rPr>
                <w:rFonts w:cs="Arial"/>
                <w:b/>
                <w:i/>
                <w:sz w:val="20"/>
              </w:rPr>
              <w:t>Please provide an impact statement and indicator(s)</w:t>
            </w:r>
          </w:p>
          <w:p w:rsidR="00052899" w:rsidRPr="00CB6D59" w:rsidRDefault="00B97BDB" w:rsidP="00052899">
            <w:pPr>
              <w:spacing w:after="120"/>
              <w:jc w:val="both"/>
              <w:rPr>
                <w:rFonts w:cs="Arial"/>
                <w:b/>
                <w:i/>
                <w:sz w:val="20"/>
              </w:rPr>
            </w:pPr>
            <w:r w:rsidRPr="00B97BDB">
              <w:rPr>
                <w:rFonts w:cs="Arial"/>
                <w:b/>
                <w:i/>
                <w:sz w:val="20"/>
              </w:rPr>
              <w:t>Under five mortality rate (per 1000)</w:t>
            </w:r>
          </w:p>
          <w:p w:rsidR="00052899" w:rsidRPr="00CB6D59" w:rsidRDefault="00B97BDB" w:rsidP="00052899">
            <w:pPr>
              <w:spacing w:after="120"/>
              <w:jc w:val="both"/>
              <w:rPr>
                <w:rFonts w:cs="Arial"/>
                <w:b/>
                <w:i/>
                <w:sz w:val="20"/>
                <w:u w:val="single"/>
              </w:rPr>
            </w:pPr>
            <w:r w:rsidRPr="00B97BDB">
              <w:rPr>
                <w:rFonts w:cs="Arial"/>
                <w:b/>
                <w:i/>
                <w:sz w:val="20"/>
              </w:rPr>
              <w:t>Infant Mortality Rate (IMR) per 1,000</w:t>
            </w:r>
          </w:p>
        </w:tc>
      </w:tr>
      <w:tr w:rsidR="00052899" w:rsidRPr="00CB6D59">
        <w:trPr>
          <w:trHeight w:val="642"/>
        </w:trPr>
        <w:tc>
          <w:tcPr>
            <w:tcW w:w="5000" w:type="pct"/>
            <w:gridSpan w:val="7"/>
            <w:shd w:val="clear" w:color="auto" w:fill="FFFFFF"/>
          </w:tcPr>
          <w:p w:rsidR="00052899" w:rsidRPr="00CB6D59" w:rsidRDefault="00B97BDB" w:rsidP="00052899">
            <w:pPr>
              <w:spacing w:after="120"/>
              <w:jc w:val="both"/>
              <w:rPr>
                <w:rFonts w:cs="Arial"/>
                <w:b/>
                <w:i/>
                <w:sz w:val="20"/>
                <w:u w:val="single"/>
              </w:rPr>
            </w:pPr>
            <w:r w:rsidRPr="00B97BDB">
              <w:rPr>
                <w:rFonts w:cs="Arial"/>
                <w:b/>
                <w:i/>
                <w:sz w:val="20"/>
                <w:u w:val="single"/>
              </w:rPr>
              <w:lastRenderedPageBreak/>
              <w:t>ASSUMPTIONS:</w:t>
            </w:r>
          </w:p>
          <w:p w:rsidR="00052899" w:rsidRPr="00CB6D59" w:rsidRDefault="00B97BDB" w:rsidP="00052899">
            <w:pPr>
              <w:numPr>
                <w:ilvl w:val="0"/>
                <w:numId w:val="11"/>
              </w:numPr>
              <w:jc w:val="both"/>
              <w:rPr>
                <w:rFonts w:cs="Arial"/>
                <w:sz w:val="20"/>
              </w:rPr>
            </w:pPr>
            <w:r w:rsidRPr="00B97BDB">
              <w:rPr>
                <w:rFonts w:cs="Arial"/>
                <w:i/>
                <w:sz w:val="20"/>
              </w:rPr>
              <w:t>Political stability (stable environment)</w:t>
            </w:r>
          </w:p>
          <w:p w:rsidR="00052899" w:rsidRPr="00CB6D59" w:rsidRDefault="00B97BDB" w:rsidP="00052899">
            <w:pPr>
              <w:numPr>
                <w:ilvl w:val="0"/>
                <w:numId w:val="11"/>
              </w:numPr>
              <w:jc w:val="both"/>
              <w:rPr>
                <w:rFonts w:cs="Arial"/>
                <w:sz w:val="20"/>
              </w:rPr>
            </w:pPr>
            <w:r w:rsidRPr="00B97BDB">
              <w:rPr>
                <w:rFonts w:cs="Arial"/>
                <w:i/>
                <w:sz w:val="20"/>
              </w:rPr>
              <w:t xml:space="preserve">Absence of national disasters </w:t>
            </w:r>
          </w:p>
          <w:p w:rsidR="00052899" w:rsidRPr="00CB6D59" w:rsidRDefault="00B97BDB" w:rsidP="00052899">
            <w:pPr>
              <w:numPr>
                <w:ilvl w:val="0"/>
                <w:numId w:val="11"/>
              </w:numPr>
              <w:jc w:val="both"/>
              <w:rPr>
                <w:rFonts w:cs="Arial"/>
                <w:sz w:val="20"/>
              </w:rPr>
            </w:pPr>
            <w:r w:rsidRPr="00B97BDB">
              <w:rPr>
                <w:rFonts w:cs="Arial"/>
                <w:i/>
                <w:sz w:val="20"/>
              </w:rPr>
              <w:t>Availability of funds from Government and other sources</w:t>
            </w:r>
          </w:p>
          <w:p w:rsidR="00052899" w:rsidRPr="00CB6D59" w:rsidRDefault="00B97BDB" w:rsidP="00052899">
            <w:pPr>
              <w:numPr>
                <w:ilvl w:val="0"/>
                <w:numId w:val="11"/>
              </w:numPr>
              <w:jc w:val="both"/>
              <w:rPr>
                <w:rFonts w:cs="Arial"/>
                <w:sz w:val="20"/>
              </w:rPr>
            </w:pPr>
            <w:r w:rsidRPr="00B97BDB">
              <w:rPr>
                <w:rFonts w:cs="Arial"/>
                <w:i/>
                <w:sz w:val="20"/>
              </w:rPr>
              <w:t xml:space="preserve">Low staff attrition </w:t>
            </w:r>
          </w:p>
          <w:p w:rsidR="00052899" w:rsidRPr="00CB6D59" w:rsidRDefault="00B97BDB" w:rsidP="00052899">
            <w:pPr>
              <w:numPr>
                <w:ilvl w:val="0"/>
                <w:numId w:val="11"/>
              </w:numPr>
              <w:jc w:val="both"/>
              <w:rPr>
                <w:rFonts w:cs="Arial"/>
                <w:sz w:val="20"/>
              </w:rPr>
            </w:pPr>
            <w:r w:rsidRPr="00B97BDB">
              <w:rPr>
                <w:rFonts w:cs="Arial"/>
                <w:i/>
                <w:sz w:val="20"/>
              </w:rPr>
              <w:t>Low fiduciary risks</w:t>
            </w:r>
          </w:p>
          <w:p w:rsidR="00052899" w:rsidRPr="00CB6D59" w:rsidRDefault="00B97BDB" w:rsidP="00052899">
            <w:pPr>
              <w:numPr>
                <w:ilvl w:val="0"/>
                <w:numId w:val="11"/>
              </w:numPr>
              <w:jc w:val="both"/>
              <w:rPr>
                <w:rFonts w:cs="Arial"/>
                <w:sz w:val="20"/>
              </w:rPr>
            </w:pPr>
            <w:r w:rsidRPr="00B97BDB">
              <w:rPr>
                <w:rFonts w:cs="Arial"/>
                <w:i/>
                <w:sz w:val="20"/>
              </w:rPr>
              <w:t xml:space="preserve">Stable institutional arrangements </w:t>
            </w:r>
          </w:p>
        </w:tc>
      </w:tr>
    </w:tbl>
    <w:p w:rsidR="00052899" w:rsidRPr="00B40A7C" w:rsidRDefault="00052899" w:rsidP="00052899">
      <w:pPr>
        <w:jc w:val="both"/>
        <w:rPr>
          <w:rFonts w:cs="Arial"/>
          <w:szCs w:val="22"/>
        </w:rPr>
        <w:sectPr w:rsidR="00052899" w:rsidRPr="00B40A7C">
          <w:pgSz w:w="15840" w:h="12240" w:orient="landscape"/>
          <w:pgMar w:top="1440" w:right="1440" w:bottom="1440" w:left="1440" w:header="709" w:footer="709" w:gutter="0"/>
          <w:cols w:space="708"/>
          <w:docGrid w:linePitch="360"/>
        </w:sectPr>
      </w:pPr>
    </w:p>
    <w:tbl>
      <w:tblPr>
        <w:tblW w:w="5000" w:type="pct"/>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9576"/>
      </w:tblGrid>
      <w:tr w:rsidR="00052899" w:rsidRPr="00B40A7C">
        <w:tc>
          <w:tcPr>
            <w:tcW w:w="5000" w:type="pct"/>
            <w:tcBorders>
              <w:bottom w:val="single" w:sz="6" w:space="0" w:color="215868"/>
            </w:tcBorders>
            <w:shd w:val="clear" w:color="auto" w:fill="006666"/>
          </w:tcPr>
          <w:p w:rsidR="00052899" w:rsidRDefault="00052899" w:rsidP="00052899">
            <w:pPr>
              <w:pStyle w:val="Heading1"/>
              <w:rPr>
                <w:rFonts w:cs="Arial"/>
                <w:smallCaps/>
                <w:szCs w:val="22"/>
              </w:rPr>
            </w:pPr>
            <w:bookmarkStart w:id="634" w:name="_Toc346116657"/>
            <w:bookmarkStart w:id="635" w:name="_Toc357677792"/>
            <w:bookmarkStart w:id="636" w:name="_Toc369498560"/>
            <w:bookmarkStart w:id="637" w:name="_Toc377545402"/>
            <w:bookmarkStart w:id="638" w:name="_Toc377026215"/>
            <w:r w:rsidRPr="00291E76">
              <w:lastRenderedPageBreak/>
              <w:t xml:space="preserve">14. MONITORING &amp; EVALUATION </w:t>
            </w:r>
            <w:bookmarkEnd w:id="634"/>
            <w:r w:rsidRPr="00291E76">
              <w:t>FRAMEWORK</w:t>
            </w:r>
            <w:bookmarkEnd w:id="635"/>
            <w:bookmarkEnd w:id="636"/>
            <w:bookmarkEnd w:id="637"/>
            <w:r w:rsidRPr="00B40A7C">
              <w:rPr>
                <w:rFonts w:cs="Arial"/>
                <w:szCs w:val="22"/>
              </w:rPr>
              <w:t xml:space="preserve">  </w:t>
            </w:r>
            <w:bookmarkEnd w:id="638"/>
          </w:p>
        </w:tc>
      </w:tr>
      <w:tr w:rsidR="00052899" w:rsidRPr="00B40A7C">
        <w:trPr>
          <w:trHeight w:val="278"/>
        </w:trPr>
        <w:tc>
          <w:tcPr>
            <w:tcW w:w="5000" w:type="pct"/>
            <w:shd w:val="clear" w:color="auto" w:fill="FFFFFF"/>
          </w:tcPr>
          <w:p w:rsidR="00052899" w:rsidRPr="00B40A7C" w:rsidRDefault="00052899" w:rsidP="00052899">
            <w:pPr>
              <w:pStyle w:val="ColorfulList-Accent11"/>
              <w:ind w:left="0"/>
              <w:jc w:val="both"/>
              <w:rPr>
                <w:rFonts w:ascii="Arial" w:hAnsi="Arial" w:cs="Arial"/>
                <w:b/>
                <w:sz w:val="22"/>
                <w:szCs w:val="22"/>
                <w:lang w:eastAsia="en-US"/>
              </w:rPr>
            </w:pPr>
            <w:r w:rsidRPr="00B40A7C">
              <w:rPr>
                <w:rFonts w:ascii="Arial" w:hAnsi="Arial" w:cs="Arial"/>
                <w:b/>
                <w:sz w:val="22"/>
                <w:szCs w:val="22"/>
                <w:lang w:eastAsia="en-US"/>
              </w:rPr>
              <w:t>Mechanism for monitoring the HSS grant</w:t>
            </w:r>
          </w:p>
          <w:p w:rsidR="00052899" w:rsidRPr="00B40A7C" w:rsidRDefault="002246DF" w:rsidP="00052899">
            <w:pPr>
              <w:spacing w:after="240"/>
              <w:jc w:val="both"/>
              <w:rPr>
                <w:rFonts w:cs="Arial"/>
                <w:szCs w:val="22"/>
              </w:rPr>
            </w:pPr>
            <w:r>
              <w:rPr>
                <w:rFonts w:cs="Arial"/>
                <w:szCs w:val="22"/>
              </w:rPr>
              <w:t xml:space="preserve">The MoH has developed an M&amp;E framework to guide the implementation of HSMTDP (2014 -2017). </w:t>
            </w:r>
            <w:r w:rsidR="00052899" w:rsidRPr="00B40A7C">
              <w:rPr>
                <w:rFonts w:cs="Arial"/>
                <w:szCs w:val="22"/>
              </w:rPr>
              <w:t>The management of this support will include a comprehensive M&amp;E system, which is part of the regular M&amp;E process for the entire health sector. The emphasis is on monitoring action-relevant information, including data validation and feedback mechanisms. This proposal has a set of outputs related to activities that will be used to monitor progress towards the achievement of the outcomes. There is a set of intermediate results to measure the extent of progress on the outcomes. The levels for performance monitoring is describe</w:t>
            </w:r>
            <w:r w:rsidR="003A0EE0">
              <w:rPr>
                <w:rFonts w:cs="Arial"/>
                <w:szCs w:val="22"/>
              </w:rPr>
              <w:t>d</w:t>
            </w:r>
            <w:r w:rsidR="00052899" w:rsidRPr="00B40A7C">
              <w:rPr>
                <w:rFonts w:cs="Arial"/>
                <w:szCs w:val="22"/>
              </w:rPr>
              <w:t xml:space="preserve"> as follows: </w:t>
            </w:r>
          </w:p>
          <w:p w:rsidR="00052899" w:rsidRPr="00B40A7C" w:rsidRDefault="00052899" w:rsidP="00052899">
            <w:pPr>
              <w:spacing w:after="240"/>
              <w:jc w:val="both"/>
              <w:rPr>
                <w:rFonts w:cs="Arial"/>
                <w:szCs w:val="22"/>
              </w:rPr>
            </w:pPr>
            <w:r w:rsidRPr="00B40A7C">
              <w:rPr>
                <w:rFonts w:cs="Arial"/>
                <w:szCs w:val="22"/>
              </w:rPr>
              <w:t xml:space="preserve">District level – (i) Quarterly review with sub-districts (ii) supportive supervisory and monitoring visits (iii) monthly data validation and feedback. </w:t>
            </w:r>
          </w:p>
          <w:p w:rsidR="00052899" w:rsidRPr="00B40A7C" w:rsidRDefault="00052899" w:rsidP="00052899">
            <w:pPr>
              <w:spacing w:after="240"/>
              <w:jc w:val="both"/>
              <w:rPr>
                <w:rFonts w:cs="Arial"/>
                <w:szCs w:val="22"/>
              </w:rPr>
            </w:pPr>
            <w:r w:rsidRPr="00B40A7C">
              <w:rPr>
                <w:rFonts w:cs="Arial"/>
                <w:szCs w:val="22"/>
              </w:rPr>
              <w:t xml:space="preserve">Regional level – (i) </w:t>
            </w:r>
            <w:r>
              <w:rPr>
                <w:rFonts w:cs="Arial"/>
                <w:szCs w:val="22"/>
              </w:rPr>
              <w:t>M</w:t>
            </w:r>
            <w:r w:rsidRPr="00B40A7C">
              <w:rPr>
                <w:rFonts w:cs="Arial"/>
                <w:szCs w:val="22"/>
              </w:rPr>
              <w:t xml:space="preserve">onitor results primarily through the DHIMS and send feedback to the district level. (ii) Quarterly monitoring visits to all districts to provide technical guidance. (iii) quarterly and annual performance reviews </w:t>
            </w:r>
          </w:p>
          <w:p w:rsidR="00052899" w:rsidRPr="00B40A7C" w:rsidRDefault="00052899" w:rsidP="00052899">
            <w:pPr>
              <w:spacing w:after="240"/>
              <w:jc w:val="both"/>
              <w:rPr>
                <w:rFonts w:cs="Arial"/>
                <w:szCs w:val="22"/>
              </w:rPr>
            </w:pPr>
            <w:r w:rsidRPr="00B40A7C">
              <w:rPr>
                <w:rFonts w:cs="Arial"/>
                <w:szCs w:val="22"/>
              </w:rPr>
              <w:t xml:space="preserve">National level – (i) </w:t>
            </w:r>
            <w:r>
              <w:rPr>
                <w:rFonts w:cs="Arial"/>
                <w:szCs w:val="22"/>
              </w:rPr>
              <w:t>Q</w:t>
            </w:r>
            <w:r w:rsidRPr="00B40A7C">
              <w:rPr>
                <w:rFonts w:cs="Arial"/>
                <w:szCs w:val="22"/>
              </w:rPr>
              <w:t xml:space="preserve">uarterly MoH/health partners’ joint monitoring, (ii) half year and annual reviews, (iii) quarterly managerial and technical visits to regions and districts, (iv) health summit to assess the performance of the sector (including performance of health partners), (v) quarterly business meeting to report progress made in implementing health sector annual programme of work as well as other development partner intervention support. The health summit ends with a signed aide memoire between </w:t>
            </w:r>
            <w:r w:rsidR="00472AFA">
              <w:rPr>
                <w:rFonts w:cs="Arial"/>
                <w:szCs w:val="22"/>
              </w:rPr>
              <w:t>MOH</w:t>
            </w:r>
            <w:r w:rsidR="003A0EE0">
              <w:rPr>
                <w:rFonts w:cs="Arial"/>
                <w:szCs w:val="22"/>
              </w:rPr>
              <w:t xml:space="preserve"> </w:t>
            </w:r>
            <w:r w:rsidRPr="00B40A7C">
              <w:rPr>
                <w:rFonts w:cs="Arial"/>
                <w:szCs w:val="22"/>
              </w:rPr>
              <w:t xml:space="preserve">and DPs, which is monitored quarterly.  </w:t>
            </w:r>
          </w:p>
          <w:p w:rsidR="00052899" w:rsidRPr="00B40A7C" w:rsidRDefault="00052899" w:rsidP="00052899">
            <w:pPr>
              <w:spacing w:after="240"/>
              <w:jc w:val="both"/>
              <w:rPr>
                <w:rFonts w:cs="Arial"/>
                <w:szCs w:val="22"/>
              </w:rPr>
            </w:pPr>
            <w:r w:rsidRPr="00B40A7C">
              <w:rPr>
                <w:rFonts w:cs="Arial"/>
                <w:b/>
                <w:szCs w:val="22"/>
              </w:rPr>
              <w:t>Data source for M&amp;E</w:t>
            </w:r>
          </w:p>
          <w:p w:rsidR="00052899" w:rsidRPr="00B40A7C" w:rsidRDefault="00052899" w:rsidP="00052899">
            <w:pPr>
              <w:spacing w:after="240"/>
              <w:jc w:val="both"/>
              <w:rPr>
                <w:rFonts w:cs="Arial"/>
                <w:b/>
                <w:szCs w:val="22"/>
              </w:rPr>
            </w:pPr>
            <w:r w:rsidRPr="00B40A7C">
              <w:rPr>
                <w:rFonts w:cs="Arial"/>
                <w:szCs w:val="22"/>
              </w:rPr>
              <w:t>The main data source for routine monitoring and evaluation of performance is from the DHIMS platform. Both manual and electronic systems are employed as the primary data source. At the community and sub district levels, the eRegister database system is used to capture and transmit data into DHIMS at the district level</w:t>
            </w:r>
            <w:r>
              <w:rPr>
                <w:rFonts w:cs="Arial"/>
                <w:szCs w:val="22"/>
              </w:rPr>
              <w:t xml:space="preserve"> on pilot</w:t>
            </w:r>
            <w:r w:rsidRPr="00B40A7C">
              <w:rPr>
                <w:rFonts w:cs="Arial"/>
                <w:szCs w:val="22"/>
              </w:rPr>
              <w:t xml:space="preserve">. However, most sub districts are using the manual system which has implication for data quality. </w:t>
            </w:r>
            <w:r>
              <w:rPr>
                <w:rFonts w:cs="Arial"/>
                <w:szCs w:val="22"/>
              </w:rPr>
              <w:t>Client specific immunisation data is obtained from child health record and child welfare clinic register.</w:t>
            </w:r>
          </w:p>
          <w:p w:rsidR="00052899" w:rsidRPr="00B40A7C" w:rsidRDefault="00052899" w:rsidP="00052899">
            <w:pPr>
              <w:spacing w:after="240"/>
              <w:jc w:val="both"/>
              <w:rPr>
                <w:rFonts w:cs="Arial"/>
                <w:szCs w:val="22"/>
              </w:rPr>
            </w:pPr>
            <w:r>
              <w:rPr>
                <w:rFonts w:cs="Arial"/>
                <w:szCs w:val="22"/>
              </w:rPr>
              <w:t>P</w:t>
            </w:r>
            <w:r w:rsidRPr="00B40A7C">
              <w:rPr>
                <w:rFonts w:cs="Arial"/>
                <w:szCs w:val="22"/>
              </w:rPr>
              <w:t xml:space="preserve">rogress </w:t>
            </w:r>
            <w:r>
              <w:rPr>
                <w:rFonts w:cs="Arial"/>
                <w:szCs w:val="22"/>
              </w:rPr>
              <w:t>on</w:t>
            </w:r>
            <w:r w:rsidRPr="00B40A7C">
              <w:rPr>
                <w:rFonts w:cs="Arial"/>
                <w:szCs w:val="22"/>
              </w:rPr>
              <w:t xml:space="preserve"> the implementation of the GAVI/HSS </w:t>
            </w:r>
            <w:r>
              <w:rPr>
                <w:rFonts w:cs="Arial"/>
                <w:szCs w:val="22"/>
              </w:rPr>
              <w:t xml:space="preserve">grant will be reported through the </w:t>
            </w:r>
            <w:r w:rsidRPr="00B40A7C">
              <w:rPr>
                <w:rFonts w:cs="Arial"/>
                <w:szCs w:val="22"/>
              </w:rPr>
              <w:t>existing reporting systems (which is from sub districts through districts, regions to national level using the DHIMS). In addition to the routine system, the outcome and impact indicators will be reported through surveys (MICS and DHS) and the other process monitoring systems including operational research.</w:t>
            </w:r>
          </w:p>
          <w:p w:rsidR="00052899" w:rsidRPr="00B40A7C" w:rsidRDefault="00052899" w:rsidP="00052899">
            <w:pPr>
              <w:spacing w:after="240"/>
              <w:jc w:val="both"/>
              <w:rPr>
                <w:rFonts w:cs="Arial"/>
                <w:szCs w:val="22"/>
              </w:rPr>
            </w:pPr>
            <w:r w:rsidRPr="00B40A7C">
              <w:rPr>
                <w:rFonts w:cs="Arial"/>
                <w:szCs w:val="22"/>
              </w:rPr>
              <w:t>In relation to EPI, specific surveys are undertaken to inform management decisions. These include coverage survey</w:t>
            </w:r>
            <w:r w:rsidR="003A0EE0">
              <w:rPr>
                <w:rFonts w:cs="Arial"/>
                <w:szCs w:val="22"/>
              </w:rPr>
              <w:t>s</w:t>
            </w:r>
            <w:r w:rsidRPr="00B40A7C">
              <w:rPr>
                <w:rFonts w:cs="Arial"/>
                <w:szCs w:val="22"/>
              </w:rPr>
              <w:t>, EVM</w:t>
            </w:r>
            <w:r>
              <w:rPr>
                <w:rFonts w:cs="Arial"/>
                <w:szCs w:val="22"/>
              </w:rPr>
              <w:t>A</w:t>
            </w:r>
            <w:r w:rsidRPr="00B40A7C">
              <w:rPr>
                <w:rFonts w:cs="Arial"/>
                <w:szCs w:val="22"/>
              </w:rPr>
              <w:t>, cold chain inventory, dropout surveys, KAP, safety monitoring (AEFI). There is also quarterly and annual EPI reviews at all levels to identify challenges and re-strategise.</w:t>
            </w:r>
          </w:p>
          <w:p w:rsidR="00052899" w:rsidRPr="00B40A7C" w:rsidRDefault="00052899" w:rsidP="00052899">
            <w:pPr>
              <w:spacing w:after="240"/>
              <w:jc w:val="both"/>
              <w:rPr>
                <w:rFonts w:cs="Arial"/>
                <w:b/>
                <w:szCs w:val="22"/>
              </w:rPr>
            </w:pPr>
            <w:r w:rsidRPr="00B40A7C">
              <w:rPr>
                <w:rFonts w:cs="Arial"/>
                <w:b/>
                <w:szCs w:val="22"/>
              </w:rPr>
              <w:t>M&amp;E systems strengthening activities</w:t>
            </w:r>
          </w:p>
          <w:p w:rsidR="00052899" w:rsidRPr="00B40A7C" w:rsidRDefault="00472AFA" w:rsidP="003A0EE0">
            <w:pPr>
              <w:spacing w:after="240"/>
              <w:jc w:val="both"/>
              <w:rPr>
                <w:rFonts w:cs="Arial"/>
                <w:szCs w:val="22"/>
              </w:rPr>
            </w:pPr>
            <w:r>
              <w:rPr>
                <w:rFonts w:cs="Arial"/>
                <w:szCs w:val="22"/>
              </w:rPr>
              <w:t>M</w:t>
            </w:r>
            <w:r w:rsidR="003A0EE0">
              <w:rPr>
                <w:rFonts w:cs="Arial"/>
                <w:szCs w:val="22"/>
              </w:rPr>
              <w:t>o</w:t>
            </w:r>
            <w:r>
              <w:rPr>
                <w:rFonts w:cs="Arial"/>
                <w:szCs w:val="22"/>
              </w:rPr>
              <w:t>H</w:t>
            </w:r>
            <w:r w:rsidR="003A0EE0">
              <w:rPr>
                <w:rFonts w:cs="Arial"/>
                <w:szCs w:val="22"/>
              </w:rPr>
              <w:t xml:space="preserve"> </w:t>
            </w:r>
            <w:r w:rsidR="00052899" w:rsidRPr="00B40A7C">
              <w:rPr>
                <w:rFonts w:cs="Arial"/>
                <w:szCs w:val="22"/>
              </w:rPr>
              <w:t>has a technical unit responsible for coordinating M&amp;E activities within the sector. In</w:t>
            </w:r>
            <w:r w:rsidR="00052899">
              <w:rPr>
                <w:rFonts w:cs="Arial"/>
                <w:szCs w:val="22"/>
              </w:rPr>
              <w:t xml:space="preserve"> a </w:t>
            </w:r>
            <w:r w:rsidR="00052899" w:rsidRPr="00B40A7C">
              <w:rPr>
                <w:rFonts w:cs="Arial"/>
                <w:szCs w:val="22"/>
              </w:rPr>
              <w:t xml:space="preserve">bid to strengthen M&amp;E </w:t>
            </w:r>
            <w:r>
              <w:rPr>
                <w:rFonts w:cs="Arial"/>
                <w:szCs w:val="22"/>
              </w:rPr>
              <w:t>M</w:t>
            </w:r>
            <w:r w:rsidR="003A0EE0">
              <w:rPr>
                <w:rFonts w:cs="Arial"/>
                <w:szCs w:val="22"/>
              </w:rPr>
              <w:t>o</w:t>
            </w:r>
            <w:r>
              <w:rPr>
                <w:rFonts w:cs="Arial"/>
                <w:szCs w:val="22"/>
              </w:rPr>
              <w:t>H</w:t>
            </w:r>
            <w:r w:rsidR="003A0EE0">
              <w:rPr>
                <w:rFonts w:cs="Arial"/>
                <w:szCs w:val="22"/>
              </w:rPr>
              <w:t xml:space="preserve"> </w:t>
            </w:r>
            <w:r w:rsidR="00052899" w:rsidRPr="00B40A7C">
              <w:rPr>
                <w:rFonts w:cs="Arial"/>
                <w:szCs w:val="22"/>
              </w:rPr>
              <w:t xml:space="preserve">has developed and implemented M&amp;E framework which is currently under review. It is noted that M&amp;E activities in the sector are not harmonised and as such, </w:t>
            </w:r>
            <w:r>
              <w:rPr>
                <w:rFonts w:cs="Arial"/>
                <w:szCs w:val="22"/>
              </w:rPr>
              <w:t>MOH</w:t>
            </w:r>
            <w:r w:rsidR="003A0EE0">
              <w:rPr>
                <w:rFonts w:cs="Arial"/>
                <w:szCs w:val="22"/>
              </w:rPr>
              <w:t xml:space="preserve"> </w:t>
            </w:r>
            <w:r w:rsidR="00052899" w:rsidRPr="00B40A7C">
              <w:rPr>
                <w:rFonts w:cs="Arial"/>
                <w:szCs w:val="22"/>
              </w:rPr>
              <w:t>developed its first integrated M&amp;E</w:t>
            </w:r>
            <w:r w:rsidR="00052899">
              <w:rPr>
                <w:rFonts w:cs="Arial"/>
                <w:szCs w:val="22"/>
              </w:rPr>
              <w:t xml:space="preserve"> system</w:t>
            </w:r>
            <w:r w:rsidR="00052899" w:rsidRPr="00B40A7C">
              <w:rPr>
                <w:rFonts w:cs="Arial"/>
                <w:szCs w:val="22"/>
              </w:rPr>
              <w:t xml:space="preserve"> which so</w:t>
            </w:r>
            <w:r w:rsidR="003A0EE0">
              <w:rPr>
                <w:rFonts w:cs="Arial"/>
                <w:szCs w:val="22"/>
              </w:rPr>
              <w:t>ugh</w:t>
            </w:r>
            <w:r w:rsidR="00052899" w:rsidRPr="00B40A7C">
              <w:rPr>
                <w:rFonts w:cs="Arial"/>
                <w:szCs w:val="22"/>
              </w:rPr>
              <w:t xml:space="preserve">t to coordinate all programmatic and </w:t>
            </w:r>
            <w:r w:rsidR="00052899" w:rsidRPr="00B40A7C">
              <w:rPr>
                <w:rFonts w:cs="Arial"/>
                <w:szCs w:val="22"/>
              </w:rPr>
              <w:lastRenderedPageBreak/>
              <w:t xml:space="preserve">routine activities. The integrated system needs to be strengthened to ensure effective and efficient outcomes. In </w:t>
            </w:r>
            <w:r w:rsidR="003A0EE0">
              <w:rPr>
                <w:rFonts w:cs="Arial"/>
                <w:szCs w:val="22"/>
              </w:rPr>
              <w:t>complementing efforts aimed at strengthening the M&amp;E system this proposal will support the following activities</w:t>
            </w:r>
          </w:p>
          <w:p w:rsidR="00052899" w:rsidRPr="00B40A7C" w:rsidRDefault="00052899" w:rsidP="003A0EE0">
            <w:pPr>
              <w:pStyle w:val="ColorfulList-Accent11"/>
              <w:numPr>
                <w:ilvl w:val="0"/>
                <w:numId w:val="25"/>
              </w:numPr>
              <w:spacing w:after="240"/>
              <w:jc w:val="both"/>
              <w:rPr>
                <w:rFonts w:ascii="Arial" w:hAnsi="Arial" w:cs="Arial"/>
                <w:sz w:val="22"/>
                <w:szCs w:val="22"/>
                <w:lang w:eastAsia="en-US"/>
              </w:rPr>
            </w:pPr>
            <w:r w:rsidRPr="00B40A7C">
              <w:rPr>
                <w:rFonts w:ascii="Arial" w:hAnsi="Arial" w:cs="Arial"/>
                <w:sz w:val="22"/>
                <w:szCs w:val="22"/>
                <w:lang w:eastAsia="en-US"/>
              </w:rPr>
              <w:t>Build capacity for M&amp;E at all levels</w:t>
            </w:r>
            <w:r w:rsidR="009140F5">
              <w:rPr>
                <w:rFonts w:ascii="Arial" w:hAnsi="Arial" w:cs="Arial"/>
                <w:sz w:val="22"/>
                <w:szCs w:val="22"/>
                <w:lang w:eastAsia="en-US"/>
              </w:rPr>
              <w:t>:</w:t>
            </w:r>
            <w:r w:rsidR="00222C03">
              <w:rPr>
                <w:rFonts w:ascii="Arial" w:hAnsi="Arial" w:cs="Arial"/>
                <w:sz w:val="22"/>
                <w:szCs w:val="22"/>
                <w:lang w:eastAsia="en-US"/>
              </w:rPr>
              <w:t xml:space="preserve"> </w:t>
            </w:r>
          </w:p>
          <w:p w:rsidR="00052899" w:rsidRPr="00B40A7C" w:rsidRDefault="00052899" w:rsidP="009140F5">
            <w:pPr>
              <w:pStyle w:val="ColorfulList-Accent11"/>
              <w:numPr>
                <w:ilvl w:val="1"/>
                <w:numId w:val="25"/>
              </w:numPr>
              <w:spacing w:after="240"/>
              <w:jc w:val="both"/>
              <w:rPr>
                <w:rFonts w:ascii="Arial" w:hAnsi="Arial" w:cs="Arial"/>
                <w:sz w:val="22"/>
                <w:szCs w:val="22"/>
                <w:lang w:eastAsia="en-US"/>
              </w:rPr>
            </w:pPr>
            <w:r w:rsidRPr="00B40A7C">
              <w:rPr>
                <w:rFonts w:ascii="Arial" w:hAnsi="Arial" w:cs="Arial"/>
                <w:sz w:val="22"/>
                <w:szCs w:val="22"/>
                <w:lang w:eastAsia="en-US"/>
              </w:rPr>
              <w:t>Strengthen the integrated M&amp;E systems</w:t>
            </w:r>
            <w:r w:rsidR="003A0EE0">
              <w:rPr>
                <w:rFonts w:ascii="Arial" w:hAnsi="Arial" w:cs="Arial"/>
                <w:sz w:val="22"/>
                <w:szCs w:val="22"/>
                <w:lang w:eastAsia="en-US"/>
              </w:rPr>
              <w:t>,</w:t>
            </w:r>
            <w:r w:rsidR="00222C03">
              <w:rPr>
                <w:rFonts w:ascii="Arial" w:hAnsi="Arial" w:cs="Arial"/>
                <w:sz w:val="22"/>
                <w:szCs w:val="22"/>
                <w:lang w:eastAsia="en-US"/>
              </w:rPr>
              <w:t xml:space="preserve"> Develop and implement integrated M&amp;E checklist in monitoring district.</w:t>
            </w:r>
            <w:r w:rsidR="009140F5">
              <w:rPr>
                <w:rFonts w:ascii="Arial" w:hAnsi="Arial" w:cs="Arial"/>
                <w:sz w:val="22"/>
                <w:szCs w:val="22"/>
                <w:lang w:eastAsia="en-US"/>
              </w:rPr>
              <w:t>,</w:t>
            </w:r>
            <w:r w:rsidR="00222C03">
              <w:rPr>
                <w:rFonts w:ascii="Arial" w:hAnsi="Arial" w:cs="Arial"/>
                <w:sz w:val="22"/>
                <w:szCs w:val="22"/>
                <w:lang w:eastAsia="en-US"/>
              </w:rPr>
              <w:t xml:space="preserve"> Monthly performance monitoring based on the newly developed indicators</w:t>
            </w:r>
          </w:p>
          <w:p w:rsidR="00052899" w:rsidRPr="00B40A7C" w:rsidRDefault="00052899" w:rsidP="009140F5">
            <w:pPr>
              <w:pStyle w:val="ColorfulList-Accent11"/>
              <w:numPr>
                <w:ilvl w:val="1"/>
                <w:numId w:val="25"/>
              </w:numPr>
              <w:spacing w:after="240"/>
              <w:jc w:val="both"/>
              <w:rPr>
                <w:rFonts w:ascii="Arial" w:hAnsi="Arial" w:cs="Arial"/>
                <w:sz w:val="22"/>
                <w:szCs w:val="22"/>
                <w:lang w:eastAsia="en-US"/>
              </w:rPr>
            </w:pPr>
            <w:r w:rsidRPr="00B40A7C">
              <w:rPr>
                <w:rFonts w:ascii="Arial" w:hAnsi="Arial" w:cs="Arial"/>
                <w:sz w:val="22"/>
                <w:szCs w:val="22"/>
                <w:lang w:eastAsia="en-US"/>
              </w:rPr>
              <w:t>Strengthen data management systems at the facility level</w:t>
            </w:r>
            <w:r w:rsidR="009140F5">
              <w:rPr>
                <w:rFonts w:ascii="Arial" w:hAnsi="Arial" w:cs="Arial"/>
                <w:sz w:val="22"/>
                <w:szCs w:val="22"/>
                <w:lang w:eastAsia="en-US"/>
              </w:rPr>
              <w:t xml:space="preserve"> including</w:t>
            </w:r>
            <w:r w:rsidR="00222C03">
              <w:rPr>
                <w:rFonts w:ascii="Arial" w:hAnsi="Arial" w:cs="Arial"/>
                <w:sz w:val="22"/>
                <w:szCs w:val="22"/>
                <w:lang w:eastAsia="en-US"/>
              </w:rPr>
              <w:t xml:space="preserve"> Data Quality training on DHIMS 2 and </w:t>
            </w:r>
            <w:r w:rsidR="009140F5">
              <w:rPr>
                <w:rFonts w:ascii="Arial" w:hAnsi="Arial" w:cs="Arial"/>
                <w:sz w:val="22"/>
                <w:szCs w:val="22"/>
                <w:lang w:eastAsia="en-US"/>
              </w:rPr>
              <w:t>the use of information for evidence based decision making.</w:t>
            </w:r>
            <w:r w:rsidRPr="00B40A7C">
              <w:rPr>
                <w:rFonts w:ascii="Arial" w:hAnsi="Arial" w:cs="Arial"/>
                <w:sz w:val="22"/>
                <w:szCs w:val="22"/>
                <w:lang w:eastAsia="en-US"/>
              </w:rPr>
              <w:t xml:space="preserve">  </w:t>
            </w:r>
          </w:p>
          <w:p w:rsidR="00052899" w:rsidRPr="00B40A7C" w:rsidRDefault="00052899" w:rsidP="00052899">
            <w:pPr>
              <w:spacing w:after="240"/>
              <w:jc w:val="both"/>
              <w:rPr>
                <w:rFonts w:cs="Arial"/>
                <w:b/>
                <w:szCs w:val="22"/>
              </w:rPr>
            </w:pPr>
            <w:r w:rsidRPr="00B40A7C">
              <w:rPr>
                <w:rFonts w:cs="Arial"/>
                <w:b/>
                <w:szCs w:val="22"/>
              </w:rPr>
              <w:t>PBF performance indicator</w:t>
            </w:r>
          </w:p>
          <w:p w:rsidR="00052899" w:rsidRPr="00B40A7C" w:rsidRDefault="00052899" w:rsidP="00052899">
            <w:pPr>
              <w:spacing w:after="240"/>
              <w:jc w:val="both"/>
              <w:rPr>
                <w:rFonts w:cs="Arial"/>
                <w:szCs w:val="22"/>
              </w:rPr>
            </w:pPr>
            <w:r w:rsidRPr="00B40A7C">
              <w:rPr>
                <w:rFonts w:cs="Arial"/>
                <w:szCs w:val="22"/>
              </w:rPr>
              <w:t xml:space="preserve">To facilitate M&amp;E for PBF, </w:t>
            </w:r>
            <w:r w:rsidR="00CE6D0E">
              <w:rPr>
                <w:rFonts w:cs="Arial"/>
                <w:szCs w:val="22"/>
              </w:rPr>
              <w:t xml:space="preserve">the number of children (male and female) immunised for </w:t>
            </w:r>
            <w:r w:rsidRPr="00B40A7C">
              <w:rPr>
                <w:rFonts w:cs="Arial"/>
                <w:szCs w:val="22"/>
              </w:rPr>
              <w:t xml:space="preserve">PENTA </w:t>
            </w:r>
            <w:r w:rsidR="00CE6D0E">
              <w:rPr>
                <w:rFonts w:cs="Arial"/>
                <w:szCs w:val="22"/>
              </w:rPr>
              <w:t xml:space="preserve">1, 2, and </w:t>
            </w:r>
            <w:r w:rsidRPr="00B40A7C">
              <w:rPr>
                <w:rFonts w:cs="Arial"/>
                <w:szCs w:val="22"/>
              </w:rPr>
              <w:t>3 has been chosen as the prime indicator.</w:t>
            </w:r>
            <w:r w:rsidR="00CE6D0E">
              <w:rPr>
                <w:rFonts w:cs="Arial"/>
                <w:szCs w:val="22"/>
              </w:rPr>
              <w:t xml:space="preserve"> </w:t>
            </w:r>
          </w:p>
          <w:p w:rsidR="00052899" w:rsidRPr="00B40A7C" w:rsidRDefault="00CE6D0E" w:rsidP="009140F5">
            <w:pPr>
              <w:spacing w:after="240"/>
              <w:jc w:val="both"/>
              <w:rPr>
                <w:rFonts w:cs="Arial"/>
                <w:szCs w:val="22"/>
              </w:rPr>
            </w:pPr>
            <w:r>
              <w:rPr>
                <w:rFonts w:cs="Arial"/>
                <w:szCs w:val="22"/>
              </w:rPr>
              <w:t xml:space="preserve">PENTA 3 (DPT 3) has been </w:t>
            </w:r>
            <w:r w:rsidR="009140F5">
              <w:rPr>
                <w:rFonts w:cs="Arial"/>
                <w:szCs w:val="22"/>
              </w:rPr>
              <w:t xml:space="preserve">the </w:t>
            </w:r>
            <w:r>
              <w:rPr>
                <w:rFonts w:cs="Arial"/>
                <w:szCs w:val="22"/>
              </w:rPr>
              <w:t>proxy indicator for immunisation. The PBF will</w:t>
            </w:r>
            <w:r w:rsidR="009140F5">
              <w:rPr>
                <w:rFonts w:cs="Arial"/>
                <w:szCs w:val="22"/>
              </w:rPr>
              <w:t xml:space="preserve"> support efforts to immunisation coverage in </w:t>
            </w:r>
            <w:r>
              <w:rPr>
                <w:rFonts w:cs="Arial"/>
                <w:szCs w:val="22"/>
              </w:rPr>
              <w:t>all the three vaccinations. This will help address the gaps in drop outs rate for this indicator.</w:t>
            </w:r>
          </w:p>
          <w:p w:rsidR="00052899" w:rsidRPr="00B40A7C" w:rsidRDefault="00052899" w:rsidP="00052899">
            <w:pPr>
              <w:spacing w:after="240"/>
              <w:jc w:val="both"/>
              <w:rPr>
                <w:rFonts w:cs="Arial"/>
                <w:szCs w:val="22"/>
              </w:rPr>
            </w:pPr>
          </w:p>
          <w:p w:rsidR="00052899" w:rsidRPr="00B40A7C" w:rsidRDefault="00052899" w:rsidP="00052899">
            <w:pPr>
              <w:spacing w:after="240"/>
              <w:jc w:val="both"/>
              <w:rPr>
                <w:rFonts w:cs="Arial"/>
                <w:szCs w:val="22"/>
              </w:rPr>
            </w:pPr>
          </w:p>
        </w:tc>
      </w:tr>
    </w:tbl>
    <w:p w:rsidR="00052899" w:rsidRPr="00B40A7C" w:rsidRDefault="00052899" w:rsidP="00052899">
      <w:pPr>
        <w:jc w:val="both"/>
        <w:rPr>
          <w:rFonts w:cs="Arial"/>
          <w:szCs w:val="22"/>
        </w:rPr>
      </w:pPr>
    </w:p>
    <w:p w:rsidR="00052899" w:rsidRDefault="00052899" w:rsidP="00052899">
      <w:pPr>
        <w:spacing w:after="200" w:line="276" w:lineRule="auto"/>
        <w:jc w:val="both"/>
        <w:rPr>
          <w:rFonts w:cs="Arial"/>
          <w:szCs w:val="22"/>
        </w:rPr>
      </w:pPr>
      <w:r>
        <w:rPr>
          <w:rFonts w:cs="Arial"/>
          <w:szCs w:val="22"/>
        </w:rPr>
        <w:br w:type="page"/>
      </w:r>
    </w:p>
    <w:tbl>
      <w:tblPr>
        <w:tblW w:w="9540" w:type="dxa"/>
        <w:tblInd w:w="-432"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ook w:val="0000"/>
      </w:tblPr>
      <w:tblGrid>
        <w:gridCol w:w="9540"/>
      </w:tblGrid>
      <w:tr w:rsidR="00052899" w:rsidRPr="00B40A7C">
        <w:tc>
          <w:tcPr>
            <w:tcW w:w="9540" w:type="dxa"/>
            <w:tcBorders>
              <w:bottom w:val="single" w:sz="6" w:space="0" w:color="215868"/>
            </w:tcBorders>
            <w:shd w:val="clear" w:color="auto" w:fill="006460"/>
          </w:tcPr>
          <w:p w:rsidR="00052899" w:rsidRPr="00291E76" w:rsidRDefault="00052899" w:rsidP="00052899">
            <w:pPr>
              <w:pStyle w:val="Heading1"/>
            </w:pPr>
            <w:bookmarkStart w:id="639" w:name="_Toc377545403"/>
            <w:r w:rsidRPr="00291E76">
              <w:t>PART E – BUDGET, ANALYSIS AND WORKPLAN</w:t>
            </w:r>
            <w:bookmarkEnd w:id="639"/>
          </w:p>
        </w:tc>
      </w:tr>
      <w:tr w:rsidR="00052899" w:rsidRPr="00B40A7C">
        <w:tc>
          <w:tcPr>
            <w:tcW w:w="9540" w:type="dxa"/>
            <w:tcBorders>
              <w:bottom w:val="single" w:sz="6" w:space="0" w:color="215868"/>
            </w:tcBorders>
            <w:shd w:val="clear" w:color="auto" w:fill="006460"/>
          </w:tcPr>
          <w:p w:rsidR="00052899" w:rsidRDefault="00052899" w:rsidP="00052899">
            <w:pPr>
              <w:pStyle w:val="Heading1"/>
              <w:rPr>
                <w:rFonts w:cs="Calibri"/>
                <w:smallCaps/>
              </w:rPr>
            </w:pPr>
            <w:bookmarkStart w:id="640" w:name="_Toc377545404"/>
            <w:r w:rsidRPr="00B40A7C">
              <w:t>15. DETAILED BUDGET AND WORKPLAN NARRATIVE</w:t>
            </w:r>
            <w:bookmarkEnd w:id="640"/>
            <w:r w:rsidRPr="00B40A7C">
              <w:t xml:space="preserve"> </w:t>
            </w:r>
          </w:p>
        </w:tc>
      </w:tr>
      <w:tr w:rsidR="00052899" w:rsidRPr="00B40A7C">
        <w:tc>
          <w:tcPr>
            <w:tcW w:w="9540" w:type="dxa"/>
            <w:shd w:val="clear" w:color="auto" w:fill="FFFFFF"/>
          </w:tcPr>
          <w:p w:rsidR="00000000" w:rsidRDefault="00B02BEF">
            <w:pPr>
              <w:pStyle w:val="ColorfulList-Accent11"/>
              <w:autoSpaceDE w:val="0"/>
              <w:autoSpaceDN w:val="0"/>
              <w:adjustRightInd w:val="0"/>
              <w:ind w:left="0"/>
              <w:jc w:val="both"/>
              <w:rPr>
                <w:rFonts w:cs="Arial"/>
                <w:b/>
                <w:color w:val="000000"/>
                <w:szCs w:val="22"/>
                <w:lang w:eastAsia="en-CA"/>
              </w:rPr>
            </w:pPr>
          </w:p>
          <w:tbl>
            <w:tblPr>
              <w:tblW w:w="0" w:type="auto"/>
              <w:tblLook w:val="04A0"/>
            </w:tblPr>
            <w:tblGrid>
              <w:gridCol w:w="1501"/>
              <w:gridCol w:w="1110"/>
              <w:gridCol w:w="1123"/>
              <w:gridCol w:w="1123"/>
              <w:gridCol w:w="1123"/>
              <w:gridCol w:w="1123"/>
              <w:gridCol w:w="1257"/>
              <w:gridCol w:w="954"/>
            </w:tblGrid>
            <w:tr w:rsidR="0062222E" w:rsidRPr="00C963BA" w:rsidTr="004F2DD4">
              <w:trPr>
                <w:trHeight w:val="449"/>
              </w:trPr>
              <w:tc>
                <w:tcPr>
                  <w:tcW w:w="1957" w:type="dxa"/>
                  <w:vMerge w:val="restart"/>
                  <w:tcBorders>
                    <w:top w:val="single" w:sz="4" w:space="0" w:color="auto"/>
                    <w:left w:val="single" w:sz="4" w:space="0" w:color="auto"/>
                    <w:right w:val="single" w:sz="4" w:space="0" w:color="auto"/>
                  </w:tcBorders>
                  <w:shd w:val="clear" w:color="auto" w:fill="auto"/>
                  <w:vAlign w:val="center"/>
                </w:tcPr>
                <w:p w:rsidR="00052899" w:rsidRPr="00C963BA" w:rsidRDefault="00052899" w:rsidP="00052899">
                  <w:pPr>
                    <w:rPr>
                      <w:rFonts w:cs="Arial"/>
                      <w:b/>
                      <w:bCs/>
                      <w:color w:val="000000"/>
                      <w:sz w:val="20"/>
                    </w:rPr>
                  </w:pPr>
                  <w:r w:rsidRPr="00C963BA">
                    <w:rPr>
                      <w:rFonts w:cs="Arial"/>
                      <w:b/>
                      <w:bCs/>
                      <w:color w:val="000000"/>
                      <w:sz w:val="20"/>
                    </w:rPr>
                    <w:t>HSS Proposal Objectives</w:t>
                  </w:r>
                </w:p>
              </w:tc>
              <w:tc>
                <w:tcPr>
                  <w:tcW w:w="5213" w:type="dxa"/>
                  <w:gridSpan w:val="5"/>
                  <w:tcBorders>
                    <w:top w:val="single" w:sz="4" w:space="0" w:color="auto"/>
                    <w:left w:val="nil"/>
                    <w:bottom w:val="single" w:sz="4" w:space="0" w:color="auto"/>
                    <w:right w:val="single" w:sz="4" w:space="0" w:color="auto"/>
                  </w:tcBorders>
                  <w:shd w:val="clear" w:color="auto" w:fill="auto"/>
                  <w:vAlign w:val="center"/>
                </w:tcPr>
                <w:p w:rsidR="00052899" w:rsidRPr="00C963BA" w:rsidRDefault="00052899" w:rsidP="00052899">
                  <w:pPr>
                    <w:jc w:val="center"/>
                    <w:rPr>
                      <w:rFonts w:cs="Arial"/>
                      <w:b/>
                      <w:bCs/>
                      <w:color w:val="000000"/>
                      <w:sz w:val="20"/>
                    </w:rPr>
                  </w:pPr>
                  <w:r w:rsidRPr="00C963BA">
                    <w:rPr>
                      <w:rFonts w:cs="Arial"/>
                      <w:b/>
                      <w:bCs/>
                      <w:color w:val="000000"/>
                      <w:sz w:val="20"/>
                    </w:rPr>
                    <w:t>Activity Total per Year</w:t>
                  </w:r>
                </w:p>
              </w:tc>
              <w:tc>
                <w:tcPr>
                  <w:tcW w:w="1372" w:type="dxa"/>
                  <w:vMerge w:val="restart"/>
                  <w:tcBorders>
                    <w:top w:val="single" w:sz="4" w:space="0" w:color="auto"/>
                    <w:left w:val="nil"/>
                    <w:right w:val="single" w:sz="4" w:space="0" w:color="auto"/>
                  </w:tcBorders>
                  <w:shd w:val="clear" w:color="auto" w:fill="auto"/>
                  <w:vAlign w:val="center"/>
                </w:tcPr>
                <w:p w:rsidR="00052899" w:rsidRPr="00C963BA" w:rsidRDefault="00052899" w:rsidP="00052899">
                  <w:pPr>
                    <w:rPr>
                      <w:rFonts w:ascii="Calibri" w:hAnsi="Calibri"/>
                      <w:color w:val="000000"/>
                      <w:sz w:val="20"/>
                      <w:szCs w:val="22"/>
                      <w:lang w:val="en-US" w:eastAsia="en-US"/>
                    </w:rPr>
                  </w:pPr>
                  <w:r w:rsidRPr="00BB452C">
                    <w:rPr>
                      <w:rFonts w:ascii="Calibri" w:hAnsi="Calibri"/>
                      <w:color w:val="000000"/>
                      <w:sz w:val="20"/>
                      <w:szCs w:val="22"/>
                      <w:lang w:val="en-US" w:eastAsia="en-US"/>
                    </w:rPr>
                    <w:t> </w:t>
                  </w:r>
                  <w:r w:rsidRPr="00C963BA">
                    <w:rPr>
                      <w:rFonts w:cs="Arial"/>
                      <w:b/>
                      <w:bCs/>
                      <w:color w:val="000000"/>
                      <w:sz w:val="20"/>
                    </w:rPr>
                    <w:t>Total per Objectives</w:t>
                  </w:r>
                </w:p>
                <w:p w:rsidR="00052899" w:rsidRPr="00C963BA" w:rsidRDefault="00052899" w:rsidP="00052899">
                  <w:pPr>
                    <w:rPr>
                      <w:rFonts w:ascii="Calibri" w:hAnsi="Calibri"/>
                      <w:color w:val="000000"/>
                      <w:sz w:val="20"/>
                      <w:szCs w:val="22"/>
                      <w:lang w:val="en-US" w:eastAsia="en-US"/>
                    </w:rPr>
                  </w:pPr>
                  <w:r w:rsidRPr="00BB452C">
                    <w:rPr>
                      <w:rFonts w:ascii="Calibri" w:hAnsi="Calibri"/>
                      <w:color w:val="000000"/>
                      <w:sz w:val="20"/>
                      <w:szCs w:val="22"/>
                      <w:lang w:val="en-US" w:eastAsia="en-US"/>
                    </w:rPr>
                    <w:t> </w:t>
                  </w:r>
                </w:p>
              </w:tc>
              <w:tc>
                <w:tcPr>
                  <w:tcW w:w="1240" w:type="dxa"/>
                  <w:vMerge w:val="restart"/>
                  <w:tcBorders>
                    <w:top w:val="single" w:sz="4" w:space="0" w:color="auto"/>
                    <w:left w:val="nil"/>
                    <w:right w:val="single" w:sz="4" w:space="0" w:color="auto"/>
                  </w:tcBorders>
                  <w:shd w:val="clear" w:color="auto" w:fill="auto"/>
                  <w:vAlign w:val="center"/>
                </w:tcPr>
                <w:p w:rsidR="00052899" w:rsidRPr="00BB452C" w:rsidRDefault="00052899" w:rsidP="00052899">
                  <w:pPr>
                    <w:rPr>
                      <w:rFonts w:ascii="Calibri" w:hAnsi="Calibri"/>
                      <w:color w:val="000000"/>
                      <w:sz w:val="20"/>
                      <w:szCs w:val="22"/>
                      <w:lang w:val="en-US" w:eastAsia="en-US"/>
                    </w:rPr>
                  </w:pPr>
                  <w:r w:rsidRPr="00BB452C">
                    <w:rPr>
                      <w:rFonts w:ascii="Calibri" w:hAnsi="Calibri"/>
                      <w:color w:val="000000"/>
                      <w:sz w:val="20"/>
                      <w:szCs w:val="22"/>
                      <w:lang w:val="en-US" w:eastAsia="en-US"/>
                    </w:rPr>
                    <w:t> </w:t>
                  </w:r>
                </w:p>
              </w:tc>
            </w:tr>
            <w:tr w:rsidR="0062222E" w:rsidRPr="00C963BA" w:rsidTr="004F2DD4">
              <w:trPr>
                <w:trHeight w:val="300"/>
              </w:trPr>
              <w:tc>
                <w:tcPr>
                  <w:tcW w:w="1957" w:type="dxa"/>
                  <w:vMerge/>
                  <w:tcBorders>
                    <w:left w:val="single" w:sz="4" w:space="0" w:color="auto"/>
                    <w:bottom w:val="single" w:sz="4" w:space="0" w:color="auto"/>
                    <w:right w:val="single" w:sz="4" w:space="0" w:color="auto"/>
                  </w:tcBorders>
                  <w:shd w:val="clear" w:color="auto" w:fill="auto"/>
                  <w:vAlign w:val="center"/>
                </w:tcPr>
                <w:p w:rsidR="00052899" w:rsidRPr="00C963BA" w:rsidRDefault="00052899" w:rsidP="00052899">
                  <w:pPr>
                    <w:rPr>
                      <w:rFonts w:cs="Arial"/>
                      <w:b/>
                      <w:bCs/>
                      <w:color w:val="000000"/>
                      <w:sz w:val="20"/>
                    </w:rPr>
                  </w:pPr>
                </w:p>
              </w:tc>
              <w:tc>
                <w:tcPr>
                  <w:tcW w:w="509" w:type="dxa"/>
                  <w:tcBorders>
                    <w:top w:val="nil"/>
                    <w:left w:val="nil"/>
                    <w:bottom w:val="single" w:sz="4" w:space="0" w:color="auto"/>
                    <w:right w:val="single" w:sz="4" w:space="0" w:color="auto"/>
                  </w:tcBorders>
                  <w:shd w:val="clear" w:color="auto" w:fill="auto"/>
                  <w:vAlign w:val="center"/>
                </w:tcPr>
                <w:p w:rsidR="00052899" w:rsidRPr="00C963BA" w:rsidRDefault="00052899" w:rsidP="00052899">
                  <w:pPr>
                    <w:jc w:val="center"/>
                    <w:rPr>
                      <w:rFonts w:cs="Arial"/>
                      <w:b/>
                      <w:bCs/>
                      <w:color w:val="000000"/>
                      <w:sz w:val="20"/>
                    </w:rPr>
                  </w:pPr>
                  <w:r w:rsidRPr="00C963BA">
                    <w:rPr>
                      <w:rFonts w:cs="Arial"/>
                      <w:b/>
                      <w:bCs/>
                      <w:color w:val="000000"/>
                      <w:sz w:val="20"/>
                    </w:rPr>
                    <w:t>2014</w:t>
                  </w:r>
                </w:p>
              </w:tc>
              <w:tc>
                <w:tcPr>
                  <w:tcW w:w="1176" w:type="dxa"/>
                  <w:tcBorders>
                    <w:top w:val="nil"/>
                    <w:left w:val="nil"/>
                    <w:bottom w:val="single" w:sz="4" w:space="0" w:color="auto"/>
                    <w:right w:val="single" w:sz="4" w:space="0" w:color="auto"/>
                  </w:tcBorders>
                  <w:shd w:val="clear" w:color="auto" w:fill="auto"/>
                  <w:vAlign w:val="center"/>
                </w:tcPr>
                <w:p w:rsidR="00052899" w:rsidRPr="00C963BA" w:rsidRDefault="00052899" w:rsidP="00052899">
                  <w:pPr>
                    <w:jc w:val="center"/>
                    <w:rPr>
                      <w:rFonts w:cs="Arial"/>
                      <w:b/>
                      <w:bCs/>
                      <w:color w:val="000000"/>
                      <w:sz w:val="20"/>
                    </w:rPr>
                  </w:pPr>
                  <w:r w:rsidRPr="00C963BA">
                    <w:rPr>
                      <w:rFonts w:cs="Arial"/>
                      <w:b/>
                      <w:bCs/>
                      <w:color w:val="000000"/>
                      <w:sz w:val="20"/>
                    </w:rPr>
                    <w:t>2015</w:t>
                  </w:r>
                </w:p>
              </w:tc>
              <w:tc>
                <w:tcPr>
                  <w:tcW w:w="1176" w:type="dxa"/>
                  <w:tcBorders>
                    <w:top w:val="nil"/>
                    <w:left w:val="nil"/>
                    <w:bottom w:val="single" w:sz="4" w:space="0" w:color="auto"/>
                    <w:right w:val="single" w:sz="4" w:space="0" w:color="auto"/>
                  </w:tcBorders>
                  <w:shd w:val="clear" w:color="auto" w:fill="auto"/>
                  <w:vAlign w:val="center"/>
                </w:tcPr>
                <w:p w:rsidR="00052899" w:rsidRPr="00C963BA" w:rsidRDefault="00052899" w:rsidP="00052899">
                  <w:pPr>
                    <w:jc w:val="center"/>
                    <w:rPr>
                      <w:rFonts w:cs="Arial"/>
                      <w:b/>
                      <w:bCs/>
                      <w:color w:val="000000"/>
                      <w:sz w:val="20"/>
                    </w:rPr>
                  </w:pPr>
                  <w:r w:rsidRPr="00C963BA">
                    <w:rPr>
                      <w:rFonts w:cs="Arial"/>
                      <w:b/>
                      <w:bCs/>
                      <w:color w:val="000000"/>
                      <w:sz w:val="20"/>
                    </w:rPr>
                    <w:t>2016</w:t>
                  </w:r>
                </w:p>
              </w:tc>
              <w:tc>
                <w:tcPr>
                  <w:tcW w:w="1176" w:type="dxa"/>
                  <w:tcBorders>
                    <w:top w:val="nil"/>
                    <w:left w:val="nil"/>
                    <w:bottom w:val="single" w:sz="4" w:space="0" w:color="auto"/>
                    <w:right w:val="single" w:sz="4" w:space="0" w:color="auto"/>
                  </w:tcBorders>
                  <w:shd w:val="clear" w:color="auto" w:fill="auto"/>
                  <w:vAlign w:val="center"/>
                </w:tcPr>
                <w:p w:rsidR="00052899" w:rsidRPr="00C963BA" w:rsidRDefault="00052899" w:rsidP="00052899">
                  <w:pPr>
                    <w:jc w:val="center"/>
                    <w:rPr>
                      <w:rFonts w:cs="Arial"/>
                      <w:b/>
                      <w:bCs/>
                      <w:color w:val="000000"/>
                      <w:sz w:val="20"/>
                    </w:rPr>
                  </w:pPr>
                  <w:r w:rsidRPr="00C963BA">
                    <w:rPr>
                      <w:rFonts w:cs="Arial"/>
                      <w:b/>
                      <w:bCs/>
                      <w:color w:val="000000"/>
                      <w:sz w:val="20"/>
                    </w:rPr>
                    <w:t>2017</w:t>
                  </w:r>
                </w:p>
              </w:tc>
              <w:tc>
                <w:tcPr>
                  <w:tcW w:w="1176" w:type="dxa"/>
                  <w:tcBorders>
                    <w:top w:val="nil"/>
                    <w:left w:val="nil"/>
                    <w:bottom w:val="single" w:sz="4" w:space="0" w:color="auto"/>
                    <w:right w:val="single" w:sz="4" w:space="0" w:color="auto"/>
                  </w:tcBorders>
                  <w:shd w:val="clear" w:color="auto" w:fill="auto"/>
                  <w:vAlign w:val="center"/>
                </w:tcPr>
                <w:p w:rsidR="00052899" w:rsidRPr="00C963BA" w:rsidRDefault="00052899" w:rsidP="00052899">
                  <w:pPr>
                    <w:jc w:val="center"/>
                    <w:rPr>
                      <w:rFonts w:cs="Arial"/>
                      <w:b/>
                      <w:bCs/>
                      <w:color w:val="000000"/>
                      <w:sz w:val="20"/>
                    </w:rPr>
                  </w:pPr>
                  <w:r w:rsidRPr="00C963BA">
                    <w:rPr>
                      <w:rFonts w:cs="Arial"/>
                      <w:b/>
                      <w:bCs/>
                      <w:color w:val="000000"/>
                      <w:sz w:val="20"/>
                    </w:rPr>
                    <w:t>2018</w:t>
                  </w:r>
                </w:p>
              </w:tc>
              <w:tc>
                <w:tcPr>
                  <w:tcW w:w="1372" w:type="dxa"/>
                  <w:vMerge/>
                  <w:tcBorders>
                    <w:left w:val="nil"/>
                    <w:bottom w:val="single" w:sz="4" w:space="0" w:color="auto"/>
                    <w:right w:val="single" w:sz="4" w:space="0" w:color="auto"/>
                  </w:tcBorders>
                  <w:shd w:val="clear" w:color="auto" w:fill="auto"/>
                  <w:vAlign w:val="bottom"/>
                </w:tcPr>
                <w:p w:rsidR="00052899" w:rsidRPr="00BB452C" w:rsidRDefault="00052899" w:rsidP="00052899">
                  <w:pPr>
                    <w:rPr>
                      <w:rFonts w:ascii="Calibri" w:hAnsi="Calibri"/>
                      <w:color w:val="000000"/>
                      <w:sz w:val="20"/>
                      <w:szCs w:val="22"/>
                      <w:lang w:val="en-US" w:eastAsia="en-US"/>
                    </w:rPr>
                  </w:pPr>
                </w:p>
              </w:tc>
              <w:tc>
                <w:tcPr>
                  <w:tcW w:w="1240" w:type="dxa"/>
                  <w:vMerge/>
                  <w:tcBorders>
                    <w:left w:val="nil"/>
                    <w:bottom w:val="single" w:sz="4" w:space="0" w:color="auto"/>
                    <w:right w:val="single" w:sz="4" w:space="0" w:color="auto"/>
                  </w:tcBorders>
                  <w:shd w:val="clear" w:color="auto" w:fill="auto"/>
                  <w:vAlign w:val="bottom"/>
                </w:tcPr>
                <w:p w:rsidR="00052899" w:rsidRPr="00BB452C" w:rsidRDefault="00052899" w:rsidP="00052899">
                  <w:pPr>
                    <w:rPr>
                      <w:rFonts w:ascii="Calibri" w:hAnsi="Calibri"/>
                      <w:color w:val="000000"/>
                      <w:sz w:val="20"/>
                      <w:szCs w:val="22"/>
                      <w:lang w:val="en-US" w:eastAsia="en-US"/>
                    </w:rPr>
                  </w:pPr>
                </w:p>
              </w:tc>
            </w:tr>
            <w:tr w:rsidR="0062222E" w:rsidRPr="00C963BA" w:rsidTr="004F2DD4">
              <w:trPr>
                <w:trHeight w:val="1200"/>
              </w:trPr>
              <w:tc>
                <w:tcPr>
                  <w:tcW w:w="1957" w:type="dxa"/>
                  <w:tcBorders>
                    <w:top w:val="nil"/>
                    <w:left w:val="single" w:sz="4" w:space="0" w:color="auto"/>
                    <w:bottom w:val="single" w:sz="4" w:space="0" w:color="auto"/>
                    <w:right w:val="single" w:sz="4" w:space="0" w:color="auto"/>
                  </w:tcBorders>
                  <w:shd w:val="clear" w:color="auto" w:fill="auto"/>
                  <w:vAlign w:val="bottom"/>
                </w:tcPr>
                <w:p w:rsidR="004F2DD4" w:rsidRPr="00BB452C" w:rsidRDefault="004F2DD4" w:rsidP="00052899">
                  <w:pPr>
                    <w:rPr>
                      <w:rFonts w:cs="Arial"/>
                      <w:sz w:val="20"/>
                      <w:szCs w:val="22"/>
                      <w:lang w:val="en-CA"/>
                    </w:rPr>
                  </w:pPr>
                  <w:r w:rsidRPr="00C963BA">
                    <w:rPr>
                      <w:rFonts w:cs="Arial"/>
                      <w:sz w:val="20"/>
                      <w:szCs w:val="22"/>
                      <w:lang w:val="en-CA"/>
                    </w:rPr>
                    <w:t xml:space="preserve">Objective </w:t>
                  </w:r>
                  <w:r w:rsidRPr="00BB452C">
                    <w:rPr>
                      <w:rFonts w:cs="Arial"/>
                      <w:sz w:val="20"/>
                      <w:szCs w:val="22"/>
                      <w:lang w:val="en-CA"/>
                    </w:rPr>
                    <w:t>"1"</w:t>
                  </w:r>
                  <w:r w:rsidRPr="00C963BA">
                    <w:rPr>
                      <w:rFonts w:cs="Arial"/>
                      <w:sz w:val="20"/>
                      <w:szCs w:val="22"/>
                      <w:lang w:val="en-CA"/>
                    </w:rPr>
                    <w:t xml:space="preserve">. </w:t>
                  </w:r>
                  <w:r w:rsidRPr="00BB452C">
                    <w:rPr>
                      <w:rFonts w:cs="Arial"/>
                      <w:sz w:val="20"/>
                      <w:szCs w:val="22"/>
                      <w:lang w:val="en-CA"/>
                    </w:rPr>
                    <w:t>To strengthen and scale-up community health  interventions aimed at improving the quality of primary health care services</w:t>
                  </w:r>
                </w:p>
              </w:tc>
              <w:tc>
                <w:tcPr>
                  <w:tcW w:w="509"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rPr>
                      <w:rFonts w:cs="Arial"/>
                      <w:sz w:val="20"/>
                      <w:szCs w:val="22"/>
                      <w:lang w:val="en-CA"/>
                    </w:rPr>
                  </w:pPr>
                  <w:r>
                    <w:rPr>
                      <w:rFonts w:ascii="Calibri" w:hAnsi="Calibri"/>
                      <w:color w:val="000000"/>
                      <w:szCs w:val="22"/>
                    </w:rPr>
                    <w:t xml:space="preserve">         3</w:t>
                  </w:r>
                  <w:r w:rsidR="0062222E">
                    <w:rPr>
                      <w:rFonts w:ascii="Calibri" w:hAnsi="Calibri"/>
                      <w:color w:val="000000"/>
                      <w:szCs w:val="22"/>
                    </w:rPr>
                    <w:t>,1</w:t>
                  </w:r>
                  <w:r>
                    <w:rPr>
                      <w:rFonts w:ascii="Calibri" w:hAnsi="Calibri"/>
                      <w:color w:val="000000"/>
                      <w:szCs w:val="22"/>
                    </w:rPr>
                    <w:t xml:space="preserve">55,700 </w:t>
                  </w:r>
                </w:p>
              </w:tc>
              <w:tc>
                <w:tcPr>
                  <w:tcW w:w="1176" w:type="dxa"/>
                  <w:tcBorders>
                    <w:top w:val="nil"/>
                    <w:left w:val="nil"/>
                    <w:bottom w:val="single" w:sz="4" w:space="0" w:color="auto"/>
                    <w:right w:val="single" w:sz="4" w:space="0" w:color="auto"/>
                  </w:tcBorders>
                  <w:shd w:val="clear" w:color="auto" w:fill="auto"/>
                  <w:vAlign w:val="bottom"/>
                </w:tcPr>
                <w:p w:rsidR="00000000" w:rsidRDefault="004F2DD4">
                  <w:pPr>
                    <w:rPr>
                      <w:rFonts w:cs="Arial"/>
                      <w:sz w:val="20"/>
                      <w:szCs w:val="22"/>
                      <w:lang w:val="en-CA"/>
                    </w:rPr>
                  </w:pPr>
                  <w:r>
                    <w:rPr>
                      <w:rFonts w:ascii="Calibri" w:hAnsi="Calibri"/>
                      <w:color w:val="000000"/>
                      <w:szCs w:val="22"/>
                    </w:rPr>
                    <w:t xml:space="preserve">         1,</w:t>
                  </w:r>
                  <w:r w:rsidR="0062222E">
                    <w:rPr>
                      <w:rFonts w:ascii="Calibri" w:hAnsi="Calibri"/>
                      <w:color w:val="000000"/>
                      <w:szCs w:val="22"/>
                    </w:rPr>
                    <w:t>895,766</w:t>
                  </w:r>
                  <w:r>
                    <w:rPr>
                      <w:rFonts w:ascii="Calibri" w:hAnsi="Calibri"/>
                      <w:color w:val="000000"/>
                      <w:szCs w:val="22"/>
                    </w:rPr>
                    <w:t xml:space="preserve"> </w:t>
                  </w:r>
                </w:p>
              </w:tc>
              <w:tc>
                <w:tcPr>
                  <w:tcW w:w="1176" w:type="dxa"/>
                  <w:tcBorders>
                    <w:top w:val="nil"/>
                    <w:left w:val="nil"/>
                    <w:bottom w:val="single" w:sz="4" w:space="0" w:color="auto"/>
                    <w:right w:val="single" w:sz="4" w:space="0" w:color="auto"/>
                  </w:tcBorders>
                  <w:shd w:val="clear" w:color="auto" w:fill="auto"/>
                  <w:vAlign w:val="bottom"/>
                </w:tcPr>
                <w:p w:rsidR="00000000" w:rsidRDefault="004F2DD4">
                  <w:pPr>
                    <w:rPr>
                      <w:rFonts w:cs="Arial"/>
                      <w:sz w:val="20"/>
                      <w:szCs w:val="22"/>
                      <w:lang w:val="en-CA"/>
                    </w:rPr>
                  </w:pPr>
                  <w:r>
                    <w:rPr>
                      <w:rFonts w:ascii="Calibri" w:hAnsi="Calibri"/>
                      <w:color w:val="000000"/>
                      <w:szCs w:val="22"/>
                    </w:rPr>
                    <w:t xml:space="preserve">         </w:t>
                  </w:r>
                  <w:r w:rsidR="0062222E">
                    <w:rPr>
                      <w:rFonts w:ascii="Calibri" w:hAnsi="Calibri"/>
                      <w:color w:val="000000"/>
                      <w:szCs w:val="22"/>
                    </w:rPr>
                    <w:t>2,093,900</w:t>
                  </w:r>
                  <w:r>
                    <w:rPr>
                      <w:rFonts w:ascii="Calibri" w:hAnsi="Calibri"/>
                      <w:color w:val="000000"/>
                      <w:szCs w:val="22"/>
                    </w:rPr>
                    <w:t xml:space="preserve"> </w:t>
                  </w:r>
                </w:p>
              </w:tc>
              <w:tc>
                <w:tcPr>
                  <w:tcW w:w="1176" w:type="dxa"/>
                  <w:tcBorders>
                    <w:top w:val="nil"/>
                    <w:left w:val="nil"/>
                    <w:bottom w:val="single" w:sz="4" w:space="0" w:color="auto"/>
                    <w:right w:val="single" w:sz="4" w:space="0" w:color="auto"/>
                  </w:tcBorders>
                  <w:shd w:val="clear" w:color="auto" w:fill="auto"/>
                  <w:vAlign w:val="bottom"/>
                </w:tcPr>
                <w:p w:rsidR="00000000" w:rsidRDefault="004F2DD4">
                  <w:pPr>
                    <w:rPr>
                      <w:rFonts w:cs="Arial"/>
                      <w:sz w:val="20"/>
                      <w:szCs w:val="22"/>
                      <w:lang w:val="en-CA"/>
                    </w:rPr>
                  </w:pPr>
                  <w:r>
                    <w:rPr>
                      <w:rFonts w:ascii="Calibri" w:hAnsi="Calibri"/>
                      <w:color w:val="000000"/>
                      <w:szCs w:val="22"/>
                    </w:rPr>
                    <w:t xml:space="preserve">         </w:t>
                  </w:r>
                  <w:r w:rsidR="0062222E">
                    <w:rPr>
                      <w:rFonts w:ascii="Calibri" w:hAnsi="Calibri"/>
                      <w:color w:val="000000"/>
                      <w:szCs w:val="22"/>
                    </w:rPr>
                    <w:t>2,153,750</w:t>
                  </w:r>
                  <w:r>
                    <w:rPr>
                      <w:rFonts w:ascii="Calibri" w:hAnsi="Calibri"/>
                      <w:color w:val="000000"/>
                      <w:szCs w:val="22"/>
                    </w:rPr>
                    <w:t xml:space="preserve"> </w:t>
                  </w:r>
                </w:p>
              </w:tc>
              <w:tc>
                <w:tcPr>
                  <w:tcW w:w="1176" w:type="dxa"/>
                  <w:tcBorders>
                    <w:top w:val="nil"/>
                    <w:left w:val="nil"/>
                    <w:bottom w:val="single" w:sz="4" w:space="0" w:color="auto"/>
                    <w:right w:val="single" w:sz="4" w:space="0" w:color="auto"/>
                  </w:tcBorders>
                  <w:shd w:val="clear" w:color="auto" w:fill="auto"/>
                  <w:vAlign w:val="bottom"/>
                </w:tcPr>
                <w:p w:rsidR="00000000" w:rsidRDefault="004F2DD4">
                  <w:pPr>
                    <w:rPr>
                      <w:rFonts w:cs="Arial"/>
                      <w:sz w:val="20"/>
                      <w:szCs w:val="22"/>
                      <w:lang w:val="en-CA"/>
                    </w:rPr>
                  </w:pPr>
                  <w:r>
                    <w:rPr>
                      <w:rFonts w:ascii="Calibri" w:hAnsi="Calibri"/>
                      <w:color w:val="000000"/>
                      <w:szCs w:val="22"/>
                    </w:rPr>
                    <w:t xml:space="preserve">         </w:t>
                  </w:r>
                  <w:r w:rsidR="0062222E">
                    <w:rPr>
                      <w:rFonts w:ascii="Calibri" w:hAnsi="Calibri"/>
                      <w:color w:val="000000"/>
                      <w:szCs w:val="22"/>
                    </w:rPr>
                    <w:t>1,970,400</w:t>
                  </w:r>
                  <w:r>
                    <w:rPr>
                      <w:rFonts w:ascii="Calibri" w:hAnsi="Calibri"/>
                      <w:color w:val="000000"/>
                      <w:szCs w:val="22"/>
                    </w:rPr>
                    <w:t xml:space="preserve"> </w:t>
                  </w:r>
                </w:p>
              </w:tc>
              <w:tc>
                <w:tcPr>
                  <w:tcW w:w="1372" w:type="dxa"/>
                  <w:tcBorders>
                    <w:top w:val="nil"/>
                    <w:left w:val="nil"/>
                    <w:bottom w:val="single" w:sz="4" w:space="0" w:color="auto"/>
                    <w:right w:val="single" w:sz="4" w:space="0" w:color="auto"/>
                  </w:tcBorders>
                  <w:shd w:val="clear" w:color="auto" w:fill="auto"/>
                  <w:vAlign w:val="bottom"/>
                </w:tcPr>
                <w:p w:rsidR="00000000" w:rsidRDefault="004F2DD4">
                  <w:pPr>
                    <w:rPr>
                      <w:rFonts w:cs="Arial"/>
                      <w:sz w:val="20"/>
                      <w:szCs w:val="22"/>
                      <w:lang w:val="en-CA"/>
                    </w:rPr>
                  </w:pPr>
                  <w:r>
                    <w:rPr>
                      <w:rFonts w:ascii="Calibri" w:hAnsi="Calibri"/>
                      <w:color w:val="000000"/>
                      <w:szCs w:val="22"/>
                    </w:rPr>
                    <w:t xml:space="preserve">             </w:t>
                  </w:r>
                  <w:r w:rsidR="0062222E">
                    <w:rPr>
                      <w:rFonts w:ascii="Calibri" w:hAnsi="Calibri"/>
                      <w:color w:val="000000"/>
                      <w:szCs w:val="22"/>
                    </w:rPr>
                    <w:t>11,269,516</w:t>
                  </w:r>
                  <w:r>
                    <w:rPr>
                      <w:rFonts w:ascii="Calibri" w:hAnsi="Calibri"/>
                      <w:color w:val="000000"/>
                      <w:szCs w:val="22"/>
                    </w:rPr>
                    <w:t xml:space="preserve"> </w:t>
                  </w:r>
                </w:p>
              </w:tc>
              <w:tc>
                <w:tcPr>
                  <w:tcW w:w="1240" w:type="dxa"/>
                  <w:tcBorders>
                    <w:top w:val="nil"/>
                    <w:left w:val="nil"/>
                    <w:bottom w:val="single" w:sz="4" w:space="0" w:color="auto"/>
                    <w:right w:val="single" w:sz="4" w:space="0" w:color="auto"/>
                  </w:tcBorders>
                  <w:shd w:val="clear" w:color="auto" w:fill="auto"/>
                  <w:vAlign w:val="bottom"/>
                </w:tcPr>
                <w:p w:rsidR="004F2DD4" w:rsidRPr="00BB452C" w:rsidRDefault="0062222E" w:rsidP="00052899">
                  <w:pPr>
                    <w:rPr>
                      <w:rFonts w:cs="Arial"/>
                      <w:sz w:val="20"/>
                      <w:szCs w:val="22"/>
                      <w:lang w:val="en-CA"/>
                    </w:rPr>
                  </w:pPr>
                  <w:r>
                    <w:rPr>
                      <w:rFonts w:ascii="Calibri" w:hAnsi="Calibri"/>
                      <w:color w:val="000000"/>
                      <w:szCs w:val="22"/>
                    </w:rPr>
                    <w:t>62</w:t>
                  </w:r>
                  <w:r w:rsidR="004F2DD4">
                    <w:rPr>
                      <w:rFonts w:ascii="Calibri" w:hAnsi="Calibri"/>
                      <w:color w:val="000000"/>
                      <w:szCs w:val="22"/>
                    </w:rPr>
                    <w:t>%</w:t>
                  </w:r>
                </w:p>
              </w:tc>
            </w:tr>
            <w:tr w:rsidR="0062222E" w:rsidRPr="00C963BA" w:rsidTr="004F2DD4">
              <w:trPr>
                <w:trHeight w:val="900"/>
              </w:trPr>
              <w:tc>
                <w:tcPr>
                  <w:tcW w:w="1957" w:type="dxa"/>
                  <w:tcBorders>
                    <w:top w:val="nil"/>
                    <w:left w:val="single" w:sz="4" w:space="0" w:color="auto"/>
                    <w:bottom w:val="single" w:sz="4" w:space="0" w:color="auto"/>
                    <w:right w:val="single" w:sz="4" w:space="0" w:color="auto"/>
                  </w:tcBorders>
                  <w:shd w:val="clear" w:color="auto" w:fill="auto"/>
                  <w:vAlign w:val="bottom"/>
                </w:tcPr>
                <w:p w:rsidR="004F2DD4" w:rsidRPr="00BB452C" w:rsidRDefault="004F2DD4" w:rsidP="00052899">
                  <w:pPr>
                    <w:rPr>
                      <w:rFonts w:cs="Arial"/>
                      <w:sz w:val="20"/>
                      <w:szCs w:val="22"/>
                      <w:lang w:val="en-CA"/>
                    </w:rPr>
                  </w:pPr>
                  <w:r w:rsidRPr="00BB452C">
                    <w:rPr>
                      <w:rFonts w:cs="Arial"/>
                      <w:sz w:val="20"/>
                      <w:szCs w:val="22"/>
                      <w:lang w:val="en-CA"/>
                    </w:rPr>
                    <w:t>Objective "2"</w:t>
                  </w:r>
                  <w:r w:rsidRPr="00C963BA">
                    <w:rPr>
                      <w:rFonts w:cs="Arial"/>
                      <w:sz w:val="20"/>
                      <w:szCs w:val="22"/>
                      <w:lang w:val="en-CA"/>
                    </w:rPr>
                    <w:t xml:space="preserve"> </w:t>
                  </w:r>
                  <w:r w:rsidRPr="00BB452C">
                    <w:rPr>
                      <w:rFonts w:cs="Arial"/>
                      <w:sz w:val="20"/>
                      <w:szCs w:val="22"/>
                      <w:lang w:val="en-CA"/>
                    </w:rPr>
                    <w:t>To strengthen health worker capacity and distribution so as to address equity issues at district level</w:t>
                  </w:r>
                </w:p>
              </w:tc>
              <w:tc>
                <w:tcPr>
                  <w:tcW w:w="509" w:type="dxa"/>
                  <w:tcBorders>
                    <w:top w:val="nil"/>
                    <w:left w:val="nil"/>
                    <w:bottom w:val="single" w:sz="4" w:space="0" w:color="auto"/>
                    <w:right w:val="single" w:sz="4" w:space="0" w:color="auto"/>
                  </w:tcBorders>
                  <w:shd w:val="clear" w:color="auto" w:fill="auto"/>
                  <w:vAlign w:val="bottom"/>
                </w:tcPr>
                <w:p w:rsidR="004F2DD4" w:rsidRPr="00BB452C" w:rsidRDefault="00BF35A8" w:rsidP="00052899">
                  <w:pPr>
                    <w:rPr>
                      <w:rFonts w:cs="Arial"/>
                      <w:sz w:val="20"/>
                      <w:szCs w:val="22"/>
                      <w:lang w:val="en-CA"/>
                    </w:rPr>
                  </w:pPr>
                  <w:r>
                    <w:rPr>
                      <w:rFonts w:ascii="Calibri" w:hAnsi="Calibri"/>
                      <w:color w:val="000000"/>
                      <w:szCs w:val="22"/>
                    </w:rPr>
                    <w:t>10,000</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cs="Arial"/>
                      <w:sz w:val="20"/>
                      <w:szCs w:val="22"/>
                      <w:lang w:val="en-CA"/>
                    </w:rPr>
                  </w:pPr>
                  <w:r>
                    <w:rPr>
                      <w:rFonts w:ascii="Calibri" w:hAnsi="Calibri"/>
                      <w:color w:val="000000"/>
                      <w:szCs w:val="22"/>
                    </w:rPr>
                    <w:t xml:space="preserve">             </w:t>
                  </w:r>
                  <w:r w:rsidR="00BF35A8">
                    <w:rPr>
                      <w:rFonts w:ascii="Calibri" w:hAnsi="Calibri"/>
                      <w:color w:val="000000"/>
                      <w:szCs w:val="22"/>
                    </w:rPr>
                    <w:t>2</w:t>
                  </w:r>
                  <w:r w:rsidR="0062222E">
                    <w:rPr>
                      <w:rFonts w:ascii="Calibri" w:hAnsi="Calibri"/>
                      <w:color w:val="000000"/>
                      <w:szCs w:val="22"/>
                    </w:rPr>
                    <w:t>3,500</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cs="Arial"/>
                      <w:sz w:val="20"/>
                      <w:szCs w:val="22"/>
                      <w:lang w:val="en-CA"/>
                    </w:rPr>
                  </w:pPr>
                  <w:r>
                    <w:rPr>
                      <w:rFonts w:ascii="Calibri" w:hAnsi="Calibri"/>
                      <w:color w:val="000000"/>
                      <w:szCs w:val="22"/>
                    </w:rPr>
                    <w:t xml:space="preserve">             </w:t>
                  </w:r>
                  <w:r w:rsidR="00BF35A8">
                    <w:rPr>
                      <w:rFonts w:ascii="Calibri" w:hAnsi="Calibri"/>
                      <w:color w:val="000000"/>
                      <w:szCs w:val="22"/>
                    </w:rPr>
                    <w:t>2</w:t>
                  </w:r>
                  <w:r w:rsidR="0062222E">
                    <w:rPr>
                      <w:rFonts w:ascii="Calibri" w:hAnsi="Calibri"/>
                      <w:color w:val="000000"/>
                      <w:szCs w:val="22"/>
                    </w:rPr>
                    <w:t>3</w:t>
                  </w:r>
                  <w:r>
                    <w:rPr>
                      <w:rFonts w:ascii="Calibri" w:hAnsi="Calibri"/>
                      <w:color w:val="000000"/>
                      <w:szCs w:val="22"/>
                    </w:rPr>
                    <w:t xml:space="preserve">,500 </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rPr>
                      <w:rFonts w:cs="Arial"/>
                      <w:sz w:val="20"/>
                      <w:szCs w:val="22"/>
                      <w:lang w:val="en-CA"/>
                    </w:rPr>
                  </w:pPr>
                  <w:r>
                    <w:rPr>
                      <w:rFonts w:ascii="Calibri" w:hAnsi="Calibri"/>
                      <w:color w:val="000000"/>
                      <w:szCs w:val="22"/>
                    </w:rPr>
                    <w:t xml:space="preserve">             </w:t>
                  </w:r>
                  <w:r w:rsidR="00BF35A8">
                    <w:rPr>
                      <w:rFonts w:ascii="Calibri" w:hAnsi="Calibri"/>
                      <w:color w:val="000000"/>
                      <w:szCs w:val="22"/>
                    </w:rPr>
                    <w:t>2</w:t>
                  </w:r>
                  <w:r w:rsidR="0062222E">
                    <w:rPr>
                      <w:rFonts w:ascii="Calibri" w:hAnsi="Calibri"/>
                      <w:color w:val="000000"/>
                      <w:szCs w:val="22"/>
                    </w:rPr>
                    <w:t>3,500</w:t>
                  </w:r>
                  <w:r>
                    <w:rPr>
                      <w:rFonts w:ascii="Calibri" w:hAnsi="Calibri"/>
                      <w:color w:val="000000"/>
                      <w:szCs w:val="22"/>
                    </w:rPr>
                    <w:t xml:space="preserve"> </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cs="Arial"/>
                      <w:sz w:val="20"/>
                      <w:szCs w:val="22"/>
                      <w:lang w:val="en-CA"/>
                    </w:rPr>
                  </w:pPr>
                  <w:r>
                    <w:rPr>
                      <w:rFonts w:ascii="Calibri" w:hAnsi="Calibri"/>
                      <w:color w:val="000000"/>
                      <w:szCs w:val="22"/>
                    </w:rPr>
                    <w:t xml:space="preserve">             </w:t>
                  </w:r>
                  <w:r w:rsidR="00BF35A8">
                    <w:rPr>
                      <w:rFonts w:ascii="Calibri" w:hAnsi="Calibri"/>
                      <w:color w:val="000000"/>
                      <w:szCs w:val="22"/>
                    </w:rPr>
                    <w:t>2</w:t>
                  </w:r>
                  <w:r w:rsidR="0062222E">
                    <w:rPr>
                      <w:rFonts w:ascii="Calibri" w:hAnsi="Calibri"/>
                      <w:color w:val="000000"/>
                      <w:szCs w:val="22"/>
                    </w:rPr>
                    <w:t>8,000</w:t>
                  </w:r>
                  <w:r>
                    <w:rPr>
                      <w:rFonts w:ascii="Calibri" w:hAnsi="Calibri"/>
                      <w:color w:val="000000"/>
                      <w:szCs w:val="22"/>
                    </w:rPr>
                    <w:t xml:space="preserve"> </w:t>
                  </w:r>
                </w:p>
              </w:tc>
              <w:tc>
                <w:tcPr>
                  <w:tcW w:w="1372"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cs="Arial"/>
                      <w:sz w:val="20"/>
                      <w:szCs w:val="22"/>
                      <w:lang w:val="en-CA"/>
                    </w:rPr>
                  </w:pPr>
                  <w:r>
                    <w:rPr>
                      <w:rFonts w:ascii="Calibri" w:hAnsi="Calibri"/>
                      <w:color w:val="000000"/>
                      <w:szCs w:val="22"/>
                    </w:rPr>
                    <w:t xml:space="preserve">             </w:t>
                  </w:r>
                  <w:r w:rsidR="0062222E">
                    <w:rPr>
                      <w:rFonts w:ascii="Calibri" w:hAnsi="Calibri"/>
                      <w:color w:val="000000"/>
                      <w:szCs w:val="22"/>
                    </w:rPr>
                    <w:t>108,500</w:t>
                  </w:r>
                  <w:r>
                    <w:rPr>
                      <w:rFonts w:ascii="Calibri" w:hAnsi="Calibri"/>
                      <w:color w:val="000000"/>
                      <w:szCs w:val="22"/>
                    </w:rPr>
                    <w:t xml:space="preserve"> </w:t>
                  </w:r>
                </w:p>
              </w:tc>
              <w:tc>
                <w:tcPr>
                  <w:tcW w:w="1240" w:type="dxa"/>
                  <w:tcBorders>
                    <w:top w:val="nil"/>
                    <w:left w:val="nil"/>
                    <w:bottom w:val="single" w:sz="4" w:space="0" w:color="auto"/>
                    <w:right w:val="single" w:sz="4" w:space="0" w:color="auto"/>
                  </w:tcBorders>
                  <w:shd w:val="clear" w:color="auto" w:fill="auto"/>
                  <w:vAlign w:val="bottom"/>
                </w:tcPr>
                <w:p w:rsidR="004F2DD4" w:rsidRPr="00BB452C" w:rsidRDefault="0062222E" w:rsidP="00052899">
                  <w:pPr>
                    <w:rPr>
                      <w:rFonts w:cs="Arial"/>
                      <w:sz w:val="20"/>
                      <w:szCs w:val="22"/>
                      <w:lang w:val="en-CA"/>
                    </w:rPr>
                  </w:pPr>
                  <w:r>
                    <w:rPr>
                      <w:rFonts w:ascii="Calibri" w:hAnsi="Calibri"/>
                      <w:color w:val="000000"/>
                      <w:szCs w:val="22"/>
                    </w:rPr>
                    <w:t>1</w:t>
                  </w:r>
                  <w:r w:rsidR="004F2DD4">
                    <w:rPr>
                      <w:rFonts w:ascii="Calibri" w:hAnsi="Calibri"/>
                      <w:color w:val="000000"/>
                      <w:szCs w:val="22"/>
                    </w:rPr>
                    <w:t>%</w:t>
                  </w:r>
                </w:p>
              </w:tc>
            </w:tr>
            <w:tr w:rsidR="0062222E" w:rsidRPr="00C963BA" w:rsidTr="004F2DD4">
              <w:trPr>
                <w:trHeight w:val="1200"/>
              </w:trPr>
              <w:tc>
                <w:tcPr>
                  <w:tcW w:w="1957" w:type="dxa"/>
                  <w:tcBorders>
                    <w:top w:val="nil"/>
                    <w:left w:val="single" w:sz="4" w:space="0" w:color="auto"/>
                    <w:bottom w:val="single" w:sz="4" w:space="0" w:color="auto"/>
                    <w:right w:val="single" w:sz="4" w:space="0" w:color="auto"/>
                  </w:tcBorders>
                  <w:shd w:val="clear" w:color="auto" w:fill="auto"/>
                  <w:vAlign w:val="bottom"/>
                </w:tcPr>
                <w:p w:rsidR="004F2DD4" w:rsidRPr="00BB452C" w:rsidRDefault="004F2DD4" w:rsidP="00052899">
                  <w:pPr>
                    <w:rPr>
                      <w:rFonts w:cs="Arial"/>
                      <w:sz w:val="20"/>
                      <w:szCs w:val="22"/>
                      <w:lang w:val="en-CA"/>
                    </w:rPr>
                  </w:pPr>
                  <w:r w:rsidRPr="00BB452C">
                    <w:rPr>
                      <w:rFonts w:cs="Arial"/>
                      <w:sz w:val="20"/>
                      <w:szCs w:val="22"/>
                      <w:lang w:val="en-CA"/>
                    </w:rPr>
                    <w:t>Objective "3"</w:t>
                  </w:r>
                  <w:r w:rsidRPr="00C963BA">
                    <w:rPr>
                      <w:rFonts w:cs="Arial"/>
                      <w:sz w:val="20"/>
                      <w:szCs w:val="22"/>
                      <w:lang w:val="en-CA"/>
                    </w:rPr>
                    <w:t xml:space="preserve"> </w:t>
                  </w:r>
                  <w:r w:rsidRPr="00BB452C">
                    <w:rPr>
                      <w:rFonts w:cs="Arial"/>
                      <w:sz w:val="20"/>
                      <w:szCs w:val="22"/>
                      <w:lang w:val="en-CA"/>
                    </w:rPr>
                    <w:t>To improve storage, distributi</w:t>
                  </w:r>
                  <w:r w:rsidRPr="00BB452C">
                    <w:rPr>
                      <w:rFonts w:cs="Arial"/>
                      <w:sz w:val="20"/>
                      <w:szCs w:val="22"/>
                      <w:lang w:val="en-CA"/>
                    </w:rPr>
                    <w:lastRenderedPageBreak/>
                    <w:t>on and management of logistics and ensure the availability of potent, quality and safe vaccines, medicines and devices</w:t>
                  </w:r>
                </w:p>
              </w:tc>
              <w:tc>
                <w:tcPr>
                  <w:tcW w:w="509"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cs="Arial"/>
                      <w:sz w:val="20"/>
                      <w:szCs w:val="22"/>
                      <w:lang w:val="en-CA"/>
                    </w:rPr>
                  </w:pPr>
                  <w:r>
                    <w:rPr>
                      <w:rFonts w:ascii="Calibri" w:hAnsi="Calibri"/>
                      <w:color w:val="000000"/>
                      <w:szCs w:val="22"/>
                    </w:rPr>
                    <w:lastRenderedPageBreak/>
                    <w:t xml:space="preserve">             </w:t>
                  </w:r>
                  <w:r w:rsidR="0062222E">
                    <w:rPr>
                      <w:rFonts w:ascii="Calibri" w:hAnsi="Calibri"/>
                      <w:color w:val="000000"/>
                      <w:szCs w:val="22"/>
                    </w:rPr>
                    <w:t>100,000</w:t>
                  </w:r>
                  <w:r>
                    <w:rPr>
                      <w:rFonts w:ascii="Calibri" w:hAnsi="Calibri"/>
                      <w:color w:val="000000"/>
                      <w:szCs w:val="22"/>
                    </w:rPr>
                    <w:t xml:space="preserve"> </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cs="Arial"/>
                      <w:sz w:val="20"/>
                      <w:szCs w:val="22"/>
                      <w:lang w:val="en-CA"/>
                    </w:rPr>
                  </w:pPr>
                  <w:r>
                    <w:rPr>
                      <w:rFonts w:ascii="Calibri" w:hAnsi="Calibri"/>
                      <w:color w:val="000000"/>
                      <w:szCs w:val="22"/>
                    </w:rPr>
                    <w:t xml:space="preserve">               50,000 </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rPr>
                      <w:rFonts w:cs="Arial"/>
                      <w:sz w:val="20"/>
                      <w:szCs w:val="22"/>
                      <w:lang w:val="en-CA"/>
                    </w:rPr>
                  </w:pPr>
                  <w:r>
                    <w:rPr>
                      <w:rFonts w:ascii="Calibri" w:hAnsi="Calibri"/>
                      <w:color w:val="000000"/>
                      <w:szCs w:val="22"/>
                    </w:rPr>
                    <w:t xml:space="preserve">             250,000 </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rPr>
                      <w:rFonts w:cs="Arial"/>
                      <w:sz w:val="20"/>
                      <w:szCs w:val="22"/>
                      <w:lang w:val="en-CA"/>
                    </w:rPr>
                  </w:pPr>
                  <w:r>
                    <w:rPr>
                      <w:rFonts w:ascii="Calibri" w:hAnsi="Calibri"/>
                      <w:color w:val="000000"/>
                      <w:szCs w:val="22"/>
                    </w:rPr>
                    <w:t xml:space="preserve">                        -   </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rPr>
                      <w:rFonts w:cs="Arial"/>
                      <w:sz w:val="20"/>
                      <w:szCs w:val="22"/>
                      <w:lang w:val="en-CA"/>
                    </w:rPr>
                  </w:pPr>
                  <w:r>
                    <w:rPr>
                      <w:rFonts w:ascii="Calibri" w:hAnsi="Calibri"/>
                      <w:color w:val="000000"/>
                      <w:szCs w:val="22"/>
                    </w:rPr>
                    <w:t xml:space="preserve">               55,000 </w:t>
                  </w:r>
                </w:p>
              </w:tc>
              <w:tc>
                <w:tcPr>
                  <w:tcW w:w="1372"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cs="Arial"/>
                      <w:sz w:val="20"/>
                      <w:szCs w:val="22"/>
                      <w:lang w:val="en-CA"/>
                    </w:rPr>
                  </w:pPr>
                  <w:r>
                    <w:rPr>
                      <w:rFonts w:ascii="Calibri" w:hAnsi="Calibri"/>
                      <w:color w:val="000000"/>
                      <w:szCs w:val="22"/>
                    </w:rPr>
                    <w:t xml:space="preserve">                 455,000 </w:t>
                  </w:r>
                </w:p>
              </w:tc>
              <w:tc>
                <w:tcPr>
                  <w:tcW w:w="1240" w:type="dxa"/>
                  <w:tcBorders>
                    <w:top w:val="nil"/>
                    <w:left w:val="nil"/>
                    <w:bottom w:val="single" w:sz="4" w:space="0" w:color="auto"/>
                    <w:right w:val="single" w:sz="4" w:space="0" w:color="auto"/>
                  </w:tcBorders>
                  <w:shd w:val="clear" w:color="auto" w:fill="auto"/>
                  <w:vAlign w:val="bottom"/>
                </w:tcPr>
                <w:p w:rsidR="004F2DD4" w:rsidRPr="00BB452C" w:rsidRDefault="0062222E" w:rsidP="00052899">
                  <w:pPr>
                    <w:rPr>
                      <w:rFonts w:cs="Arial"/>
                      <w:sz w:val="20"/>
                      <w:szCs w:val="22"/>
                      <w:lang w:val="en-CA"/>
                    </w:rPr>
                  </w:pPr>
                  <w:r>
                    <w:rPr>
                      <w:rFonts w:ascii="Calibri" w:hAnsi="Calibri"/>
                      <w:color w:val="000000"/>
                      <w:szCs w:val="22"/>
                    </w:rPr>
                    <w:t>3</w:t>
                  </w:r>
                  <w:r w:rsidR="004F2DD4">
                    <w:rPr>
                      <w:rFonts w:ascii="Calibri" w:hAnsi="Calibri"/>
                      <w:color w:val="000000"/>
                      <w:szCs w:val="22"/>
                    </w:rPr>
                    <w:t>%</w:t>
                  </w:r>
                </w:p>
              </w:tc>
            </w:tr>
            <w:tr w:rsidR="0062222E" w:rsidRPr="00C963BA" w:rsidTr="004F2DD4">
              <w:trPr>
                <w:trHeight w:val="900"/>
              </w:trPr>
              <w:tc>
                <w:tcPr>
                  <w:tcW w:w="1957" w:type="dxa"/>
                  <w:tcBorders>
                    <w:top w:val="nil"/>
                    <w:left w:val="single" w:sz="4" w:space="0" w:color="auto"/>
                    <w:bottom w:val="single" w:sz="4" w:space="0" w:color="auto"/>
                    <w:right w:val="single" w:sz="4" w:space="0" w:color="auto"/>
                  </w:tcBorders>
                  <w:shd w:val="clear" w:color="auto" w:fill="auto"/>
                  <w:vAlign w:val="bottom"/>
                </w:tcPr>
                <w:p w:rsidR="004F2DD4" w:rsidRPr="00BB452C" w:rsidRDefault="004F2DD4" w:rsidP="00052899">
                  <w:pPr>
                    <w:rPr>
                      <w:rFonts w:cs="Arial"/>
                      <w:sz w:val="20"/>
                      <w:szCs w:val="22"/>
                      <w:lang w:val="en-CA"/>
                    </w:rPr>
                  </w:pPr>
                  <w:r w:rsidRPr="00BB452C">
                    <w:rPr>
                      <w:rFonts w:cs="Arial"/>
                      <w:sz w:val="20"/>
                      <w:szCs w:val="22"/>
                      <w:lang w:val="en-CA"/>
                    </w:rPr>
                    <w:lastRenderedPageBreak/>
                    <w:t>Objective "4"</w:t>
                  </w:r>
                  <w:r w:rsidRPr="00C963BA">
                    <w:rPr>
                      <w:rFonts w:cs="Arial"/>
                      <w:sz w:val="20"/>
                      <w:szCs w:val="22"/>
                      <w:lang w:val="en-CA"/>
                    </w:rPr>
                    <w:t xml:space="preserve"> </w:t>
                  </w:r>
                  <w:r w:rsidRPr="00BB452C">
                    <w:rPr>
                      <w:rFonts w:cs="Arial"/>
                      <w:sz w:val="20"/>
                      <w:szCs w:val="22"/>
                      <w:lang w:val="en-CA"/>
                    </w:rPr>
                    <w:t xml:space="preserve">To empower civil society for increased demand for health services at the community  </w:t>
                  </w:r>
                </w:p>
              </w:tc>
              <w:tc>
                <w:tcPr>
                  <w:tcW w:w="509"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cs="Arial"/>
                      <w:sz w:val="20"/>
                      <w:szCs w:val="22"/>
                      <w:lang w:val="en-CA"/>
                    </w:rPr>
                  </w:pPr>
                  <w:r>
                    <w:rPr>
                      <w:rFonts w:ascii="Calibri" w:hAnsi="Calibri"/>
                      <w:color w:val="000000"/>
                      <w:szCs w:val="22"/>
                    </w:rPr>
                    <w:t xml:space="preserve">             214,700 </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cs="Arial"/>
                      <w:sz w:val="20"/>
                      <w:szCs w:val="22"/>
                      <w:lang w:val="en-CA"/>
                    </w:rPr>
                  </w:pPr>
                  <w:r>
                    <w:rPr>
                      <w:rFonts w:ascii="Calibri" w:hAnsi="Calibri"/>
                      <w:color w:val="000000"/>
                      <w:szCs w:val="22"/>
                    </w:rPr>
                    <w:t xml:space="preserve">             425,850 </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cs="Arial"/>
                      <w:sz w:val="20"/>
                      <w:szCs w:val="22"/>
                      <w:lang w:val="en-CA"/>
                    </w:rPr>
                  </w:pPr>
                  <w:r>
                    <w:rPr>
                      <w:rFonts w:ascii="Calibri" w:hAnsi="Calibri"/>
                      <w:color w:val="000000"/>
                      <w:szCs w:val="22"/>
                    </w:rPr>
                    <w:t xml:space="preserve">             386,750 </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cs="Arial"/>
                      <w:sz w:val="20"/>
                      <w:szCs w:val="22"/>
                      <w:lang w:val="en-CA"/>
                    </w:rPr>
                  </w:pPr>
                  <w:r>
                    <w:rPr>
                      <w:rFonts w:ascii="Calibri" w:hAnsi="Calibri"/>
                      <w:color w:val="000000"/>
                      <w:szCs w:val="22"/>
                    </w:rPr>
                    <w:t xml:space="preserve">             475,750 </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cs="Arial"/>
                      <w:sz w:val="20"/>
                      <w:szCs w:val="22"/>
                      <w:lang w:val="en-CA"/>
                    </w:rPr>
                  </w:pPr>
                  <w:r>
                    <w:rPr>
                      <w:rFonts w:ascii="Calibri" w:hAnsi="Calibri"/>
                      <w:color w:val="000000"/>
                      <w:szCs w:val="22"/>
                    </w:rPr>
                    <w:t xml:space="preserve">             502,750 </w:t>
                  </w:r>
                </w:p>
              </w:tc>
              <w:tc>
                <w:tcPr>
                  <w:tcW w:w="1372"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cs="Arial"/>
                      <w:sz w:val="20"/>
                      <w:szCs w:val="22"/>
                      <w:lang w:val="en-CA"/>
                    </w:rPr>
                  </w:pPr>
                  <w:r>
                    <w:rPr>
                      <w:rFonts w:ascii="Calibri" w:hAnsi="Calibri"/>
                      <w:color w:val="000000"/>
                      <w:szCs w:val="22"/>
                    </w:rPr>
                    <w:t xml:space="preserve">             2,005,800 </w:t>
                  </w:r>
                </w:p>
              </w:tc>
              <w:tc>
                <w:tcPr>
                  <w:tcW w:w="1240"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cs="Arial"/>
                      <w:sz w:val="20"/>
                      <w:szCs w:val="22"/>
                      <w:lang w:val="en-CA"/>
                    </w:rPr>
                  </w:pPr>
                  <w:r>
                    <w:rPr>
                      <w:rFonts w:ascii="Calibri" w:hAnsi="Calibri"/>
                      <w:color w:val="000000"/>
                      <w:szCs w:val="22"/>
                    </w:rPr>
                    <w:t>11%</w:t>
                  </w:r>
                </w:p>
              </w:tc>
            </w:tr>
            <w:tr w:rsidR="0062222E" w:rsidRPr="00C963BA" w:rsidTr="004F2DD4">
              <w:trPr>
                <w:trHeight w:val="900"/>
              </w:trPr>
              <w:tc>
                <w:tcPr>
                  <w:tcW w:w="1957" w:type="dxa"/>
                  <w:tcBorders>
                    <w:top w:val="nil"/>
                    <w:left w:val="single" w:sz="4" w:space="0" w:color="auto"/>
                    <w:bottom w:val="single" w:sz="4" w:space="0" w:color="auto"/>
                    <w:right w:val="single" w:sz="4" w:space="0" w:color="auto"/>
                  </w:tcBorders>
                  <w:shd w:val="clear" w:color="auto" w:fill="auto"/>
                  <w:vAlign w:val="bottom"/>
                </w:tcPr>
                <w:p w:rsidR="004F2DD4" w:rsidRPr="00BB452C" w:rsidRDefault="004F2DD4" w:rsidP="00052899">
                  <w:pPr>
                    <w:rPr>
                      <w:rFonts w:cs="Arial"/>
                      <w:sz w:val="20"/>
                      <w:szCs w:val="22"/>
                      <w:lang w:val="en-CA"/>
                    </w:rPr>
                  </w:pPr>
                  <w:r w:rsidRPr="00BB452C">
                    <w:rPr>
                      <w:rFonts w:cs="Arial"/>
                      <w:sz w:val="20"/>
                      <w:szCs w:val="22"/>
                      <w:lang w:val="en-CA"/>
                    </w:rPr>
                    <w:t>Objective "5"</w:t>
                  </w:r>
                  <w:r w:rsidRPr="00C963BA">
                    <w:rPr>
                      <w:rFonts w:cs="Arial"/>
                      <w:sz w:val="20"/>
                      <w:szCs w:val="22"/>
                      <w:lang w:val="en-CA"/>
                    </w:rPr>
                    <w:t xml:space="preserve"> </w:t>
                  </w:r>
                  <w:r w:rsidRPr="00BB452C">
                    <w:rPr>
                      <w:rFonts w:cs="Arial"/>
                      <w:sz w:val="20"/>
                      <w:szCs w:val="22"/>
                      <w:lang w:val="en-CA"/>
                    </w:rPr>
                    <w:t>To strengthen governance and health information management for improved health service delivery</w:t>
                  </w:r>
                </w:p>
              </w:tc>
              <w:tc>
                <w:tcPr>
                  <w:tcW w:w="509"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cs="Arial"/>
                      <w:sz w:val="20"/>
                      <w:szCs w:val="22"/>
                      <w:lang w:val="en-CA"/>
                    </w:rPr>
                  </w:pPr>
                  <w:r>
                    <w:rPr>
                      <w:rFonts w:ascii="Calibri" w:hAnsi="Calibri"/>
                      <w:color w:val="000000"/>
                      <w:szCs w:val="22"/>
                    </w:rPr>
                    <w:t xml:space="preserve">             8</w:t>
                  </w:r>
                  <w:r w:rsidR="0062222E">
                    <w:rPr>
                      <w:rFonts w:ascii="Calibri" w:hAnsi="Calibri"/>
                      <w:color w:val="000000"/>
                      <w:szCs w:val="22"/>
                    </w:rPr>
                    <w:t>1</w:t>
                  </w:r>
                  <w:r>
                    <w:rPr>
                      <w:rFonts w:ascii="Calibri" w:hAnsi="Calibri"/>
                      <w:color w:val="000000"/>
                      <w:szCs w:val="22"/>
                    </w:rPr>
                    <w:t xml:space="preserve">9,000 </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cs="Arial"/>
                      <w:sz w:val="20"/>
                      <w:szCs w:val="22"/>
                      <w:lang w:val="en-CA"/>
                    </w:rPr>
                  </w:pPr>
                  <w:r>
                    <w:rPr>
                      <w:rFonts w:ascii="Calibri" w:hAnsi="Calibri"/>
                      <w:color w:val="000000"/>
                      <w:szCs w:val="22"/>
                    </w:rPr>
                    <w:t xml:space="preserve">         1,0</w:t>
                  </w:r>
                  <w:r w:rsidR="0062222E">
                    <w:rPr>
                      <w:rFonts w:ascii="Calibri" w:hAnsi="Calibri"/>
                      <w:color w:val="000000"/>
                      <w:szCs w:val="22"/>
                    </w:rPr>
                    <w:t>4</w:t>
                  </w:r>
                  <w:r>
                    <w:rPr>
                      <w:rFonts w:ascii="Calibri" w:hAnsi="Calibri"/>
                      <w:color w:val="000000"/>
                      <w:szCs w:val="22"/>
                    </w:rPr>
                    <w:t xml:space="preserve">4,980 </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cs="Arial"/>
                      <w:sz w:val="20"/>
                      <w:szCs w:val="22"/>
                      <w:lang w:val="en-CA"/>
                    </w:rPr>
                  </w:pPr>
                  <w:r>
                    <w:rPr>
                      <w:rFonts w:ascii="Calibri" w:hAnsi="Calibri"/>
                      <w:color w:val="000000"/>
                      <w:szCs w:val="22"/>
                    </w:rPr>
                    <w:t xml:space="preserve">             6</w:t>
                  </w:r>
                  <w:r w:rsidR="0062222E">
                    <w:rPr>
                      <w:rFonts w:ascii="Calibri" w:hAnsi="Calibri"/>
                      <w:color w:val="000000"/>
                      <w:szCs w:val="22"/>
                    </w:rPr>
                    <w:t>8</w:t>
                  </w:r>
                  <w:r>
                    <w:rPr>
                      <w:rFonts w:ascii="Calibri" w:hAnsi="Calibri"/>
                      <w:color w:val="000000"/>
                      <w:szCs w:val="22"/>
                    </w:rPr>
                    <w:t xml:space="preserve">5,500 </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cs="Arial"/>
                      <w:sz w:val="20"/>
                      <w:szCs w:val="22"/>
                      <w:lang w:val="en-CA"/>
                    </w:rPr>
                  </w:pPr>
                  <w:r>
                    <w:rPr>
                      <w:rFonts w:ascii="Calibri" w:hAnsi="Calibri"/>
                      <w:color w:val="000000"/>
                      <w:szCs w:val="22"/>
                    </w:rPr>
                    <w:t xml:space="preserve">             7</w:t>
                  </w:r>
                  <w:r w:rsidR="0062222E">
                    <w:rPr>
                      <w:rFonts w:ascii="Calibri" w:hAnsi="Calibri"/>
                      <w:color w:val="000000"/>
                      <w:szCs w:val="22"/>
                    </w:rPr>
                    <w:t>8</w:t>
                  </w:r>
                  <w:r>
                    <w:rPr>
                      <w:rFonts w:ascii="Calibri" w:hAnsi="Calibri"/>
                      <w:color w:val="000000"/>
                      <w:szCs w:val="22"/>
                    </w:rPr>
                    <w:t xml:space="preserve">7,000 </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cs="Arial"/>
                      <w:sz w:val="20"/>
                      <w:szCs w:val="22"/>
                      <w:lang w:val="en-CA"/>
                    </w:rPr>
                  </w:pPr>
                  <w:r>
                    <w:rPr>
                      <w:rFonts w:ascii="Calibri" w:hAnsi="Calibri"/>
                      <w:color w:val="000000"/>
                      <w:szCs w:val="22"/>
                    </w:rPr>
                    <w:t xml:space="preserve">             8</w:t>
                  </w:r>
                  <w:r w:rsidR="0062222E">
                    <w:rPr>
                      <w:rFonts w:ascii="Calibri" w:hAnsi="Calibri"/>
                      <w:color w:val="000000"/>
                      <w:szCs w:val="22"/>
                    </w:rPr>
                    <w:t>8</w:t>
                  </w:r>
                  <w:r>
                    <w:rPr>
                      <w:rFonts w:ascii="Calibri" w:hAnsi="Calibri"/>
                      <w:color w:val="000000"/>
                      <w:szCs w:val="22"/>
                    </w:rPr>
                    <w:t xml:space="preserve">4,000 </w:t>
                  </w:r>
                </w:p>
              </w:tc>
              <w:tc>
                <w:tcPr>
                  <w:tcW w:w="1372"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cs="Arial"/>
                      <w:sz w:val="20"/>
                      <w:szCs w:val="22"/>
                      <w:lang w:val="en-CA"/>
                    </w:rPr>
                  </w:pPr>
                  <w:r>
                    <w:rPr>
                      <w:rFonts w:ascii="Calibri" w:hAnsi="Calibri"/>
                      <w:color w:val="000000"/>
                      <w:szCs w:val="22"/>
                    </w:rPr>
                    <w:t xml:space="preserve">             4,2</w:t>
                  </w:r>
                  <w:r w:rsidR="0062222E">
                    <w:rPr>
                      <w:rFonts w:ascii="Calibri" w:hAnsi="Calibri"/>
                      <w:color w:val="000000"/>
                      <w:szCs w:val="22"/>
                    </w:rPr>
                    <w:t>2</w:t>
                  </w:r>
                  <w:r>
                    <w:rPr>
                      <w:rFonts w:ascii="Calibri" w:hAnsi="Calibri"/>
                      <w:color w:val="000000"/>
                      <w:szCs w:val="22"/>
                    </w:rPr>
                    <w:t xml:space="preserve">0,480 </w:t>
                  </w:r>
                </w:p>
              </w:tc>
              <w:tc>
                <w:tcPr>
                  <w:tcW w:w="1240"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cs="Arial"/>
                      <w:sz w:val="20"/>
                      <w:szCs w:val="22"/>
                      <w:lang w:val="en-CA"/>
                    </w:rPr>
                  </w:pPr>
                  <w:r>
                    <w:rPr>
                      <w:rFonts w:ascii="Calibri" w:hAnsi="Calibri"/>
                      <w:color w:val="000000"/>
                      <w:szCs w:val="22"/>
                    </w:rPr>
                    <w:t>23%</w:t>
                  </w:r>
                </w:p>
              </w:tc>
            </w:tr>
            <w:tr w:rsidR="0062222E" w:rsidRPr="00C963BA" w:rsidTr="004F2DD4">
              <w:trPr>
                <w:trHeight w:val="300"/>
              </w:trPr>
              <w:tc>
                <w:tcPr>
                  <w:tcW w:w="1957" w:type="dxa"/>
                  <w:tcBorders>
                    <w:top w:val="nil"/>
                    <w:left w:val="single" w:sz="4" w:space="0" w:color="auto"/>
                    <w:bottom w:val="single" w:sz="4" w:space="0" w:color="auto"/>
                    <w:right w:val="single" w:sz="4" w:space="0" w:color="auto"/>
                  </w:tcBorders>
                  <w:shd w:val="clear" w:color="auto" w:fill="auto"/>
                  <w:vAlign w:val="center"/>
                </w:tcPr>
                <w:p w:rsidR="004F2DD4" w:rsidRPr="00C963BA" w:rsidRDefault="004F2DD4" w:rsidP="00052899">
                  <w:pPr>
                    <w:rPr>
                      <w:rFonts w:cs="Arial"/>
                      <w:b/>
                      <w:bCs/>
                      <w:color w:val="000000"/>
                      <w:sz w:val="20"/>
                    </w:rPr>
                  </w:pPr>
                  <w:r w:rsidRPr="00C963BA">
                    <w:rPr>
                      <w:rFonts w:cs="Arial"/>
                      <w:b/>
                      <w:bCs/>
                      <w:color w:val="000000"/>
                      <w:sz w:val="20"/>
                    </w:rPr>
                    <w:t>Total</w:t>
                  </w:r>
                </w:p>
              </w:tc>
              <w:tc>
                <w:tcPr>
                  <w:tcW w:w="509"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ascii="Calibri" w:hAnsi="Calibri"/>
                      <w:b/>
                      <w:bCs/>
                      <w:color w:val="000000"/>
                      <w:sz w:val="20"/>
                      <w:szCs w:val="22"/>
                      <w:lang w:val="en-US" w:eastAsia="en-US"/>
                    </w:rPr>
                  </w:pPr>
                  <w:r>
                    <w:rPr>
                      <w:rFonts w:ascii="Calibri" w:hAnsi="Calibri"/>
                      <w:b/>
                      <w:bCs/>
                      <w:color w:val="000000"/>
                      <w:szCs w:val="22"/>
                    </w:rPr>
                    <w:t xml:space="preserve">         4,2</w:t>
                  </w:r>
                  <w:r w:rsidR="00BF35A8">
                    <w:rPr>
                      <w:rFonts w:ascii="Calibri" w:hAnsi="Calibri"/>
                      <w:b/>
                      <w:bCs/>
                      <w:color w:val="000000"/>
                      <w:szCs w:val="22"/>
                    </w:rPr>
                    <w:t>9</w:t>
                  </w:r>
                  <w:r>
                    <w:rPr>
                      <w:rFonts w:ascii="Calibri" w:hAnsi="Calibri"/>
                      <w:b/>
                      <w:bCs/>
                      <w:color w:val="000000"/>
                      <w:szCs w:val="22"/>
                    </w:rPr>
                    <w:t xml:space="preserve">9,400 </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ascii="Calibri" w:hAnsi="Calibri"/>
                      <w:b/>
                      <w:bCs/>
                      <w:color w:val="000000"/>
                      <w:sz w:val="20"/>
                      <w:szCs w:val="22"/>
                      <w:lang w:val="en-US" w:eastAsia="en-US"/>
                    </w:rPr>
                  </w:pPr>
                  <w:r>
                    <w:rPr>
                      <w:rFonts w:ascii="Calibri" w:hAnsi="Calibri"/>
                      <w:b/>
                      <w:bCs/>
                      <w:color w:val="000000"/>
                      <w:szCs w:val="22"/>
                    </w:rPr>
                    <w:t xml:space="preserve">         3,4</w:t>
                  </w:r>
                  <w:r w:rsidR="00BF35A8">
                    <w:rPr>
                      <w:rFonts w:ascii="Calibri" w:hAnsi="Calibri"/>
                      <w:b/>
                      <w:bCs/>
                      <w:color w:val="000000"/>
                      <w:szCs w:val="22"/>
                    </w:rPr>
                    <w:t>4</w:t>
                  </w:r>
                  <w:r>
                    <w:rPr>
                      <w:rFonts w:ascii="Calibri" w:hAnsi="Calibri"/>
                      <w:b/>
                      <w:bCs/>
                      <w:color w:val="000000"/>
                      <w:szCs w:val="22"/>
                    </w:rPr>
                    <w:t xml:space="preserve">0,096 </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ascii="Calibri" w:hAnsi="Calibri"/>
                      <w:b/>
                      <w:bCs/>
                      <w:color w:val="000000"/>
                      <w:sz w:val="20"/>
                      <w:szCs w:val="22"/>
                      <w:lang w:val="en-US" w:eastAsia="en-US"/>
                    </w:rPr>
                  </w:pPr>
                  <w:r>
                    <w:rPr>
                      <w:rFonts w:ascii="Calibri" w:hAnsi="Calibri"/>
                      <w:b/>
                      <w:bCs/>
                      <w:color w:val="000000"/>
                      <w:szCs w:val="22"/>
                    </w:rPr>
                    <w:t xml:space="preserve">         3,4</w:t>
                  </w:r>
                  <w:r w:rsidR="00BF35A8">
                    <w:rPr>
                      <w:rFonts w:ascii="Calibri" w:hAnsi="Calibri"/>
                      <w:b/>
                      <w:bCs/>
                      <w:color w:val="000000"/>
                      <w:szCs w:val="22"/>
                    </w:rPr>
                    <w:t>3</w:t>
                  </w:r>
                  <w:r>
                    <w:rPr>
                      <w:rFonts w:ascii="Calibri" w:hAnsi="Calibri"/>
                      <w:b/>
                      <w:bCs/>
                      <w:color w:val="000000"/>
                      <w:szCs w:val="22"/>
                    </w:rPr>
                    <w:t xml:space="preserve">9,650 </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ascii="Calibri" w:hAnsi="Calibri"/>
                      <w:b/>
                      <w:bCs/>
                      <w:color w:val="000000"/>
                      <w:sz w:val="20"/>
                      <w:szCs w:val="22"/>
                      <w:lang w:val="en-US" w:eastAsia="en-US"/>
                    </w:rPr>
                  </w:pPr>
                  <w:r>
                    <w:rPr>
                      <w:rFonts w:ascii="Calibri" w:hAnsi="Calibri"/>
                      <w:b/>
                      <w:bCs/>
                      <w:color w:val="000000"/>
                      <w:szCs w:val="22"/>
                    </w:rPr>
                    <w:t xml:space="preserve">         3,4</w:t>
                  </w:r>
                  <w:r w:rsidR="00BF35A8">
                    <w:rPr>
                      <w:rFonts w:ascii="Calibri" w:hAnsi="Calibri"/>
                      <w:b/>
                      <w:bCs/>
                      <w:color w:val="000000"/>
                      <w:szCs w:val="22"/>
                    </w:rPr>
                    <w:t>4</w:t>
                  </w:r>
                  <w:r>
                    <w:rPr>
                      <w:rFonts w:ascii="Calibri" w:hAnsi="Calibri"/>
                      <w:b/>
                      <w:bCs/>
                      <w:color w:val="000000"/>
                      <w:szCs w:val="22"/>
                    </w:rPr>
                    <w:t xml:space="preserve">0,000 </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ascii="Calibri" w:hAnsi="Calibri"/>
                      <w:b/>
                      <w:bCs/>
                      <w:color w:val="000000"/>
                      <w:sz w:val="20"/>
                      <w:szCs w:val="22"/>
                      <w:lang w:val="en-US" w:eastAsia="en-US"/>
                    </w:rPr>
                  </w:pPr>
                  <w:r>
                    <w:rPr>
                      <w:rFonts w:ascii="Calibri" w:hAnsi="Calibri"/>
                      <w:b/>
                      <w:bCs/>
                      <w:color w:val="000000"/>
                      <w:szCs w:val="22"/>
                    </w:rPr>
                    <w:t xml:space="preserve">         3,4</w:t>
                  </w:r>
                  <w:r w:rsidR="00BF35A8">
                    <w:rPr>
                      <w:rFonts w:ascii="Calibri" w:hAnsi="Calibri"/>
                      <w:b/>
                      <w:bCs/>
                      <w:color w:val="000000"/>
                      <w:szCs w:val="22"/>
                    </w:rPr>
                    <w:t>4</w:t>
                  </w:r>
                  <w:r>
                    <w:rPr>
                      <w:rFonts w:ascii="Calibri" w:hAnsi="Calibri"/>
                      <w:b/>
                      <w:bCs/>
                      <w:color w:val="000000"/>
                      <w:szCs w:val="22"/>
                    </w:rPr>
                    <w:t xml:space="preserve">0,150 </w:t>
                  </w:r>
                </w:p>
              </w:tc>
              <w:tc>
                <w:tcPr>
                  <w:tcW w:w="1372"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ascii="Calibri" w:hAnsi="Calibri"/>
                      <w:b/>
                      <w:bCs/>
                      <w:color w:val="000000"/>
                      <w:sz w:val="20"/>
                      <w:szCs w:val="22"/>
                      <w:lang w:val="en-US" w:eastAsia="en-US"/>
                    </w:rPr>
                  </w:pPr>
                  <w:r>
                    <w:rPr>
                      <w:rFonts w:ascii="Calibri" w:hAnsi="Calibri"/>
                      <w:b/>
                      <w:bCs/>
                      <w:color w:val="000000"/>
                      <w:szCs w:val="22"/>
                    </w:rPr>
                    <w:t xml:space="preserve">           18,059,296 </w:t>
                  </w:r>
                </w:p>
              </w:tc>
              <w:tc>
                <w:tcPr>
                  <w:tcW w:w="1240"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ascii="Calibri" w:hAnsi="Calibri"/>
                      <w:color w:val="000000"/>
                      <w:sz w:val="20"/>
                      <w:szCs w:val="22"/>
                      <w:lang w:val="en-US" w:eastAsia="en-US"/>
                    </w:rPr>
                  </w:pPr>
                  <w:r>
                    <w:rPr>
                      <w:rFonts w:ascii="Calibri" w:hAnsi="Calibri"/>
                      <w:b/>
                      <w:bCs/>
                      <w:color w:val="000000"/>
                      <w:szCs w:val="22"/>
                    </w:rPr>
                    <w:t xml:space="preserve">         </w:t>
                  </w:r>
                  <w:r w:rsidR="00606CA3">
                    <w:rPr>
                      <w:rFonts w:ascii="Calibri" w:hAnsi="Calibri"/>
                      <w:b/>
                      <w:bCs/>
                      <w:color w:val="000000"/>
                      <w:szCs w:val="22"/>
                    </w:rPr>
                    <w:t>100.0%</w:t>
                  </w:r>
                  <w:r>
                    <w:rPr>
                      <w:rFonts w:ascii="Calibri" w:hAnsi="Calibri"/>
                      <w:b/>
                      <w:bCs/>
                      <w:color w:val="000000"/>
                      <w:szCs w:val="22"/>
                    </w:rPr>
                    <w:t xml:space="preserve">        </w:t>
                  </w:r>
                </w:p>
              </w:tc>
            </w:tr>
            <w:tr w:rsidR="0062222E" w:rsidRPr="00C963BA" w:rsidTr="004F2DD4">
              <w:trPr>
                <w:trHeight w:val="300"/>
              </w:trPr>
              <w:tc>
                <w:tcPr>
                  <w:tcW w:w="1957" w:type="dxa"/>
                  <w:tcBorders>
                    <w:top w:val="nil"/>
                    <w:left w:val="single" w:sz="4" w:space="0" w:color="auto"/>
                    <w:bottom w:val="single" w:sz="4" w:space="0" w:color="auto"/>
                    <w:right w:val="single" w:sz="4" w:space="0" w:color="auto"/>
                  </w:tcBorders>
                  <w:shd w:val="clear" w:color="auto" w:fill="auto"/>
                  <w:vAlign w:val="center"/>
                </w:tcPr>
                <w:p w:rsidR="004F2DD4" w:rsidRPr="00C963BA" w:rsidRDefault="004F2DD4" w:rsidP="00052899">
                  <w:pPr>
                    <w:rPr>
                      <w:rFonts w:cs="Arial"/>
                      <w:color w:val="000000"/>
                      <w:sz w:val="20"/>
                    </w:rPr>
                  </w:pPr>
                  <w:r w:rsidRPr="00C963BA">
                    <w:rPr>
                      <w:rFonts w:cs="Arial"/>
                      <w:color w:val="000000"/>
                      <w:sz w:val="20"/>
                    </w:rPr>
                    <w:t>Percentage of Annual Allocation</w:t>
                  </w:r>
                </w:p>
              </w:tc>
              <w:tc>
                <w:tcPr>
                  <w:tcW w:w="509"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ascii="Calibri" w:hAnsi="Calibri"/>
                      <w:color w:val="000000"/>
                      <w:sz w:val="20"/>
                      <w:szCs w:val="22"/>
                      <w:lang w:val="en-US" w:eastAsia="en-US"/>
                    </w:rPr>
                  </w:pPr>
                  <w:r>
                    <w:rPr>
                      <w:rFonts w:ascii="Calibri" w:hAnsi="Calibri"/>
                      <w:color w:val="000000"/>
                      <w:szCs w:val="22"/>
                    </w:rPr>
                    <w:t>2</w:t>
                  </w:r>
                  <w:r w:rsidR="00902080">
                    <w:rPr>
                      <w:rFonts w:ascii="Calibri" w:hAnsi="Calibri"/>
                      <w:color w:val="000000"/>
                      <w:szCs w:val="22"/>
                    </w:rPr>
                    <w:t>4</w:t>
                  </w:r>
                  <w:r>
                    <w:rPr>
                      <w:rFonts w:ascii="Calibri" w:hAnsi="Calibri"/>
                      <w:color w:val="000000"/>
                      <w:szCs w:val="22"/>
                    </w:rPr>
                    <w:t>%</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ascii="Calibri" w:hAnsi="Calibri"/>
                      <w:color w:val="000000"/>
                      <w:sz w:val="20"/>
                      <w:szCs w:val="22"/>
                      <w:lang w:val="en-US" w:eastAsia="en-US"/>
                    </w:rPr>
                  </w:pPr>
                  <w:r>
                    <w:rPr>
                      <w:rFonts w:ascii="Calibri" w:hAnsi="Calibri"/>
                      <w:color w:val="000000"/>
                      <w:szCs w:val="22"/>
                    </w:rPr>
                    <w:t>19.0%</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ascii="Calibri" w:hAnsi="Calibri"/>
                      <w:color w:val="000000"/>
                      <w:sz w:val="20"/>
                      <w:szCs w:val="22"/>
                      <w:lang w:val="en-US" w:eastAsia="en-US"/>
                    </w:rPr>
                  </w:pPr>
                  <w:r>
                    <w:rPr>
                      <w:rFonts w:ascii="Calibri" w:hAnsi="Calibri"/>
                      <w:color w:val="000000"/>
                      <w:szCs w:val="22"/>
                    </w:rPr>
                    <w:t>19.0%</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ascii="Calibri" w:hAnsi="Calibri"/>
                      <w:color w:val="000000"/>
                      <w:sz w:val="20"/>
                      <w:szCs w:val="22"/>
                      <w:lang w:val="en-US" w:eastAsia="en-US"/>
                    </w:rPr>
                  </w:pPr>
                  <w:r>
                    <w:rPr>
                      <w:rFonts w:ascii="Calibri" w:hAnsi="Calibri"/>
                      <w:color w:val="000000"/>
                      <w:szCs w:val="22"/>
                    </w:rPr>
                    <w:t>19.0%</w:t>
                  </w:r>
                </w:p>
              </w:tc>
              <w:tc>
                <w:tcPr>
                  <w:tcW w:w="1176"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ascii="Calibri" w:hAnsi="Calibri"/>
                      <w:color w:val="000000"/>
                      <w:sz w:val="20"/>
                      <w:szCs w:val="22"/>
                      <w:lang w:val="en-US" w:eastAsia="en-US"/>
                    </w:rPr>
                  </w:pPr>
                  <w:r>
                    <w:rPr>
                      <w:rFonts w:ascii="Calibri" w:hAnsi="Calibri"/>
                      <w:color w:val="000000"/>
                      <w:szCs w:val="22"/>
                    </w:rPr>
                    <w:t>19.0%</w:t>
                  </w:r>
                </w:p>
              </w:tc>
              <w:tc>
                <w:tcPr>
                  <w:tcW w:w="1372"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ascii="Calibri" w:hAnsi="Calibri"/>
                      <w:color w:val="000000"/>
                      <w:sz w:val="20"/>
                      <w:szCs w:val="22"/>
                      <w:lang w:val="en-US" w:eastAsia="en-US"/>
                    </w:rPr>
                  </w:pPr>
                  <w:r>
                    <w:rPr>
                      <w:rFonts w:ascii="Calibri" w:hAnsi="Calibri"/>
                      <w:color w:val="000000"/>
                      <w:szCs w:val="22"/>
                    </w:rPr>
                    <w:t>100.0%</w:t>
                  </w:r>
                </w:p>
              </w:tc>
              <w:tc>
                <w:tcPr>
                  <w:tcW w:w="1240" w:type="dxa"/>
                  <w:tcBorders>
                    <w:top w:val="nil"/>
                    <w:left w:val="nil"/>
                    <w:bottom w:val="single" w:sz="4" w:space="0" w:color="auto"/>
                    <w:right w:val="single" w:sz="4" w:space="0" w:color="auto"/>
                  </w:tcBorders>
                  <w:shd w:val="clear" w:color="auto" w:fill="auto"/>
                  <w:vAlign w:val="bottom"/>
                </w:tcPr>
                <w:p w:rsidR="004F2DD4" w:rsidRPr="00BB452C" w:rsidRDefault="004F2DD4" w:rsidP="00052899">
                  <w:pPr>
                    <w:jc w:val="right"/>
                    <w:rPr>
                      <w:rFonts w:ascii="Calibri" w:hAnsi="Calibri"/>
                      <w:color w:val="000000"/>
                      <w:sz w:val="20"/>
                      <w:szCs w:val="22"/>
                      <w:lang w:val="en-US" w:eastAsia="en-US"/>
                    </w:rPr>
                  </w:pPr>
                  <w:r>
                    <w:rPr>
                      <w:rFonts w:ascii="Calibri" w:hAnsi="Calibri"/>
                      <w:color w:val="000000"/>
                      <w:szCs w:val="22"/>
                    </w:rPr>
                    <w:t> </w:t>
                  </w:r>
                </w:p>
              </w:tc>
            </w:tr>
          </w:tbl>
          <w:p w:rsidR="00052899" w:rsidRDefault="00052899" w:rsidP="00052899">
            <w:pPr>
              <w:pStyle w:val="ColorfulList-Accent11"/>
              <w:autoSpaceDE w:val="0"/>
              <w:autoSpaceDN w:val="0"/>
              <w:adjustRightInd w:val="0"/>
              <w:ind w:left="360"/>
              <w:jc w:val="both"/>
              <w:rPr>
                <w:rFonts w:cs="Arial"/>
                <w:b/>
                <w:color w:val="000000"/>
                <w:szCs w:val="22"/>
                <w:lang w:eastAsia="en-CA"/>
              </w:rPr>
            </w:pPr>
          </w:p>
          <w:p w:rsidR="00BF35A8" w:rsidRDefault="00BF35A8" w:rsidP="00BF35A8">
            <w:pPr>
              <w:jc w:val="both"/>
              <w:rPr>
                <w:rFonts w:cs="Arial"/>
                <w:szCs w:val="22"/>
                <w:lang w:val="en-CA"/>
              </w:rPr>
            </w:pPr>
            <w:r w:rsidRPr="009E3797">
              <w:rPr>
                <w:rFonts w:cs="Arial"/>
                <w:szCs w:val="22"/>
                <w:lang w:val="en-CA"/>
              </w:rPr>
              <w:t>The total proposed budget for the funding support from GAVI is US$</w:t>
            </w:r>
            <w:r w:rsidRPr="007C0A11">
              <w:rPr>
                <w:rFonts w:cs="Arial"/>
                <w:szCs w:val="22"/>
                <w:lang w:val="en-CA"/>
              </w:rPr>
              <w:t xml:space="preserve">18,059,296 </w:t>
            </w:r>
            <w:r w:rsidRPr="009E3797">
              <w:rPr>
                <w:rFonts w:cs="Arial"/>
                <w:szCs w:val="22"/>
                <w:lang w:val="en-CA"/>
              </w:rPr>
              <w:t>for a period of five years from 2014 -2018. A total amount of  US$</w:t>
            </w:r>
            <w:r>
              <w:rPr>
                <w:rFonts w:cs="Arial"/>
                <w:szCs w:val="22"/>
                <w:lang w:val="en-CA"/>
              </w:rPr>
              <w:t>11,269,516</w:t>
            </w:r>
            <w:r w:rsidRPr="005B6589">
              <w:rPr>
                <w:rFonts w:cs="Arial"/>
                <w:szCs w:val="22"/>
                <w:lang w:val="en-CA"/>
              </w:rPr>
              <w:t xml:space="preserve"> </w:t>
            </w:r>
            <w:r w:rsidRPr="009E3797">
              <w:rPr>
                <w:rFonts w:cs="Arial"/>
                <w:szCs w:val="22"/>
                <w:lang w:val="en-CA"/>
              </w:rPr>
              <w:t>(</w:t>
            </w:r>
            <w:r>
              <w:rPr>
                <w:rFonts w:cs="Arial"/>
                <w:szCs w:val="22"/>
                <w:lang w:val="en-CA"/>
              </w:rPr>
              <w:t>62</w:t>
            </w:r>
            <w:r w:rsidRPr="009E3797">
              <w:rPr>
                <w:rFonts w:cs="Arial"/>
                <w:szCs w:val="22"/>
                <w:lang w:val="en-CA"/>
              </w:rPr>
              <w:t>%) has been allocated for implementation of activities related to objective 1 (service delivery), objective 2 (workforce and human resource), US$</w:t>
            </w:r>
            <w:r>
              <w:rPr>
                <w:rFonts w:cs="Arial"/>
                <w:szCs w:val="22"/>
                <w:lang w:val="en-CA"/>
              </w:rPr>
              <w:t>108,500</w:t>
            </w:r>
            <w:r w:rsidRPr="005B6589">
              <w:rPr>
                <w:rFonts w:cs="Arial"/>
                <w:szCs w:val="22"/>
                <w:lang w:val="en-CA"/>
              </w:rPr>
              <w:t xml:space="preserve"> </w:t>
            </w:r>
            <w:r w:rsidRPr="009E3797">
              <w:rPr>
                <w:rFonts w:cs="Arial"/>
                <w:szCs w:val="22"/>
                <w:lang w:val="en-CA"/>
              </w:rPr>
              <w:t>(</w:t>
            </w:r>
            <w:r>
              <w:rPr>
                <w:rFonts w:cs="Arial"/>
                <w:szCs w:val="22"/>
                <w:lang w:val="en-CA"/>
              </w:rPr>
              <w:t>1</w:t>
            </w:r>
            <w:r w:rsidRPr="009E3797">
              <w:rPr>
                <w:rFonts w:cs="Arial"/>
                <w:szCs w:val="22"/>
                <w:lang w:val="en-CA"/>
              </w:rPr>
              <w:t>%), objective 3 (logistic and supply  chain management) US$</w:t>
            </w:r>
            <w:r>
              <w:rPr>
                <w:rFonts w:cs="Arial"/>
                <w:szCs w:val="22"/>
                <w:lang w:val="en-CA"/>
              </w:rPr>
              <w:t>455,000</w:t>
            </w:r>
            <w:r w:rsidRPr="005B6589">
              <w:rPr>
                <w:rFonts w:cs="Arial"/>
                <w:szCs w:val="22"/>
                <w:lang w:val="en-CA"/>
              </w:rPr>
              <w:t xml:space="preserve"> </w:t>
            </w:r>
            <w:r w:rsidRPr="009E3797">
              <w:rPr>
                <w:rFonts w:cs="Arial"/>
                <w:szCs w:val="22"/>
                <w:lang w:val="en-CA"/>
              </w:rPr>
              <w:t>(</w:t>
            </w:r>
            <w:r>
              <w:rPr>
                <w:rFonts w:cs="Arial"/>
                <w:szCs w:val="22"/>
                <w:lang w:val="en-CA"/>
              </w:rPr>
              <w:t>3</w:t>
            </w:r>
            <w:r w:rsidRPr="009E3797">
              <w:rPr>
                <w:rFonts w:cs="Arial"/>
                <w:szCs w:val="22"/>
                <w:lang w:val="en-CA"/>
              </w:rPr>
              <w:t>%), Objective 4 (community support and civil society organisation) US$</w:t>
            </w:r>
            <w:r>
              <w:rPr>
                <w:rFonts w:cs="Arial"/>
                <w:szCs w:val="22"/>
                <w:lang w:val="en-CA"/>
              </w:rPr>
              <w:t>2,005,800</w:t>
            </w:r>
            <w:r w:rsidRPr="005B6589">
              <w:rPr>
                <w:rFonts w:cs="Arial"/>
                <w:szCs w:val="22"/>
                <w:lang w:val="en-CA"/>
              </w:rPr>
              <w:t xml:space="preserve"> </w:t>
            </w:r>
            <w:r w:rsidRPr="009E3797">
              <w:rPr>
                <w:rFonts w:cs="Arial"/>
                <w:szCs w:val="22"/>
                <w:lang w:val="en-CA"/>
              </w:rPr>
              <w:t>(</w:t>
            </w:r>
            <w:r>
              <w:rPr>
                <w:rFonts w:cs="Arial"/>
                <w:szCs w:val="22"/>
                <w:lang w:val="en-CA"/>
              </w:rPr>
              <w:t>11</w:t>
            </w:r>
            <w:r w:rsidRPr="007C0A11">
              <w:rPr>
                <w:rFonts w:cs="Arial"/>
                <w:szCs w:val="22"/>
                <w:lang w:val="en-CA"/>
              </w:rPr>
              <w:t>%</w:t>
            </w:r>
            <w:r>
              <w:rPr>
                <w:rFonts w:cs="Arial"/>
                <w:szCs w:val="22"/>
                <w:lang w:val="en-CA"/>
              </w:rPr>
              <w:t>)</w:t>
            </w:r>
            <w:r w:rsidRPr="009E3797">
              <w:rPr>
                <w:rFonts w:cs="Arial"/>
                <w:szCs w:val="22"/>
                <w:lang w:val="en-CA"/>
              </w:rPr>
              <w:t>, and objective 5 (governance and health information management for improved health service delivery) US$</w:t>
            </w:r>
            <w:r>
              <w:rPr>
                <w:rFonts w:cs="Arial"/>
                <w:szCs w:val="22"/>
                <w:lang w:val="en-CA"/>
              </w:rPr>
              <w:t>4,220,480</w:t>
            </w:r>
            <w:r w:rsidRPr="005B6589">
              <w:rPr>
                <w:rFonts w:cs="Arial"/>
                <w:szCs w:val="22"/>
                <w:lang w:val="en-CA"/>
              </w:rPr>
              <w:t xml:space="preserve"> </w:t>
            </w:r>
            <w:r w:rsidRPr="009E3797">
              <w:rPr>
                <w:rFonts w:cs="Arial"/>
                <w:szCs w:val="22"/>
                <w:lang w:val="en-CA"/>
              </w:rPr>
              <w:t>(2</w:t>
            </w:r>
            <w:r>
              <w:rPr>
                <w:rFonts w:cs="Arial"/>
                <w:szCs w:val="22"/>
                <w:lang w:val="en-CA"/>
              </w:rPr>
              <w:t>3</w:t>
            </w:r>
            <w:r w:rsidRPr="009E3797">
              <w:rPr>
                <w:rFonts w:cs="Arial"/>
                <w:szCs w:val="22"/>
                <w:lang w:val="en-CA"/>
              </w:rPr>
              <w:t>%)</w:t>
            </w:r>
            <w:r>
              <w:rPr>
                <w:rFonts w:cs="Arial"/>
                <w:szCs w:val="22"/>
                <w:lang w:val="en-CA"/>
              </w:rPr>
              <w:t>.</w:t>
            </w:r>
            <w:r w:rsidRPr="009E3797">
              <w:rPr>
                <w:rFonts w:cs="Arial"/>
                <w:szCs w:val="22"/>
                <w:lang w:val="en-CA"/>
              </w:rPr>
              <w:t xml:space="preserve"> </w:t>
            </w:r>
          </w:p>
          <w:p w:rsidR="00052899" w:rsidRPr="000762F9" w:rsidRDefault="00052899" w:rsidP="00052899">
            <w:pPr>
              <w:jc w:val="both"/>
              <w:rPr>
                <w:rFonts w:cs="Arial"/>
                <w:szCs w:val="22"/>
                <w:lang w:val="en-CA"/>
              </w:rPr>
            </w:pPr>
          </w:p>
          <w:p w:rsidR="00052899" w:rsidRPr="000762F9" w:rsidRDefault="00052899" w:rsidP="00052899">
            <w:pPr>
              <w:jc w:val="both"/>
              <w:rPr>
                <w:rFonts w:cs="Arial"/>
                <w:szCs w:val="22"/>
                <w:lang w:val="en-CA"/>
              </w:rPr>
            </w:pPr>
            <w:r w:rsidRPr="000762F9">
              <w:rPr>
                <w:rFonts w:cs="Arial"/>
                <w:szCs w:val="22"/>
                <w:lang w:val="en-CA"/>
              </w:rPr>
              <w:t xml:space="preserve">A total amount </w:t>
            </w:r>
            <w:r w:rsidR="00B97BDB" w:rsidRPr="00B97BDB">
              <w:rPr>
                <w:rFonts w:cs="Arial"/>
                <w:szCs w:val="22"/>
                <w:lang w:val="en-CA"/>
              </w:rPr>
              <w:t>of US$</w:t>
            </w:r>
            <w:r w:rsidR="00B97BDB" w:rsidRPr="00B97BDB">
              <w:rPr>
                <w:rFonts w:ascii="Calibri" w:hAnsi="Calibri"/>
                <w:bCs/>
                <w:color w:val="000000"/>
                <w:szCs w:val="22"/>
              </w:rPr>
              <w:t>4,299,400</w:t>
            </w:r>
            <w:r w:rsidR="00BF35A8">
              <w:rPr>
                <w:rFonts w:ascii="Calibri" w:hAnsi="Calibri"/>
                <w:b/>
                <w:bCs/>
                <w:color w:val="000000"/>
                <w:szCs w:val="22"/>
              </w:rPr>
              <w:t xml:space="preserve"> </w:t>
            </w:r>
            <w:r w:rsidRPr="000762F9">
              <w:rPr>
                <w:rFonts w:cs="Arial"/>
                <w:szCs w:val="22"/>
                <w:lang w:val="en-CA"/>
              </w:rPr>
              <w:t>(</w:t>
            </w:r>
            <w:r w:rsidR="00BF35A8">
              <w:rPr>
                <w:rFonts w:cs="Arial"/>
                <w:szCs w:val="22"/>
                <w:lang w:val="en-CA"/>
              </w:rPr>
              <w:t xml:space="preserve">24 </w:t>
            </w:r>
            <w:r w:rsidRPr="000762F9">
              <w:rPr>
                <w:rFonts w:cs="Arial"/>
                <w:szCs w:val="22"/>
                <w:lang w:val="en-CA"/>
              </w:rPr>
              <w:t xml:space="preserve">%) is expected to be spent in the first </w:t>
            </w:r>
            <w:r w:rsidR="005B1611">
              <w:rPr>
                <w:rFonts w:cs="Arial"/>
                <w:szCs w:val="22"/>
                <w:lang w:val="en-CA"/>
              </w:rPr>
              <w:t xml:space="preserve">implementation </w:t>
            </w:r>
            <w:r w:rsidRPr="000762F9">
              <w:rPr>
                <w:rFonts w:cs="Arial"/>
                <w:szCs w:val="22"/>
                <w:lang w:val="en-CA"/>
              </w:rPr>
              <w:t>year</w:t>
            </w:r>
            <w:r w:rsidR="00524058">
              <w:rPr>
                <w:rFonts w:cs="Arial"/>
                <w:szCs w:val="22"/>
                <w:lang w:val="en-CA"/>
              </w:rPr>
              <w:t xml:space="preserve"> s</w:t>
            </w:r>
            <w:r w:rsidR="005B1611">
              <w:rPr>
                <w:rFonts w:cs="Arial"/>
                <w:szCs w:val="22"/>
                <w:lang w:val="en-CA"/>
              </w:rPr>
              <w:t xml:space="preserve">panning from </w:t>
            </w:r>
            <w:r w:rsidR="00524058">
              <w:rPr>
                <w:rFonts w:cs="Arial"/>
                <w:szCs w:val="22"/>
                <w:lang w:val="en-CA"/>
              </w:rPr>
              <w:t xml:space="preserve">July </w:t>
            </w:r>
            <w:r w:rsidRPr="000762F9">
              <w:rPr>
                <w:rFonts w:cs="Arial"/>
                <w:szCs w:val="22"/>
                <w:lang w:val="en-CA"/>
              </w:rPr>
              <w:t>2014</w:t>
            </w:r>
            <w:r w:rsidR="00D21F89">
              <w:rPr>
                <w:rFonts w:cs="Arial"/>
                <w:szCs w:val="22"/>
                <w:lang w:val="en-CA"/>
              </w:rPr>
              <w:t xml:space="preserve"> to June 2015</w:t>
            </w:r>
            <w:r w:rsidR="00524058">
              <w:rPr>
                <w:rFonts w:cs="Arial"/>
                <w:szCs w:val="22"/>
                <w:lang w:val="en-CA"/>
              </w:rPr>
              <w:t>. This is</w:t>
            </w:r>
            <w:r w:rsidR="003B5DE5">
              <w:rPr>
                <w:rFonts w:cs="Arial"/>
                <w:szCs w:val="22"/>
                <w:lang w:val="en-CA"/>
              </w:rPr>
              <w:t xml:space="preserve"> </w:t>
            </w:r>
            <w:r w:rsidRPr="000762F9">
              <w:rPr>
                <w:rFonts w:cs="Arial"/>
                <w:szCs w:val="22"/>
                <w:lang w:val="en-CA"/>
              </w:rPr>
              <w:t xml:space="preserve">followed by </w:t>
            </w:r>
            <w:r>
              <w:rPr>
                <w:rFonts w:cs="Arial"/>
                <w:szCs w:val="22"/>
                <w:lang w:val="en-CA"/>
              </w:rPr>
              <w:t xml:space="preserve">about </w:t>
            </w:r>
            <w:r w:rsidRPr="000762F9">
              <w:rPr>
                <w:rFonts w:cs="Arial"/>
                <w:szCs w:val="22"/>
                <w:lang w:val="en-CA"/>
              </w:rPr>
              <w:t>US$</w:t>
            </w:r>
            <w:r>
              <w:rPr>
                <w:rFonts w:cs="Arial"/>
                <w:bCs/>
                <w:color w:val="000000"/>
                <w:szCs w:val="22"/>
              </w:rPr>
              <w:t>3.44 million</w:t>
            </w:r>
            <w:r w:rsidRPr="000762F9">
              <w:rPr>
                <w:rFonts w:cs="Arial"/>
                <w:szCs w:val="22"/>
                <w:lang w:val="en-CA"/>
              </w:rPr>
              <w:t xml:space="preserve"> (</w:t>
            </w:r>
            <w:r>
              <w:rPr>
                <w:rFonts w:cs="Arial"/>
                <w:szCs w:val="22"/>
                <w:lang w:val="en-CA"/>
              </w:rPr>
              <w:t>19</w:t>
            </w:r>
            <w:r w:rsidRPr="000762F9">
              <w:rPr>
                <w:rFonts w:cs="Arial"/>
                <w:szCs w:val="22"/>
                <w:lang w:val="en-CA"/>
              </w:rPr>
              <w:t>.</w:t>
            </w:r>
            <w:r>
              <w:rPr>
                <w:rFonts w:cs="Arial"/>
                <w:szCs w:val="22"/>
                <w:lang w:val="en-CA"/>
              </w:rPr>
              <w:t>0</w:t>
            </w:r>
            <w:r w:rsidRPr="000762F9">
              <w:rPr>
                <w:rFonts w:cs="Arial"/>
                <w:szCs w:val="22"/>
                <w:lang w:val="en-CA"/>
              </w:rPr>
              <w:t xml:space="preserve">%) </w:t>
            </w:r>
            <w:r>
              <w:rPr>
                <w:rFonts w:cs="Arial"/>
                <w:szCs w:val="22"/>
                <w:lang w:val="en-CA"/>
              </w:rPr>
              <w:t xml:space="preserve">in each of the four </w:t>
            </w:r>
            <w:r w:rsidR="004A4238">
              <w:rPr>
                <w:rFonts w:cs="Arial"/>
                <w:szCs w:val="22"/>
                <w:lang w:val="en-CA"/>
              </w:rPr>
              <w:t>subsequent</w:t>
            </w:r>
            <w:r w:rsidR="00524058">
              <w:rPr>
                <w:rFonts w:cs="Arial"/>
                <w:szCs w:val="22"/>
                <w:lang w:val="en-CA"/>
              </w:rPr>
              <w:t xml:space="preserve"> (See Excel -based Monitoring and Eval</w:t>
            </w:r>
            <w:r w:rsidR="003B5DE5">
              <w:rPr>
                <w:rFonts w:cs="Arial"/>
                <w:szCs w:val="22"/>
                <w:lang w:val="en-CA"/>
              </w:rPr>
              <w:t>u</w:t>
            </w:r>
            <w:r w:rsidR="00524058">
              <w:rPr>
                <w:rFonts w:cs="Arial"/>
                <w:szCs w:val="22"/>
                <w:lang w:val="en-CA"/>
              </w:rPr>
              <w:t>ation Framework).</w:t>
            </w:r>
            <w:r>
              <w:rPr>
                <w:rFonts w:cs="Arial"/>
                <w:szCs w:val="22"/>
                <w:lang w:val="en-CA"/>
              </w:rPr>
              <w:t xml:space="preserve"> </w:t>
            </w:r>
            <w:r w:rsidR="005B1611">
              <w:rPr>
                <w:rFonts w:cs="Arial"/>
                <w:szCs w:val="22"/>
                <w:lang w:val="en-CA"/>
              </w:rPr>
              <w:t xml:space="preserve">implementation periods. </w:t>
            </w:r>
            <w:r w:rsidR="00E8510D">
              <w:rPr>
                <w:rFonts w:cs="Arial"/>
                <w:szCs w:val="22"/>
                <w:lang w:val="en-CA"/>
              </w:rPr>
              <w:t>.</w:t>
            </w:r>
          </w:p>
          <w:p w:rsidR="00052899" w:rsidRPr="000762F9" w:rsidRDefault="00052899" w:rsidP="00052899">
            <w:pPr>
              <w:jc w:val="both"/>
              <w:rPr>
                <w:rFonts w:cs="Arial"/>
                <w:szCs w:val="22"/>
                <w:lang w:val="en-CA"/>
              </w:rPr>
            </w:pPr>
          </w:p>
          <w:p w:rsidR="00052899" w:rsidRPr="000762F9" w:rsidRDefault="003B5DE5" w:rsidP="003B5DE5">
            <w:pPr>
              <w:jc w:val="both"/>
              <w:rPr>
                <w:rFonts w:cs="Arial"/>
                <w:szCs w:val="22"/>
                <w:lang w:val="en-CA"/>
              </w:rPr>
            </w:pPr>
            <w:r>
              <w:rPr>
                <w:rFonts w:cs="Arial"/>
                <w:szCs w:val="22"/>
                <w:lang w:val="en-CA"/>
              </w:rPr>
              <w:t>Twenty one</w:t>
            </w:r>
            <w:r w:rsidR="00052899">
              <w:rPr>
                <w:rFonts w:cs="Arial"/>
                <w:szCs w:val="22"/>
                <w:lang w:val="en-CA"/>
              </w:rPr>
              <w:t xml:space="preserve"> </w:t>
            </w:r>
            <w:r w:rsidR="00052899" w:rsidRPr="000762F9">
              <w:rPr>
                <w:rFonts w:cs="Arial"/>
                <w:szCs w:val="22"/>
                <w:lang w:val="en-CA"/>
              </w:rPr>
              <w:t>key activities are planned to be undertaken during the five years</w:t>
            </w:r>
            <w:r w:rsidR="00A71C2B">
              <w:rPr>
                <w:rFonts w:cs="Arial"/>
                <w:szCs w:val="22"/>
                <w:lang w:val="en-CA"/>
              </w:rPr>
              <w:t>. Five</w:t>
            </w:r>
            <w:r w:rsidR="00052899" w:rsidRPr="000762F9">
              <w:rPr>
                <w:rFonts w:cs="Arial"/>
                <w:szCs w:val="22"/>
                <w:lang w:val="en-CA"/>
              </w:rPr>
              <w:t xml:space="preserve"> activities (</w:t>
            </w:r>
            <w:r>
              <w:rPr>
                <w:rFonts w:cs="Arial"/>
                <w:szCs w:val="22"/>
                <w:lang w:val="en-CA"/>
              </w:rPr>
              <w:t>24</w:t>
            </w:r>
            <w:r w:rsidR="00052899" w:rsidRPr="000762F9">
              <w:rPr>
                <w:rFonts w:cs="Arial"/>
                <w:szCs w:val="22"/>
                <w:lang w:val="en-CA"/>
              </w:rPr>
              <w:t xml:space="preserve">%) </w:t>
            </w:r>
            <w:r>
              <w:rPr>
                <w:rFonts w:cs="Arial"/>
                <w:szCs w:val="22"/>
                <w:lang w:val="en-CA"/>
              </w:rPr>
              <w:t xml:space="preserve">each are </w:t>
            </w:r>
            <w:r w:rsidR="00052899" w:rsidRPr="000762F9">
              <w:rPr>
                <w:rFonts w:cs="Arial"/>
                <w:szCs w:val="22"/>
                <w:lang w:val="en-CA"/>
              </w:rPr>
              <w:t>planned for object</w:t>
            </w:r>
            <w:r w:rsidR="00052899">
              <w:rPr>
                <w:rFonts w:cs="Arial"/>
                <w:szCs w:val="22"/>
                <w:lang w:val="en-CA"/>
              </w:rPr>
              <w:t>ive 1 (service delivery)</w:t>
            </w:r>
            <w:r>
              <w:rPr>
                <w:rFonts w:cs="Arial"/>
                <w:szCs w:val="22"/>
                <w:lang w:val="en-CA"/>
              </w:rPr>
              <w:t xml:space="preserve">, </w:t>
            </w:r>
            <w:r w:rsidRPr="000762F9">
              <w:rPr>
                <w:rFonts w:cs="Arial"/>
                <w:szCs w:val="22"/>
                <w:lang w:val="en-CA"/>
              </w:rPr>
              <w:t xml:space="preserve">objective 4 (community support and civil society organisation), and </w:t>
            </w:r>
            <w:r>
              <w:rPr>
                <w:rFonts w:cs="Arial"/>
                <w:szCs w:val="22"/>
                <w:lang w:val="en-CA"/>
              </w:rPr>
              <w:t xml:space="preserve">objective 5 </w:t>
            </w:r>
            <w:r w:rsidRPr="000762F9">
              <w:rPr>
                <w:rFonts w:cs="Arial"/>
                <w:szCs w:val="22"/>
                <w:lang w:val="en-CA"/>
              </w:rPr>
              <w:t>(governance and health information management for improved health service delivery) respectively.</w:t>
            </w:r>
            <w:r w:rsidR="00052899">
              <w:rPr>
                <w:rFonts w:cs="Arial"/>
                <w:szCs w:val="22"/>
                <w:lang w:val="en-CA"/>
              </w:rPr>
              <w:t xml:space="preserve">  </w:t>
            </w:r>
            <w:r w:rsidR="00840E3B">
              <w:rPr>
                <w:rFonts w:cs="Arial"/>
                <w:szCs w:val="22"/>
                <w:lang w:val="en-CA"/>
              </w:rPr>
              <w:t>T</w:t>
            </w:r>
            <w:r>
              <w:rPr>
                <w:rFonts w:cs="Arial"/>
                <w:szCs w:val="22"/>
                <w:lang w:val="en-CA"/>
              </w:rPr>
              <w:t>wo</w:t>
            </w:r>
            <w:r w:rsidR="00052899">
              <w:rPr>
                <w:rFonts w:cs="Arial"/>
                <w:szCs w:val="22"/>
                <w:lang w:val="en-CA"/>
              </w:rPr>
              <w:t xml:space="preserve"> activities </w:t>
            </w:r>
            <w:r>
              <w:rPr>
                <w:rFonts w:cs="Arial"/>
                <w:szCs w:val="22"/>
                <w:lang w:val="en-CA"/>
              </w:rPr>
              <w:t>(10</w:t>
            </w:r>
            <w:r w:rsidR="00052899" w:rsidRPr="000762F9">
              <w:rPr>
                <w:rFonts w:cs="Arial"/>
                <w:szCs w:val="22"/>
                <w:lang w:val="en-CA"/>
              </w:rPr>
              <w:t xml:space="preserve">%) </w:t>
            </w:r>
            <w:r w:rsidR="00840E3B">
              <w:rPr>
                <w:rFonts w:cs="Arial"/>
                <w:szCs w:val="22"/>
                <w:lang w:val="en-CA"/>
              </w:rPr>
              <w:t xml:space="preserve">are planned under </w:t>
            </w:r>
            <w:r w:rsidR="00052899" w:rsidRPr="000762F9">
              <w:rPr>
                <w:rFonts w:cs="Arial"/>
                <w:szCs w:val="22"/>
                <w:lang w:val="en-CA"/>
              </w:rPr>
              <w:t xml:space="preserve">objective 2 (health workforce) </w:t>
            </w:r>
            <w:r w:rsidR="00840E3B">
              <w:rPr>
                <w:rFonts w:cs="Arial"/>
                <w:szCs w:val="22"/>
                <w:lang w:val="en-CA"/>
              </w:rPr>
              <w:t xml:space="preserve">and </w:t>
            </w:r>
            <w:r>
              <w:rPr>
                <w:rFonts w:cs="Arial"/>
                <w:szCs w:val="22"/>
                <w:lang w:val="en-CA"/>
              </w:rPr>
              <w:t xml:space="preserve">four activities </w:t>
            </w:r>
            <w:r w:rsidR="00A71C2B">
              <w:rPr>
                <w:rFonts w:cs="Arial"/>
                <w:szCs w:val="22"/>
                <w:lang w:val="en-CA"/>
              </w:rPr>
              <w:t xml:space="preserve">(9%) </w:t>
            </w:r>
            <w:r>
              <w:rPr>
                <w:rFonts w:cs="Arial"/>
                <w:szCs w:val="22"/>
                <w:lang w:val="en-CA"/>
              </w:rPr>
              <w:t xml:space="preserve">under </w:t>
            </w:r>
            <w:r w:rsidR="00052899" w:rsidRPr="000762F9">
              <w:rPr>
                <w:rFonts w:cs="Arial"/>
                <w:szCs w:val="22"/>
                <w:lang w:val="en-CA"/>
              </w:rPr>
              <w:t>objective 3 (logistic and supply chain management)</w:t>
            </w:r>
            <w:r w:rsidR="004A4238">
              <w:rPr>
                <w:rFonts w:cs="Arial"/>
                <w:szCs w:val="22"/>
                <w:lang w:val="en-CA"/>
              </w:rPr>
              <w:t xml:space="preserve">. </w:t>
            </w:r>
          </w:p>
          <w:p w:rsidR="00D05F58" w:rsidRDefault="00D05F58" w:rsidP="00052899">
            <w:pPr>
              <w:jc w:val="both"/>
              <w:rPr>
                <w:rFonts w:cs="Arial"/>
                <w:szCs w:val="22"/>
                <w:lang w:val="en-CA"/>
              </w:rPr>
            </w:pPr>
          </w:p>
          <w:p w:rsidR="00606CA3" w:rsidRDefault="00052899" w:rsidP="00606CA3">
            <w:pPr>
              <w:pStyle w:val="ColorfulList-Accent11"/>
              <w:autoSpaceDE w:val="0"/>
              <w:autoSpaceDN w:val="0"/>
              <w:adjustRightInd w:val="0"/>
              <w:ind w:left="0"/>
              <w:jc w:val="both"/>
              <w:rPr>
                <w:rFonts w:ascii="Arial" w:eastAsia="Times New Roman" w:hAnsi="Arial" w:cs="Arial"/>
                <w:sz w:val="22"/>
                <w:szCs w:val="22"/>
                <w:lang w:val="en-CA"/>
              </w:rPr>
            </w:pPr>
            <w:r w:rsidRPr="000762F9">
              <w:rPr>
                <w:rFonts w:ascii="Arial" w:eastAsia="Times New Roman" w:hAnsi="Arial" w:cs="Arial"/>
                <w:sz w:val="22"/>
                <w:szCs w:val="22"/>
                <w:lang w:val="en-CA"/>
              </w:rPr>
              <w:t>Using GAVI Grant categories, Service Delivery was alloc</w:t>
            </w:r>
            <w:r>
              <w:rPr>
                <w:rFonts w:ascii="Arial" w:eastAsia="Times New Roman" w:hAnsi="Arial" w:cs="Arial"/>
                <w:sz w:val="22"/>
                <w:szCs w:val="22"/>
                <w:lang w:val="en-CA"/>
              </w:rPr>
              <w:t>ated the largest amount of US$</w:t>
            </w:r>
            <w:r w:rsidRPr="00DB2FEE">
              <w:rPr>
                <w:rFonts w:ascii="Arial" w:eastAsia="Times New Roman" w:hAnsi="Arial" w:cs="Arial"/>
                <w:sz w:val="22"/>
                <w:szCs w:val="22"/>
                <w:lang w:val="en-CA"/>
              </w:rPr>
              <w:t xml:space="preserve">11,126,900 </w:t>
            </w:r>
            <w:r>
              <w:rPr>
                <w:rFonts w:ascii="Arial" w:eastAsia="Times New Roman" w:hAnsi="Arial" w:cs="Arial"/>
                <w:sz w:val="22"/>
                <w:szCs w:val="22"/>
                <w:lang w:val="en-CA"/>
              </w:rPr>
              <w:t>(6</w:t>
            </w:r>
            <w:r w:rsidR="00B953EC">
              <w:rPr>
                <w:rFonts w:ascii="Arial" w:eastAsia="Times New Roman" w:hAnsi="Arial" w:cs="Arial"/>
                <w:sz w:val="22"/>
                <w:szCs w:val="22"/>
                <w:lang w:val="en-CA"/>
              </w:rPr>
              <w:t>2</w:t>
            </w:r>
            <w:r w:rsidRPr="000762F9">
              <w:rPr>
                <w:rFonts w:ascii="Arial" w:eastAsia="Times New Roman" w:hAnsi="Arial" w:cs="Arial"/>
                <w:sz w:val="22"/>
                <w:szCs w:val="22"/>
                <w:lang w:val="en-CA"/>
              </w:rPr>
              <w:t>%) followed by Community and other Loca</w:t>
            </w:r>
            <w:r>
              <w:rPr>
                <w:rFonts w:ascii="Arial" w:eastAsia="Times New Roman" w:hAnsi="Arial" w:cs="Arial"/>
                <w:sz w:val="22"/>
                <w:szCs w:val="22"/>
                <w:lang w:val="en-CA"/>
              </w:rPr>
              <w:t>l Actors with budget of US$3,5</w:t>
            </w:r>
            <w:r w:rsidR="00B953EC">
              <w:rPr>
                <w:rFonts w:ascii="Arial" w:eastAsia="Times New Roman" w:hAnsi="Arial" w:cs="Arial"/>
                <w:sz w:val="22"/>
                <w:szCs w:val="22"/>
                <w:lang w:val="en-CA"/>
              </w:rPr>
              <w:t>1</w:t>
            </w:r>
            <w:r>
              <w:rPr>
                <w:rFonts w:ascii="Arial" w:eastAsia="Times New Roman" w:hAnsi="Arial" w:cs="Arial"/>
                <w:sz w:val="22"/>
                <w:szCs w:val="22"/>
                <w:lang w:val="en-CA"/>
              </w:rPr>
              <w:t>7,180 (</w:t>
            </w:r>
            <w:r w:rsidR="00B953EC">
              <w:rPr>
                <w:rFonts w:ascii="Arial" w:eastAsia="Times New Roman" w:hAnsi="Arial" w:cs="Arial"/>
                <w:sz w:val="22"/>
                <w:szCs w:val="22"/>
                <w:lang w:val="en-CA"/>
              </w:rPr>
              <w:t>20</w:t>
            </w:r>
            <w:r w:rsidRPr="000762F9">
              <w:rPr>
                <w:rFonts w:ascii="Arial" w:eastAsia="Times New Roman" w:hAnsi="Arial" w:cs="Arial"/>
                <w:sz w:val="22"/>
                <w:szCs w:val="22"/>
                <w:lang w:val="en-CA"/>
              </w:rPr>
              <w:t xml:space="preserve">%) and Health </w:t>
            </w:r>
            <w:r>
              <w:rPr>
                <w:rFonts w:ascii="Arial" w:eastAsia="Times New Roman" w:hAnsi="Arial" w:cs="Arial"/>
                <w:sz w:val="22"/>
                <w:szCs w:val="22"/>
                <w:lang w:val="en-CA"/>
              </w:rPr>
              <w:t>Information Systems with US$1,</w:t>
            </w:r>
            <w:r w:rsidR="00B953EC">
              <w:rPr>
                <w:rFonts w:ascii="Arial" w:eastAsia="Times New Roman" w:hAnsi="Arial" w:cs="Arial"/>
                <w:sz w:val="22"/>
                <w:szCs w:val="22"/>
                <w:lang w:val="en-CA"/>
              </w:rPr>
              <w:t>4</w:t>
            </w:r>
            <w:r>
              <w:rPr>
                <w:rFonts w:ascii="Arial" w:eastAsia="Times New Roman" w:hAnsi="Arial" w:cs="Arial"/>
                <w:sz w:val="22"/>
                <w:szCs w:val="22"/>
                <w:lang w:val="en-CA"/>
              </w:rPr>
              <w:t>12,616 (8</w:t>
            </w:r>
            <w:r w:rsidRPr="000762F9">
              <w:rPr>
                <w:rFonts w:ascii="Arial" w:eastAsia="Times New Roman" w:hAnsi="Arial" w:cs="Arial"/>
                <w:sz w:val="22"/>
                <w:szCs w:val="22"/>
                <w:lang w:val="en-CA"/>
              </w:rPr>
              <w:t xml:space="preserve">%). The other allocations were as follows: </w:t>
            </w:r>
            <w:r>
              <w:rPr>
                <w:rFonts w:ascii="Arial" w:eastAsia="Times New Roman" w:hAnsi="Arial" w:cs="Arial"/>
                <w:sz w:val="22"/>
                <w:szCs w:val="22"/>
                <w:lang w:val="en-CA"/>
              </w:rPr>
              <w:t>Programme management (US$730,000 – 4.0</w:t>
            </w:r>
            <w:r w:rsidRPr="000762F9">
              <w:rPr>
                <w:rFonts w:ascii="Arial" w:eastAsia="Times New Roman" w:hAnsi="Arial" w:cs="Arial"/>
                <w:sz w:val="22"/>
                <w:szCs w:val="22"/>
                <w:lang w:val="en-CA"/>
              </w:rPr>
              <w:t>%);</w:t>
            </w:r>
            <w:r>
              <w:rPr>
                <w:rFonts w:ascii="Arial" w:eastAsia="Times New Roman" w:hAnsi="Arial" w:cs="Arial"/>
                <w:sz w:val="22"/>
                <w:szCs w:val="22"/>
                <w:lang w:val="en-CA"/>
              </w:rPr>
              <w:t xml:space="preserve"> </w:t>
            </w:r>
            <w:r w:rsidRPr="000762F9">
              <w:rPr>
                <w:rFonts w:ascii="Arial" w:eastAsia="Times New Roman" w:hAnsi="Arial" w:cs="Arial"/>
                <w:sz w:val="22"/>
                <w:szCs w:val="22"/>
                <w:lang w:val="en-CA"/>
              </w:rPr>
              <w:t>Workforce and Human Resour</w:t>
            </w:r>
            <w:r>
              <w:rPr>
                <w:rFonts w:ascii="Arial" w:eastAsia="Times New Roman" w:hAnsi="Arial" w:cs="Arial"/>
                <w:sz w:val="22"/>
                <w:szCs w:val="22"/>
                <w:lang w:val="en-CA"/>
              </w:rPr>
              <w:t>ces (US</w:t>
            </w:r>
            <w:r w:rsidR="00B953EC">
              <w:rPr>
                <w:rFonts w:ascii="Arial" w:eastAsia="Times New Roman" w:hAnsi="Arial" w:cs="Arial"/>
                <w:sz w:val="22"/>
                <w:szCs w:val="22"/>
                <w:lang w:val="en-CA"/>
              </w:rPr>
              <w:t>$71</w:t>
            </w:r>
            <w:r>
              <w:rPr>
                <w:rFonts w:ascii="Arial" w:eastAsia="Times New Roman" w:hAnsi="Arial" w:cs="Arial"/>
                <w:sz w:val="22"/>
                <w:szCs w:val="22"/>
                <w:lang w:val="en-CA"/>
              </w:rPr>
              <w:t xml:space="preserve">,250 – </w:t>
            </w:r>
            <w:r w:rsidR="00B953EC">
              <w:rPr>
                <w:rFonts w:ascii="Arial" w:eastAsia="Times New Roman" w:hAnsi="Arial" w:cs="Arial"/>
                <w:sz w:val="22"/>
                <w:szCs w:val="22"/>
                <w:lang w:val="en-CA"/>
              </w:rPr>
              <w:t>4</w:t>
            </w:r>
            <w:r w:rsidRPr="000762F9">
              <w:rPr>
                <w:rFonts w:ascii="Arial" w:eastAsia="Times New Roman" w:hAnsi="Arial" w:cs="Arial"/>
                <w:sz w:val="22"/>
                <w:szCs w:val="22"/>
                <w:lang w:val="en-CA"/>
              </w:rPr>
              <w:t>%) Procurement &amp; Supply Ch</w:t>
            </w:r>
            <w:r>
              <w:rPr>
                <w:rFonts w:ascii="Arial" w:eastAsia="Times New Roman" w:hAnsi="Arial" w:cs="Arial"/>
                <w:sz w:val="22"/>
                <w:szCs w:val="22"/>
                <w:lang w:val="en-CA"/>
              </w:rPr>
              <w:t xml:space="preserve">ain Management (US$447,350 – </w:t>
            </w:r>
            <w:r w:rsidR="00B953EC">
              <w:rPr>
                <w:rFonts w:ascii="Arial" w:eastAsia="Times New Roman" w:hAnsi="Arial" w:cs="Arial"/>
                <w:sz w:val="22"/>
                <w:szCs w:val="22"/>
                <w:lang w:val="en-CA"/>
              </w:rPr>
              <w:t>3</w:t>
            </w:r>
            <w:r>
              <w:rPr>
                <w:rFonts w:ascii="Arial" w:eastAsia="Times New Roman" w:hAnsi="Arial" w:cs="Arial"/>
                <w:sz w:val="22"/>
                <w:szCs w:val="22"/>
                <w:lang w:val="en-CA"/>
              </w:rPr>
              <w:t>%) and Health financing, US$12,000 (0.1%).</w:t>
            </w:r>
          </w:p>
          <w:p w:rsidR="00052899" w:rsidRPr="000762F9" w:rsidRDefault="00052899" w:rsidP="00052899">
            <w:pPr>
              <w:pStyle w:val="ColorfulList-Accent11"/>
              <w:autoSpaceDE w:val="0"/>
              <w:autoSpaceDN w:val="0"/>
              <w:adjustRightInd w:val="0"/>
              <w:ind w:left="0"/>
              <w:jc w:val="both"/>
              <w:rPr>
                <w:rFonts w:ascii="Arial" w:eastAsia="Times New Roman" w:hAnsi="Arial" w:cs="Arial"/>
                <w:sz w:val="22"/>
                <w:szCs w:val="22"/>
                <w:lang w:val="en-CA"/>
              </w:rPr>
            </w:pPr>
            <w:r w:rsidRPr="000762F9">
              <w:rPr>
                <w:rFonts w:ascii="Arial" w:eastAsia="Times New Roman" w:hAnsi="Arial" w:cs="Arial"/>
                <w:sz w:val="22"/>
                <w:szCs w:val="22"/>
                <w:lang w:val="en-CA"/>
              </w:rPr>
              <w:t>Based on GAVI grant sub categories, the highest budget of US$</w:t>
            </w:r>
            <w:r w:rsidRPr="00812C4B">
              <w:rPr>
                <w:rFonts w:ascii="Arial" w:eastAsia="Times New Roman" w:hAnsi="Arial" w:cs="Arial"/>
                <w:sz w:val="22"/>
                <w:szCs w:val="22"/>
                <w:lang w:val="en-CA"/>
              </w:rPr>
              <w:t xml:space="preserve"> </w:t>
            </w:r>
            <w:r w:rsidRPr="00107FCB">
              <w:rPr>
                <w:rFonts w:ascii="Arial" w:eastAsia="Times New Roman" w:hAnsi="Arial" w:cs="Arial"/>
                <w:sz w:val="22"/>
                <w:szCs w:val="22"/>
                <w:lang w:val="en-CA"/>
              </w:rPr>
              <w:t>3,143,000</w:t>
            </w:r>
            <w:r w:rsidRPr="00812C4B">
              <w:rPr>
                <w:rFonts w:ascii="Arial" w:eastAsia="Times New Roman" w:hAnsi="Arial" w:cs="Arial"/>
                <w:sz w:val="22"/>
                <w:szCs w:val="22"/>
                <w:lang w:val="en-CA"/>
              </w:rPr>
              <w:t xml:space="preserve"> </w:t>
            </w:r>
            <w:r>
              <w:rPr>
                <w:rFonts w:ascii="Arial" w:eastAsia="Times New Roman" w:hAnsi="Arial" w:cs="Arial"/>
                <w:sz w:val="22"/>
                <w:szCs w:val="22"/>
                <w:lang w:val="en-CA"/>
              </w:rPr>
              <w:t xml:space="preserve">(17%) </w:t>
            </w:r>
            <w:r w:rsidRPr="00812C4B">
              <w:rPr>
                <w:rFonts w:ascii="Arial" w:eastAsia="Times New Roman" w:hAnsi="Arial" w:cs="Arial"/>
                <w:sz w:val="22"/>
                <w:szCs w:val="22"/>
                <w:lang w:val="en-CA"/>
              </w:rPr>
              <w:t xml:space="preserve">was allocated to </w:t>
            </w:r>
            <w:r>
              <w:rPr>
                <w:rFonts w:ascii="Arial" w:eastAsia="Times New Roman" w:hAnsi="Arial" w:cs="Arial"/>
                <w:sz w:val="22"/>
                <w:szCs w:val="22"/>
                <w:lang w:val="en-CA"/>
              </w:rPr>
              <w:t>c</w:t>
            </w:r>
            <w:r w:rsidRPr="00107FCB">
              <w:rPr>
                <w:rFonts w:ascii="Arial" w:eastAsia="Times New Roman" w:hAnsi="Arial" w:cs="Arial"/>
                <w:sz w:val="22"/>
                <w:szCs w:val="22"/>
                <w:lang w:val="en-CA"/>
              </w:rPr>
              <w:t>old chain equipment</w:t>
            </w:r>
            <w:r>
              <w:rPr>
                <w:rFonts w:ascii="Arial" w:eastAsia="Times New Roman" w:hAnsi="Arial" w:cs="Arial"/>
                <w:sz w:val="22"/>
                <w:szCs w:val="22"/>
                <w:lang w:val="en-CA"/>
              </w:rPr>
              <w:t xml:space="preserve"> </w:t>
            </w:r>
            <w:r w:rsidRPr="000762F9">
              <w:rPr>
                <w:rFonts w:ascii="Arial" w:eastAsia="Times New Roman" w:hAnsi="Arial" w:cs="Arial"/>
                <w:sz w:val="22"/>
                <w:szCs w:val="22"/>
                <w:lang w:val="en-CA"/>
              </w:rPr>
              <w:t>followed</w:t>
            </w:r>
            <w:r>
              <w:rPr>
                <w:rFonts w:ascii="Arial" w:eastAsia="Times New Roman" w:hAnsi="Arial" w:cs="Arial"/>
                <w:sz w:val="22"/>
                <w:szCs w:val="22"/>
                <w:lang w:val="en-CA"/>
              </w:rPr>
              <w:t xml:space="preserve"> by</w:t>
            </w:r>
            <w:r w:rsidRPr="000762F9">
              <w:rPr>
                <w:rFonts w:ascii="Arial" w:eastAsia="Times New Roman" w:hAnsi="Arial" w:cs="Arial"/>
                <w:sz w:val="22"/>
                <w:szCs w:val="22"/>
                <w:lang w:val="en-CA"/>
              </w:rPr>
              <w:t xml:space="preserve"> </w:t>
            </w:r>
            <w:r>
              <w:rPr>
                <w:rFonts w:ascii="Arial" w:eastAsia="Times New Roman" w:hAnsi="Arial" w:cs="Arial"/>
                <w:sz w:val="22"/>
                <w:szCs w:val="22"/>
                <w:lang w:val="en-CA"/>
              </w:rPr>
              <w:t>strengthening community groups US$2,4</w:t>
            </w:r>
            <w:r w:rsidR="00B953EC">
              <w:rPr>
                <w:rFonts w:ascii="Arial" w:eastAsia="Times New Roman" w:hAnsi="Arial" w:cs="Arial"/>
                <w:sz w:val="22"/>
                <w:szCs w:val="22"/>
                <w:lang w:val="en-CA"/>
              </w:rPr>
              <w:t>9</w:t>
            </w:r>
            <w:r>
              <w:rPr>
                <w:rFonts w:ascii="Arial" w:eastAsia="Times New Roman" w:hAnsi="Arial" w:cs="Arial"/>
                <w:sz w:val="22"/>
                <w:szCs w:val="22"/>
                <w:lang w:val="en-CA"/>
              </w:rPr>
              <w:t xml:space="preserve">4,180 (14%) and transportation </w:t>
            </w:r>
            <w:r w:rsidRPr="00812C4B">
              <w:rPr>
                <w:rFonts w:ascii="Arial" w:eastAsia="Times New Roman" w:hAnsi="Arial" w:cs="Arial"/>
                <w:sz w:val="22"/>
                <w:szCs w:val="22"/>
                <w:lang w:val="en-CA"/>
              </w:rPr>
              <w:t xml:space="preserve">1,827,500 (10%). </w:t>
            </w:r>
            <w:r>
              <w:rPr>
                <w:rFonts w:ascii="Arial" w:eastAsia="Times New Roman" w:hAnsi="Arial" w:cs="Arial"/>
                <w:sz w:val="22"/>
                <w:szCs w:val="22"/>
                <w:lang w:val="en-CA"/>
              </w:rPr>
              <w:t>Improving quality of care was allocated US$1,712,500 (</w:t>
            </w:r>
            <w:r w:rsidR="00B953EC">
              <w:rPr>
                <w:rFonts w:ascii="Arial" w:eastAsia="Times New Roman" w:hAnsi="Arial" w:cs="Arial"/>
                <w:sz w:val="22"/>
                <w:szCs w:val="22"/>
                <w:lang w:val="en-CA"/>
              </w:rPr>
              <w:t>10</w:t>
            </w:r>
            <w:r>
              <w:rPr>
                <w:rFonts w:ascii="Arial" w:eastAsia="Times New Roman" w:hAnsi="Arial" w:cs="Arial"/>
                <w:sz w:val="22"/>
                <w:szCs w:val="22"/>
                <w:lang w:val="en-CA"/>
              </w:rPr>
              <w:t>%) and demand generation US$1,</w:t>
            </w:r>
            <w:r w:rsidR="00B953EC">
              <w:rPr>
                <w:rFonts w:ascii="Arial" w:eastAsia="Times New Roman" w:hAnsi="Arial" w:cs="Arial"/>
                <w:sz w:val="22"/>
                <w:szCs w:val="22"/>
                <w:lang w:val="en-CA"/>
              </w:rPr>
              <w:t>6</w:t>
            </w:r>
            <w:r>
              <w:rPr>
                <w:rFonts w:ascii="Arial" w:eastAsia="Times New Roman" w:hAnsi="Arial" w:cs="Arial"/>
                <w:sz w:val="22"/>
                <w:szCs w:val="22"/>
                <w:lang w:val="en-CA"/>
              </w:rPr>
              <w:t>95,600 (</w:t>
            </w:r>
            <w:r w:rsidR="00B953EC">
              <w:rPr>
                <w:rFonts w:ascii="Arial" w:eastAsia="Times New Roman" w:hAnsi="Arial" w:cs="Arial"/>
                <w:sz w:val="22"/>
                <w:szCs w:val="22"/>
                <w:lang w:val="en-CA"/>
              </w:rPr>
              <w:t>9</w:t>
            </w:r>
            <w:r>
              <w:rPr>
                <w:rFonts w:ascii="Arial" w:eastAsia="Times New Roman" w:hAnsi="Arial" w:cs="Arial"/>
                <w:sz w:val="22"/>
                <w:szCs w:val="22"/>
                <w:lang w:val="en-CA"/>
              </w:rPr>
              <w:t>%). The least amount of US</w:t>
            </w:r>
            <w:r w:rsidRPr="000762F9">
              <w:rPr>
                <w:rFonts w:ascii="Arial" w:eastAsia="Times New Roman" w:hAnsi="Arial" w:cs="Arial"/>
                <w:sz w:val="22"/>
                <w:szCs w:val="22"/>
                <w:lang w:val="en-CA"/>
              </w:rPr>
              <w:t>$</w:t>
            </w:r>
            <w:r>
              <w:rPr>
                <w:rFonts w:ascii="Arial" w:eastAsia="Times New Roman" w:hAnsi="Arial" w:cs="Arial"/>
                <w:sz w:val="22"/>
                <w:szCs w:val="22"/>
                <w:lang w:val="en-CA"/>
              </w:rPr>
              <w:t>12</w:t>
            </w:r>
            <w:r w:rsidRPr="000762F9">
              <w:rPr>
                <w:rFonts w:ascii="Arial" w:eastAsia="Times New Roman" w:hAnsi="Arial" w:cs="Arial"/>
                <w:sz w:val="22"/>
                <w:szCs w:val="22"/>
                <w:lang w:val="en-CA"/>
              </w:rPr>
              <w:t>,000 (0.</w:t>
            </w:r>
            <w:r>
              <w:rPr>
                <w:rFonts w:ascii="Arial" w:eastAsia="Times New Roman" w:hAnsi="Arial" w:cs="Arial"/>
                <w:sz w:val="22"/>
                <w:szCs w:val="22"/>
                <w:lang w:val="en-CA"/>
              </w:rPr>
              <w:t>07</w:t>
            </w:r>
            <w:r w:rsidRPr="000762F9">
              <w:rPr>
                <w:rFonts w:ascii="Arial" w:eastAsia="Times New Roman" w:hAnsi="Arial" w:cs="Arial"/>
                <w:sz w:val="22"/>
                <w:szCs w:val="22"/>
                <w:lang w:val="en-CA"/>
              </w:rPr>
              <w:t xml:space="preserve">%) </w:t>
            </w:r>
            <w:r>
              <w:rPr>
                <w:rFonts w:ascii="Arial" w:eastAsia="Times New Roman" w:hAnsi="Arial" w:cs="Arial"/>
                <w:sz w:val="22"/>
                <w:szCs w:val="22"/>
                <w:lang w:val="en-CA"/>
              </w:rPr>
              <w:t xml:space="preserve">was </w:t>
            </w:r>
            <w:r>
              <w:rPr>
                <w:rFonts w:ascii="Arial" w:eastAsia="Times New Roman" w:hAnsi="Arial" w:cs="Arial"/>
                <w:sz w:val="22"/>
                <w:szCs w:val="22"/>
                <w:lang w:val="en-CA"/>
              </w:rPr>
              <w:lastRenderedPageBreak/>
              <w:t xml:space="preserve">allocated to </w:t>
            </w:r>
            <w:r w:rsidRPr="00107FCB">
              <w:rPr>
                <w:rFonts w:ascii="Arial" w:eastAsia="Times New Roman" w:hAnsi="Arial" w:cs="Arial"/>
                <w:sz w:val="22"/>
                <w:szCs w:val="22"/>
                <w:lang w:val="en-CA"/>
              </w:rPr>
              <w:t>Improving equity</w:t>
            </w:r>
            <w:r w:rsidRPr="00D278C8">
              <w:rPr>
                <w:rFonts w:ascii="Arial" w:eastAsia="Times New Roman" w:hAnsi="Arial" w:cs="Arial"/>
                <w:sz w:val="22"/>
                <w:szCs w:val="22"/>
                <w:lang w:val="en-CA"/>
              </w:rPr>
              <w:t>.</w:t>
            </w:r>
          </w:p>
          <w:p w:rsidR="005561CD" w:rsidRDefault="00052899" w:rsidP="00CC08C9">
            <w:pPr>
              <w:pStyle w:val="ColorfulList-Accent11"/>
              <w:autoSpaceDE w:val="0"/>
              <w:autoSpaceDN w:val="0"/>
              <w:adjustRightInd w:val="0"/>
              <w:ind w:left="0"/>
              <w:jc w:val="both"/>
              <w:rPr>
                <w:rFonts w:cs="Arial"/>
                <w:b/>
                <w:color w:val="000000"/>
                <w:szCs w:val="22"/>
                <w:lang w:eastAsia="en-CA"/>
              </w:rPr>
            </w:pPr>
            <w:r w:rsidRPr="000762F9">
              <w:rPr>
                <w:rFonts w:ascii="Arial" w:eastAsia="Times New Roman" w:hAnsi="Arial" w:cs="Arial"/>
                <w:sz w:val="22"/>
                <w:szCs w:val="22"/>
                <w:lang w:val="en-CA"/>
              </w:rPr>
              <w:t xml:space="preserve">The public sector which has three lead </w:t>
            </w:r>
            <w:r>
              <w:rPr>
                <w:rFonts w:ascii="Arial" w:eastAsia="Times New Roman" w:hAnsi="Arial" w:cs="Arial"/>
                <w:sz w:val="22"/>
                <w:szCs w:val="22"/>
                <w:lang w:val="en-CA"/>
              </w:rPr>
              <w:t>implementers was allocated US$</w:t>
            </w:r>
            <w:r w:rsidRPr="000618A6">
              <w:rPr>
                <w:rFonts w:ascii="Arial" w:eastAsia="Times New Roman" w:hAnsi="Arial" w:cs="Arial"/>
                <w:sz w:val="22"/>
                <w:szCs w:val="22"/>
                <w:lang w:val="en-CA"/>
              </w:rPr>
              <w:t xml:space="preserve"> 16,</w:t>
            </w:r>
            <w:r>
              <w:rPr>
                <w:rFonts w:ascii="Arial" w:eastAsia="Times New Roman" w:hAnsi="Arial" w:cs="Arial"/>
                <w:sz w:val="22"/>
                <w:szCs w:val="22"/>
                <w:lang w:val="en-CA"/>
              </w:rPr>
              <w:t>053,496</w:t>
            </w:r>
            <w:r w:rsidRPr="000618A6">
              <w:rPr>
                <w:rFonts w:ascii="Arial" w:eastAsia="Times New Roman" w:hAnsi="Arial" w:cs="Arial"/>
                <w:sz w:val="22"/>
                <w:szCs w:val="22"/>
                <w:lang w:val="en-CA"/>
              </w:rPr>
              <w:t xml:space="preserve"> </w:t>
            </w:r>
            <w:r>
              <w:rPr>
                <w:rFonts w:ascii="Arial" w:eastAsia="Times New Roman" w:hAnsi="Arial" w:cs="Arial"/>
                <w:sz w:val="22"/>
                <w:szCs w:val="22"/>
                <w:lang w:val="en-CA"/>
              </w:rPr>
              <w:t>(88.9</w:t>
            </w:r>
            <w:r w:rsidRPr="000762F9">
              <w:rPr>
                <w:rFonts w:ascii="Arial" w:eastAsia="Times New Roman" w:hAnsi="Arial" w:cs="Arial"/>
                <w:sz w:val="22"/>
                <w:szCs w:val="22"/>
                <w:lang w:val="en-CA"/>
              </w:rPr>
              <w:t>%) of the total budget as against</w:t>
            </w:r>
            <w:r>
              <w:rPr>
                <w:rFonts w:ascii="Arial" w:eastAsia="Times New Roman" w:hAnsi="Arial" w:cs="Arial"/>
                <w:sz w:val="22"/>
                <w:szCs w:val="22"/>
                <w:lang w:val="en-CA"/>
              </w:rPr>
              <w:t xml:space="preserve"> US$2,005,800 (11.1</w:t>
            </w:r>
            <w:r w:rsidRPr="000762F9">
              <w:rPr>
                <w:rFonts w:ascii="Arial" w:eastAsia="Times New Roman" w:hAnsi="Arial" w:cs="Arial"/>
                <w:sz w:val="22"/>
                <w:szCs w:val="22"/>
                <w:lang w:val="en-CA"/>
              </w:rPr>
              <w:t xml:space="preserve">%) for the CSOs as implementers. </w:t>
            </w:r>
          </w:p>
          <w:p w:rsidR="00052899" w:rsidRDefault="00052899" w:rsidP="00052899">
            <w:pPr>
              <w:pStyle w:val="ColorfulList-Accent11"/>
              <w:autoSpaceDE w:val="0"/>
              <w:autoSpaceDN w:val="0"/>
              <w:adjustRightInd w:val="0"/>
              <w:ind w:left="360"/>
              <w:jc w:val="both"/>
              <w:rPr>
                <w:rFonts w:cs="Arial"/>
                <w:b/>
                <w:color w:val="000000"/>
                <w:szCs w:val="22"/>
                <w:lang w:eastAsia="en-CA"/>
              </w:rPr>
            </w:pPr>
          </w:p>
          <w:p w:rsidR="00052899" w:rsidRDefault="00052899" w:rsidP="00052899">
            <w:pPr>
              <w:pStyle w:val="ColorfulList-Accent11"/>
              <w:autoSpaceDE w:val="0"/>
              <w:autoSpaceDN w:val="0"/>
              <w:adjustRightInd w:val="0"/>
              <w:ind w:left="0"/>
              <w:jc w:val="both"/>
              <w:rPr>
                <w:rFonts w:ascii="Arial" w:hAnsi="Arial" w:cs="Arial"/>
                <w:b/>
                <w:bCs/>
                <w:sz w:val="22"/>
                <w:szCs w:val="22"/>
                <w:lang w:eastAsia="en-US"/>
              </w:rPr>
            </w:pPr>
          </w:p>
        </w:tc>
      </w:tr>
    </w:tbl>
    <w:p w:rsidR="00052899" w:rsidRDefault="00052899" w:rsidP="00052899">
      <w:pPr>
        <w:spacing w:after="200" w:line="276" w:lineRule="auto"/>
        <w:jc w:val="both"/>
      </w:pPr>
      <w:bookmarkStart w:id="641" w:name="_Toc346116646"/>
      <w:bookmarkStart w:id="642" w:name="_Toc372016108"/>
      <w:bookmarkStart w:id="643" w:name="_Toc372099701"/>
    </w:p>
    <w:bookmarkEnd w:id="641"/>
    <w:bookmarkEnd w:id="642"/>
    <w:bookmarkEnd w:id="643"/>
    <w:p w:rsidR="00052899" w:rsidRDefault="00052899" w:rsidP="00052899">
      <w:pPr>
        <w:spacing w:after="200" w:line="276" w:lineRule="auto"/>
        <w:jc w:val="both"/>
        <w:rPr>
          <w:rFonts w:cs="Arial"/>
          <w:szCs w:val="22"/>
        </w:rPr>
      </w:pPr>
    </w:p>
    <w:p w:rsidR="00052899" w:rsidRPr="00B40A7C" w:rsidDel="009555BE" w:rsidRDefault="00052899" w:rsidP="00052899">
      <w:pPr>
        <w:spacing w:after="200" w:line="276" w:lineRule="auto"/>
        <w:jc w:val="both"/>
        <w:rPr>
          <w:rFonts w:cs="Arial"/>
          <w:szCs w:val="22"/>
        </w:rPr>
      </w:pPr>
      <w:r>
        <w:rPr>
          <w:rFonts w:cs="Arial"/>
          <w:szCs w:val="22"/>
        </w:rPr>
        <w:br w:type="page"/>
      </w:r>
    </w:p>
    <w:tbl>
      <w:tblPr>
        <w:tblW w:w="5000" w:type="pct"/>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9576"/>
      </w:tblGrid>
      <w:tr w:rsidR="00052899" w:rsidRPr="00B40A7C" w:rsidTr="006F2146">
        <w:trPr>
          <w:trHeight w:val="525"/>
        </w:trPr>
        <w:tc>
          <w:tcPr>
            <w:tcW w:w="5000" w:type="pct"/>
            <w:tcBorders>
              <w:bottom w:val="single" w:sz="4" w:space="0" w:color="173E49"/>
            </w:tcBorders>
            <w:shd w:val="clear" w:color="auto" w:fill="006460"/>
          </w:tcPr>
          <w:p w:rsidR="00052899" w:rsidRDefault="00052899">
            <w:pPr>
              <w:pStyle w:val="Heading1"/>
            </w:pPr>
            <w:bookmarkStart w:id="644" w:name="_Toc377545405"/>
            <w:r w:rsidRPr="00291E76">
              <w:t>16. Gap Analysis &amp; Complementarity</w:t>
            </w:r>
            <w:bookmarkEnd w:id="644"/>
            <w:r w:rsidRPr="00291E76">
              <w:t xml:space="preserve">              </w:t>
            </w:r>
          </w:p>
        </w:tc>
      </w:tr>
      <w:tr w:rsidR="00052899" w:rsidRPr="00B40A7C" w:rsidTr="006F2146">
        <w:trPr>
          <w:trHeight w:val="699"/>
        </w:trPr>
        <w:tc>
          <w:tcPr>
            <w:tcW w:w="5000" w:type="pct"/>
            <w:tcBorders>
              <w:top w:val="single" w:sz="4" w:space="0" w:color="173E49"/>
              <w:left w:val="single" w:sz="4" w:space="0" w:color="173E49"/>
              <w:bottom w:val="single" w:sz="4" w:space="0" w:color="173E49"/>
              <w:right w:val="single" w:sz="4" w:space="0" w:color="173E49"/>
            </w:tcBorders>
            <w:shd w:val="clear" w:color="auto" w:fill="FFFFFF"/>
          </w:tcPr>
          <w:p w:rsidR="003474FF" w:rsidRDefault="003474FF" w:rsidP="00052899">
            <w:pPr>
              <w:jc w:val="both"/>
              <w:rPr>
                <w:rFonts w:cs="Arial"/>
                <w:szCs w:val="22"/>
              </w:rPr>
            </w:pPr>
          </w:p>
          <w:tbl>
            <w:tblPr>
              <w:tblW w:w="0" w:type="auto"/>
              <w:tblLayout w:type="fixed"/>
              <w:tblLook w:val="04A0"/>
            </w:tblPr>
            <w:tblGrid>
              <w:gridCol w:w="3539"/>
              <w:gridCol w:w="1276"/>
              <w:gridCol w:w="1134"/>
              <w:gridCol w:w="1134"/>
              <w:gridCol w:w="1134"/>
              <w:gridCol w:w="1133"/>
            </w:tblGrid>
            <w:tr w:rsidR="006F2146" w:rsidRPr="00CB6D59" w:rsidTr="000357CA">
              <w:trPr>
                <w:trHeight w:val="600"/>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74FF" w:rsidRPr="00CB6D59" w:rsidRDefault="00B97BDB" w:rsidP="003474FF">
                  <w:pPr>
                    <w:rPr>
                      <w:rFonts w:cs="Arial"/>
                      <w:b/>
                      <w:bCs/>
                      <w:color w:val="000000"/>
                      <w:sz w:val="18"/>
                      <w:szCs w:val="18"/>
                      <w:lang w:val="en-US" w:eastAsia="en-US"/>
                    </w:rPr>
                  </w:pPr>
                  <w:r w:rsidRPr="00B97BDB">
                    <w:rPr>
                      <w:rFonts w:cs="Arial"/>
                      <w:b/>
                      <w:bCs/>
                      <w:color w:val="000000"/>
                      <w:sz w:val="18"/>
                      <w:szCs w:val="18"/>
                      <w:lang w:val="en-US" w:eastAsia="en-US"/>
                    </w:rPr>
                    <w:t>HSS Objectives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474FF" w:rsidRPr="00CB6D59" w:rsidRDefault="00B97BDB" w:rsidP="003474FF">
                  <w:pPr>
                    <w:rPr>
                      <w:rFonts w:cs="Arial"/>
                      <w:b/>
                      <w:bCs/>
                      <w:color w:val="000000"/>
                      <w:sz w:val="18"/>
                      <w:szCs w:val="18"/>
                      <w:lang w:val="en-US" w:eastAsia="en-US"/>
                    </w:rPr>
                  </w:pPr>
                  <w:r w:rsidRPr="00B97BDB">
                    <w:rPr>
                      <w:rFonts w:cs="Arial"/>
                      <w:b/>
                      <w:bCs/>
                      <w:color w:val="000000"/>
                      <w:sz w:val="18"/>
                      <w:szCs w:val="18"/>
                      <w:lang w:val="en-US" w:eastAsia="en-US"/>
                    </w:rPr>
                    <w:t xml:space="preserve"> Resource Requirement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474FF" w:rsidRPr="00CB6D59" w:rsidRDefault="00B97BDB" w:rsidP="003474FF">
                  <w:pPr>
                    <w:rPr>
                      <w:rFonts w:cs="Arial"/>
                      <w:b/>
                      <w:bCs/>
                      <w:color w:val="000000"/>
                      <w:sz w:val="18"/>
                      <w:szCs w:val="18"/>
                      <w:lang w:val="en-US" w:eastAsia="en-US"/>
                    </w:rPr>
                  </w:pPr>
                  <w:r w:rsidRPr="00B97BDB">
                    <w:rPr>
                      <w:rFonts w:cs="Arial"/>
                      <w:b/>
                      <w:bCs/>
                      <w:color w:val="000000"/>
                      <w:sz w:val="18"/>
                      <w:szCs w:val="18"/>
                      <w:lang w:val="en-US" w:eastAsia="en-US"/>
                    </w:rPr>
                    <w:t xml:space="preserve"> Total Funding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474FF" w:rsidRPr="00CB6D59" w:rsidRDefault="00B97BDB" w:rsidP="003474FF">
                  <w:pPr>
                    <w:rPr>
                      <w:rFonts w:cs="Arial"/>
                      <w:b/>
                      <w:bCs/>
                      <w:color w:val="000000"/>
                      <w:sz w:val="18"/>
                      <w:szCs w:val="18"/>
                      <w:lang w:val="en-US" w:eastAsia="en-US"/>
                    </w:rPr>
                  </w:pPr>
                  <w:r w:rsidRPr="00B97BDB">
                    <w:rPr>
                      <w:rFonts w:cs="Arial"/>
                      <w:b/>
                      <w:bCs/>
                      <w:color w:val="000000"/>
                      <w:sz w:val="18"/>
                      <w:szCs w:val="18"/>
                      <w:lang w:val="en-US" w:eastAsia="en-US"/>
                    </w:rPr>
                    <w:t xml:space="preserve"> Funding Gap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474FF" w:rsidRPr="00CB6D59" w:rsidRDefault="00B97BDB" w:rsidP="003474FF">
                  <w:pPr>
                    <w:rPr>
                      <w:rFonts w:cs="Arial"/>
                      <w:b/>
                      <w:bCs/>
                      <w:color w:val="000000"/>
                      <w:sz w:val="18"/>
                      <w:szCs w:val="18"/>
                      <w:lang w:val="en-US" w:eastAsia="en-US"/>
                    </w:rPr>
                  </w:pPr>
                  <w:r w:rsidRPr="00B97BDB">
                    <w:rPr>
                      <w:rFonts w:cs="Arial"/>
                      <w:b/>
                      <w:bCs/>
                      <w:color w:val="000000"/>
                      <w:sz w:val="18"/>
                      <w:szCs w:val="18"/>
                      <w:lang w:val="en-US" w:eastAsia="en-US"/>
                    </w:rPr>
                    <w:t xml:space="preserve"> GAVI HSS </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3474FF" w:rsidRPr="00CB6D59" w:rsidRDefault="00B97BDB" w:rsidP="00642AAD">
                  <w:pPr>
                    <w:rPr>
                      <w:rFonts w:cs="Arial"/>
                      <w:b/>
                      <w:bCs/>
                      <w:color w:val="000000"/>
                      <w:sz w:val="18"/>
                      <w:szCs w:val="18"/>
                      <w:lang w:val="en-US" w:eastAsia="en-US"/>
                    </w:rPr>
                  </w:pPr>
                  <w:r w:rsidRPr="00B97BDB">
                    <w:rPr>
                      <w:rFonts w:cs="Arial"/>
                      <w:b/>
                      <w:bCs/>
                      <w:color w:val="000000"/>
                      <w:sz w:val="18"/>
                      <w:szCs w:val="18"/>
                      <w:lang w:val="en-US" w:eastAsia="en-US"/>
                    </w:rPr>
                    <w:t>unmet Budget</w:t>
                  </w:r>
                </w:p>
              </w:tc>
            </w:tr>
            <w:tr w:rsidR="006F2146" w:rsidRPr="00CB6D59" w:rsidTr="000357CA">
              <w:trPr>
                <w:trHeight w:val="900"/>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3474FF" w:rsidRPr="00CB6D59" w:rsidRDefault="00B97BDB" w:rsidP="003474FF">
                  <w:pPr>
                    <w:rPr>
                      <w:rFonts w:cs="Arial"/>
                      <w:color w:val="000000"/>
                      <w:sz w:val="18"/>
                      <w:szCs w:val="18"/>
                      <w:lang w:val="en-US" w:eastAsia="en-US"/>
                    </w:rPr>
                  </w:pPr>
                  <w:r w:rsidRPr="00B97BDB">
                    <w:rPr>
                      <w:rFonts w:cs="Arial"/>
                      <w:color w:val="000000"/>
                      <w:sz w:val="18"/>
                      <w:szCs w:val="18"/>
                      <w:lang w:val="en-US" w:eastAsia="en-US"/>
                    </w:rPr>
                    <w:t>Objective 1: To strengthen and scale-up community health  interventions aimed at improving the quality of primary health care services</w:t>
                  </w:r>
                </w:p>
              </w:tc>
              <w:tc>
                <w:tcPr>
                  <w:tcW w:w="1276"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36,197,490 </w:t>
                  </w:r>
                </w:p>
              </w:tc>
              <w:tc>
                <w:tcPr>
                  <w:tcW w:w="1134"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16,128,812 </w:t>
                  </w:r>
                </w:p>
              </w:tc>
              <w:tc>
                <w:tcPr>
                  <w:tcW w:w="1134"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20,068,678 </w:t>
                  </w:r>
                </w:p>
              </w:tc>
              <w:tc>
                <w:tcPr>
                  <w:tcW w:w="1134"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9,919,516 </w:t>
                  </w:r>
                </w:p>
              </w:tc>
              <w:tc>
                <w:tcPr>
                  <w:tcW w:w="1133"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10,149,162 </w:t>
                  </w:r>
                </w:p>
              </w:tc>
            </w:tr>
            <w:tr w:rsidR="006F2146" w:rsidRPr="00CB6D59" w:rsidTr="000357CA">
              <w:trPr>
                <w:trHeight w:val="600"/>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3474FF" w:rsidRPr="00CB6D59" w:rsidRDefault="00B97BDB" w:rsidP="003474FF">
                  <w:pPr>
                    <w:rPr>
                      <w:rFonts w:cs="Arial"/>
                      <w:color w:val="000000"/>
                      <w:sz w:val="18"/>
                      <w:szCs w:val="18"/>
                      <w:lang w:val="en-US" w:eastAsia="en-US"/>
                    </w:rPr>
                  </w:pPr>
                  <w:r w:rsidRPr="00B97BDB">
                    <w:rPr>
                      <w:rFonts w:cs="Arial"/>
                      <w:color w:val="000000"/>
                      <w:sz w:val="18"/>
                      <w:szCs w:val="18"/>
                      <w:lang w:val="en-US" w:eastAsia="en-US"/>
                    </w:rPr>
                    <w:t>Objective 2: To strengthen health worker capacity and distribution so as to address equity issues at district level</w:t>
                  </w:r>
                </w:p>
              </w:tc>
              <w:tc>
                <w:tcPr>
                  <w:tcW w:w="1276"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2,405,000 </w:t>
                  </w:r>
                </w:p>
              </w:tc>
              <w:tc>
                <w:tcPr>
                  <w:tcW w:w="1134"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200,000 </w:t>
                  </w:r>
                </w:p>
              </w:tc>
              <w:tc>
                <w:tcPr>
                  <w:tcW w:w="1134"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2,205,000 </w:t>
                  </w:r>
                </w:p>
              </w:tc>
              <w:tc>
                <w:tcPr>
                  <w:tcW w:w="1134"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1,408,500 </w:t>
                  </w:r>
                </w:p>
              </w:tc>
              <w:tc>
                <w:tcPr>
                  <w:tcW w:w="1133"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796,500 </w:t>
                  </w:r>
                </w:p>
              </w:tc>
            </w:tr>
            <w:tr w:rsidR="006F2146" w:rsidRPr="00CB6D59" w:rsidTr="000357CA">
              <w:trPr>
                <w:trHeight w:val="900"/>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3474FF" w:rsidRPr="00CB6D59" w:rsidRDefault="00B97BDB" w:rsidP="003474FF">
                  <w:pPr>
                    <w:rPr>
                      <w:rFonts w:cs="Arial"/>
                      <w:color w:val="000000"/>
                      <w:sz w:val="18"/>
                      <w:szCs w:val="18"/>
                      <w:lang w:val="en-US" w:eastAsia="en-US"/>
                    </w:rPr>
                  </w:pPr>
                  <w:r w:rsidRPr="00B97BDB">
                    <w:rPr>
                      <w:rFonts w:cs="Arial"/>
                      <w:color w:val="000000"/>
                      <w:sz w:val="18"/>
                      <w:szCs w:val="18"/>
                      <w:lang w:val="en-US" w:eastAsia="en-US"/>
                    </w:rPr>
                    <w:t>Objective 3: To improve storage, distribution and management of logistics and ensure the availability of potent, quality and safe vaccines, medicines and devices</w:t>
                  </w:r>
                </w:p>
              </w:tc>
              <w:tc>
                <w:tcPr>
                  <w:tcW w:w="1276"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4,615,000 </w:t>
                  </w:r>
                </w:p>
              </w:tc>
              <w:tc>
                <w:tcPr>
                  <w:tcW w:w="1134"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3,875,000 </w:t>
                  </w:r>
                </w:p>
              </w:tc>
              <w:tc>
                <w:tcPr>
                  <w:tcW w:w="1134"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740,000 </w:t>
                  </w:r>
                </w:p>
              </w:tc>
              <w:tc>
                <w:tcPr>
                  <w:tcW w:w="1134"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455,000 </w:t>
                  </w:r>
                </w:p>
              </w:tc>
              <w:tc>
                <w:tcPr>
                  <w:tcW w:w="1133"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285,000 </w:t>
                  </w:r>
                </w:p>
              </w:tc>
            </w:tr>
            <w:tr w:rsidR="006F2146" w:rsidRPr="00CB6D59" w:rsidTr="000357CA">
              <w:trPr>
                <w:trHeight w:val="600"/>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3474FF" w:rsidRPr="00CB6D59" w:rsidRDefault="00B97BDB" w:rsidP="003474FF">
                  <w:pPr>
                    <w:rPr>
                      <w:rFonts w:cs="Arial"/>
                      <w:color w:val="000000"/>
                      <w:sz w:val="18"/>
                      <w:szCs w:val="18"/>
                      <w:lang w:val="en-US" w:eastAsia="en-US"/>
                    </w:rPr>
                  </w:pPr>
                  <w:r w:rsidRPr="00B97BDB">
                    <w:rPr>
                      <w:rFonts w:cs="Arial"/>
                      <w:color w:val="000000"/>
                      <w:sz w:val="18"/>
                      <w:szCs w:val="18"/>
                      <w:lang w:val="en-US" w:eastAsia="en-US"/>
                    </w:rPr>
                    <w:t>Objective 4: To empower civil society for increased demand for health services at the community</w:t>
                  </w:r>
                </w:p>
              </w:tc>
              <w:tc>
                <w:tcPr>
                  <w:tcW w:w="1276"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2,300,000 </w:t>
                  </w:r>
                </w:p>
              </w:tc>
              <w:tc>
                <w:tcPr>
                  <w:tcW w:w="1134"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135,770 </w:t>
                  </w:r>
                </w:p>
              </w:tc>
              <w:tc>
                <w:tcPr>
                  <w:tcW w:w="1134"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2,164,230 </w:t>
                  </w:r>
                </w:p>
              </w:tc>
              <w:tc>
                <w:tcPr>
                  <w:tcW w:w="1134"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2,005,800 </w:t>
                  </w:r>
                </w:p>
              </w:tc>
              <w:tc>
                <w:tcPr>
                  <w:tcW w:w="1133"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158,430 </w:t>
                  </w:r>
                </w:p>
              </w:tc>
            </w:tr>
            <w:tr w:rsidR="006F2146" w:rsidRPr="00CB6D59" w:rsidTr="000357CA">
              <w:trPr>
                <w:trHeight w:val="900"/>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3474FF" w:rsidRPr="00CB6D59" w:rsidRDefault="00B97BDB" w:rsidP="003474FF">
                  <w:pPr>
                    <w:rPr>
                      <w:rFonts w:cs="Arial"/>
                      <w:color w:val="000000"/>
                      <w:sz w:val="18"/>
                      <w:szCs w:val="18"/>
                      <w:lang w:val="en-US" w:eastAsia="en-US"/>
                    </w:rPr>
                  </w:pPr>
                  <w:r w:rsidRPr="00B97BDB">
                    <w:rPr>
                      <w:rFonts w:cs="Arial"/>
                      <w:color w:val="000000"/>
                      <w:sz w:val="18"/>
                      <w:szCs w:val="18"/>
                      <w:lang w:val="en-US" w:eastAsia="en-US"/>
                    </w:rPr>
                    <w:t>Objective 5: To strengthen governance and health information management for improved health service delivery</w:t>
                  </w:r>
                </w:p>
              </w:tc>
              <w:tc>
                <w:tcPr>
                  <w:tcW w:w="1276"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18,899,000 </w:t>
                  </w:r>
                </w:p>
              </w:tc>
              <w:tc>
                <w:tcPr>
                  <w:tcW w:w="1134"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5,000,000 </w:t>
                  </w:r>
                </w:p>
              </w:tc>
              <w:tc>
                <w:tcPr>
                  <w:tcW w:w="1134"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13,899,000 </w:t>
                  </w:r>
                </w:p>
              </w:tc>
              <w:tc>
                <w:tcPr>
                  <w:tcW w:w="1134"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4,270,480 </w:t>
                  </w:r>
                </w:p>
              </w:tc>
              <w:tc>
                <w:tcPr>
                  <w:tcW w:w="1133"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color w:val="000000"/>
                      <w:sz w:val="18"/>
                      <w:szCs w:val="18"/>
                      <w:lang w:val="en-US" w:eastAsia="en-US"/>
                    </w:rPr>
                  </w:pPr>
                  <w:r w:rsidRPr="00B97BDB">
                    <w:rPr>
                      <w:rFonts w:cs="Arial"/>
                      <w:color w:val="000000"/>
                      <w:sz w:val="18"/>
                      <w:szCs w:val="18"/>
                      <w:lang w:val="en-US" w:eastAsia="en-US"/>
                    </w:rPr>
                    <w:t xml:space="preserve">    9,628,520 </w:t>
                  </w:r>
                </w:p>
              </w:tc>
            </w:tr>
            <w:tr w:rsidR="006F2146" w:rsidRPr="00CB6D59" w:rsidTr="000357CA">
              <w:trPr>
                <w:trHeight w:val="300"/>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3474FF" w:rsidRPr="00CB6D59" w:rsidRDefault="00B97BDB" w:rsidP="003474FF">
                  <w:pPr>
                    <w:rPr>
                      <w:rFonts w:cs="Arial"/>
                      <w:b/>
                      <w:bCs/>
                      <w:color w:val="000000"/>
                      <w:sz w:val="18"/>
                      <w:szCs w:val="18"/>
                      <w:lang w:val="en-US" w:eastAsia="en-US"/>
                    </w:rPr>
                  </w:pPr>
                  <w:r w:rsidRPr="00B97BDB">
                    <w:rPr>
                      <w:rFonts w:cs="Arial"/>
                      <w:b/>
                      <w:bCs/>
                      <w:color w:val="000000"/>
                      <w:sz w:val="18"/>
                      <w:szCs w:val="18"/>
                      <w:lang w:val="en-US" w:eastAsia="en-US"/>
                    </w:rPr>
                    <w:t>Total</w:t>
                  </w:r>
                </w:p>
              </w:tc>
              <w:tc>
                <w:tcPr>
                  <w:tcW w:w="1276"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b/>
                      <w:bCs/>
                      <w:color w:val="000000"/>
                      <w:sz w:val="18"/>
                      <w:szCs w:val="18"/>
                      <w:lang w:val="en-US" w:eastAsia="en-US"/>
                    </w:rPr>
                  </w:pPr>
                  <w:r w:rsidRPr="00B97BDB">
                    <w:rPr>
                      <w:rFonts w:cs="Arial"/>
                      <w:b/>
                      <w:bCs/>
                      <w:color w:val="000000"/>
                      <w:sz w:val="18"/>
                      <w:szCs w:val="18"/>
                      <w:lang w:val="en-US" w:eastAsia="en-US"/>
                    </w:rPr>
                    <w:t xml:space="preserve">         64,416,490 </w:t>
                  </w:r>
                </w:p>
              </w:tc>
              <w:tc>
                <w:tcPr>
                  <w:tcW w:w="1134"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b/>
                      <w:bCs/>
                      <w:color w:val="000000"/>
                      <w:sz w:val="18"/>
                      <w:szCs w:val="18"/>
                      <w:lang w:val="en-US" w:eastAsia="en-US"/>
                    </w:rPr>
                  </w:pPr>
                  <w:r w:rsidRPr="00B97BDB">
                    <w:rPr>
                      <w:rFonts w:cs="Arial"/>
                      <w:b/>
                      <w:bCs/>
                      <w:color w:val="000000"/>
                      <w:sz w:val="18"/>
                      <w:szCs w:val="18"/>
                      <w:lang w:val="en-US" w:eastAsia="en-US"/>
                    </w:rPr>
                    <w:t xml:space="preserve">         25,339,582 </w:t>
                  </w:r>
                </w:p>
              </w:tc>
              <w:tc>
                <w:tcPr>
                  <w:tcW w:w="1134"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b/>
                      <w:bCs/>
                      <w:color w:val="000000"/>
                      <w:sz w:val="18"/>
                      <w:szCs w:val="18"/>
                      <w:lang w:val="en-US" w:eastAsia="en-US"/>
                    </w:rPr>
                  </w:pPr>
                  <w:r w:rsidRPr="00B97BDB">
                    <w:rPr>
                      <w:rFonts w:cs="Arial"/>
                      <w:b/>
                      <w:bCs/>
                      <w:color w:val="000000"/>
                      <w:sz w:val="18"/>
                      <w:szCs w:val="18"/>
                      <w:lang w:val="en-US" w:eastAsia="en-US"/>
                    </w:rPr>
                    <w:t xml:space="preserve">         39,076,908 </w:t>
                  </w:r>
                </w:p>
              </w:tc>
              <w:tc>
                <w:tcPr>
                  <w:tcW w:w="1134"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b/>
                      <w:bCs/>
                      <w:color w:val="000000"/>
                      <w:sz w:val="18"/>
                      <w:szCs w:val="18"/>
                      <w:lang w:val="en-US" w:eastAsia="en-US"/>
                    </w:rPr>
                  </w:pPr>
                  <w:r w:rsidRPr="00B97BDB">
                    <w:rPr>
                      <w:rFonts w:cs="Arial"/>
                      <w:b/>
                      <w:bCs/>
                      <w:color w:val="000000"/>
                      <w:sz w:val="18"/>
                      <w:szCs w:val="18"/>
                      <w:lang w:val="en-US" w:eastAsia="en-US"/>
                    </w:rPr>
                    <w:t xml:space="preserve">         18,059,296 </w:t>
                  </w:r>
                </w:p>
              </w:tc>
              <w:tc>
                <w:tcPr>
                  <w:tcW w:w="1133" w:type="dxa"/>
                  <w:tcBorders>
                    <w:top w:val="nil"/>
                    <w:left w:val="nil"/>
                    <w:bottom w:val="single" w:sz="4" w:space="0" w:color="auto"/>
                    <w:right w:val="single" w:sz="4" w:space="0" w:color="auto"/>
                  </w:tcBorders>
                  <w:shd w:val="clear" w:color="auto" w:fill="auto"/>
                  <w:vAlign w:val="bottom"/>
                  <w:hideMark/>
                </w:tcPr>
                <w:p w:rsidR="003474FF" w:rsidRPr="00CB6D59" w:rsidRDefault="00B97BDB" w:rsidP="002F02BF">
                  <w:pPr>
                    <w:jc w:val="right"/>
                    <w:rPr>
                      <w:rFonts w:cs="Arial"/>
                      <w:b/>
                      <w:bCs/>
                      <w:color w:val="000000"/>
                      <w:sz w:val="18"/>
                      <w:szCs w:val="18"/>
                      <w:lang w:val="en-US" w:eastAsia="en-US"/>
                    </w:rPr>
                  </w:pPr>
                  <w:r w:rsidRPr="00B97BDB">
                    <w:rPr>
                      <w:rFonts w:cs="Arial"/>
                      <w:b/>
                      <w:bCs/>
                      <w:color w:val="000000"/>
                      <w:sz w:val="18"/>
                      <w:szCs w:val="18"/>
                      <w:lang w:val="en-US" w:eastAsia="en-US"/>
                    </w:rPr>
                    <w:t xml:space="preserve"> 21,017,612 </w:t>
                  </w:r>
                </w:p>
              </w:tc>
            </w:tr>
          </w:tbl>
          <w:p w:rsidR="003474FF" w:rsidRDefault="003474FF" w:rsidP="00052899">
            <w:pPr>
              <w:jc w:val="both"/>
              <w:rPr>
                <w:rFonts w:cs="Arial"/>
                <w:szCs w:val="22"/>
              </w:rPr>
            </w:pPr>
          </w:p>
          <w:p w:rsidR="00052899" w:rsidRPr="00E70E51" w:rsidRDefault="00052899" w:rsidP="00052899">
            <w:pPr>
              <w:jc w:val="both"/>
              <w:rPr>
                <w:rFonts w:cs="Arial"/>
                <w:szCs w:val="22"/>
              </w:rPr>
            </w:pPr>
            <w:r w:rsidRPr="00642AAD">
              <w:rPr>
                <w:rFonts w:cs="Arial"/>
                <w:szCs w:val="22"/>
              </w:rPr>
              <w:t>T</w:t>
            </w:r>
            <w:r w:rsidRPr="00E70E51">
              <w:rPr>
                <w:rFonts w:cs="Arial"/>
                <w:szCs w:val="22"/>
              </w:rPr>
              <w:t>he process for the development of the GAVI HSS budget took cognizance of existing plans such as the cMYP (2010-2014), the Health Sector Program of Work 2013 and the Draft Health Sector Medium Term Development Plan 2014-2017.</w:t>
            </w:r>
          </w:p>
          <w:p w:rsidR="00052899" w:rsidRPr="00E70E51" w:rsidRDefault="00052899" w:rsidP="00052899">
            <w:pPr>
              <w:jc w:val="both"/>
              <w:rPr>
                <w:rFonts w:cs="Arial"/>
                <w:szCs w:val="22"/>
              </w:rPr>
            </w:pPr>
          </w:p>
          <w:p w:rsidR="002F02BF" w:rsidRDefault="00052899" w:rsidP="00052899">
            <w:pPr>
              <w:jc w:val="both"/>
              <w:rPr>
                <w:rFonts w:cs="Arial"/>
                <w:szCs w:val="22"/>
              </w:rPr>
            </w:pPr>
            <w:r w:rsidRPr="00E70E51">
              <w:rPr>
                <w:rFonts w:cs="Arial"/>
                <w:szCs w:val="22"/>
              </w:rPr>
              <w:t>Even though it might be stated that the Health Sector Medium Term Plan is still under development and no costing has been done, therefore a need-based approach was adopted to for the development of the GAVI-HSS proposal. The approach focused on the amount of resources and related activities that must be implemented to achieve and sustain high immunization coverage from a system perceptive.</w:t>
            </w:r>
          </w:p>
          <w:p w:rsidR="001F6951" w:rsidRPr="00E70E51" w:rsidRDefault="001F6951" w:rsidP="00052899">
            <w:pPr>
              <w:jc w:val="both"/>
              <w:rPr>
                <w:rFonts w:cs="Arial"/>
                <w:szCs w:val="22"/>
              </w:rPr>
            </w:pPr>
          </w:p>
          <w:p w:rsidR="00052899" w:rsidRPr="00E70E51" w:rsidRDefault="00052899" w:rsidP="00052899">
            <w:pPr>
              <w:jc w:val="both"/>
              <w:rPr>
                <w:rFonts w:cs="Arial"/>
                <w:szCs w:val="22"/>
              </w:rPr>
            </w:pPr>
            <w:r w:rsidRPr="00E70E51">
              <w:rPr>
                <w:rFonts w:cs="Arial"/>
                <w:szCs w:val="22"/>
              </w:rPr>
              <w:t xml:space="preserve">The total need-based budget to address the prioritised bottlenecks in this proposal was estimated at </w:t>
            </w:r>
            <w:r w:rsidR="00642AAD">
              <w:rPr>
                <w:rFonts w:cs="Arial"/>
                <w:szCs w:val="22"/>
              </w:rPr>
              <w:t>US$</w:t>
            </w:r>
            <w:r w:rsidRPr="00E70E51">
              <w:rPr>
                <w:rFonts w:cs="Arial"/>
                <w:szCs w:val="22"/>
              </w:rPr>
              <w:t>64,416,490. The current budget is justified given the fact that there would be continuous increase in population, changing fiscal space of the economy and relatively decreasing DP support. Moreover</w:t>
            </w:r>
            <w:r w:rsidR="007F4C38">
              <w:rPr>
                <w:rFonts w:cs="Arial"/>
                <w:szCs w:val="22"/>
              </w:rPr>
              <w:t>,</w:t>
            </w:r>
            <w:r w:rsidRPr="00E70E51">
              <w:rPr>
                <w:rFonts w:cs="Arial"/>
                <w:szCs w:val="22"/>
              </w:rPr>
              <w:t xml:space="preserve"> the number of districts has also increased from 170 in 2010 to 216 currently necessitating their resourcing for health service delivery. </w:t>
            </w:r>
          </w:p>
          <w:p w:rsidR="00052899" w:rsidRPr="00E70E51" w:rsidRDefault="00052899" w:rsidP="00052899">
            <w:pPr>
              <w:jc w:val="both"/>
              <w:rPr>
                <w:rFonts w:cs="Arial"/>
                <w:szCs w:val="22"/>
              </w:rPr>
            </w:pPr>
          </w:p>
          <w:p w:rsidR="00052899" w:rsidRPr="00E70E51" w:rsidRDefault="00052899" w:rsidP="00642AAD">
            <w:pPr>
              <w:jc w:val="both"/>
              <w:rPr>
                <w:rFonts w:cs="Arial"/>
                <w:szCs w:val="22"/>
              </w:rPr>
            </w:pPr>
            <w:r w:rsidRPr="00E70E51">
              <w:rPr>
                <w:rFonts w:cs="Arial"/>
                <w:szCs w:val="22"/>
              </w:rPr>
              <w:lastRenderedPageBreak/>
              <w:t xml:space="preserve">In relation to objective 1 which focuses on service delivery interventions, the total amount for the need-based was </w:t>
            </w:r>
            <w:r w:rsidR="00642AAD">
              <w:rPr>
                <w:rFonts w:cs="Arial"/>
                <w:szCs w:val="22"/>
              </w:rPr>
              <w:t>US$</w:t>
            </w:r>
            <w:r w:rsidRPr="00E70E51">
              <w:rPr>
                <w:rFonts w:cs="Arial"/>
                <w:szCs w:val="22"/>
              </w:rPr>
              <w:t xml:space="preserve">36,197,490.Out of this amount it is expected that the Government of Ghana and other partners who support the country’s budget would provide an amount of </w:t>
            </w:r>
            <w:r w:rsidR="00642AAD">
              <w:rPr>
                <w:rFonts w:cs="Arial"/>
                <w:szCs w:val="22"/>
              </w:rPr>
              <w:t>US$</w:t>
            </w:r>
            <w:r w:rsidRPr="00E70E51">
              <w:rPr>
                <w:rFonts w:cs="Arial"/>
                <w:szCs w:val="22"/>
              </w:rPr>
              <w:t xml:space="preserve">16,128,812 over the five-year period. This would still leave </w:t>
            </w:r>
            <w:r w:rsidR="00642AAD">
              <w:rPr>
                <w:rFonts w:cs="Arial"/>
                <w:szCs w:val="22"/>
              </w:rPr>
              <w:t>a</w:t>
            </w:r>
            <w:r w:rsidRPr="00E70E51">
              <w:rPr>
                <w:rFonts w:cs="Arial"/>
                <w:szCs w:val="22"/>
              </w:rPr>
              <w:t xml:space="preserve"> gap of </w:t>
            </w:r>
            <w:r w:rsidR="00642AAD">
              <w:rPr>
                <w:rFonts w:cs="Arial"/>
                <w:szCs w:val="22"/>
              </w:rPr>
              <w:t>US$</w:t>
            </w:r>
            <w:r w:rsidRPr="00E70E51">
              <w:rPr>
                <w:rFonts w:cs="Arial"/>
                <w:szCs w:val="22"/>
              </w:rPr>
              <w:t xml:space="preserve">20,068,678 to be filled. It is anticipated that this proposal would </w:t>
            </w:r>
            <w:r w:rsidR="00642AAD">
              <w:rPr>
                <w:rFonts w:cs="Arial"/>
                <w:szCs w:val="22"/>
              </w:rPr>
              <w:t>provide</w:t>
            </w:r>
            <w:r w:rsidRPr="00E70E51">
              <w:rPr>
                <w:rFonts w:cs="Arial"/>
                <w:szCs w:val="22"/>
              </w:rPr>
              <w:t xml:space="preserve"> </w:t>
            </w:r>
            <w:r w:rsidR="00642AAD">
              <w:rPr>
                <w:rFonts w:cs="Arial"/>
                <w:szCs w:val="22"/>
              </w:rPr>
              <w:t>US</w:t>
            </w:r>
            <w:r w:rsidR="001F6951">
              <w:rPr>
                <w:rFonts w:cs="Arial"/>
                <w:szCs w:val="22"/>
              </w:rPr>
              <w:t>11</w:t>
            </w:r>
            <w:r w:rsidR="00482ADA" w:rsidRPr="00987B91">
              <w:rPr>
                <w:rFonts w:cs="Arial"/>
                <w:szCs w:val="22"/>
              </w:rPr>
              <w:t>,</w:t>
            </w:r>
            <w:r w:rsidR="001F6951">
              <w:rPr>
                <w:rFonts w:cs="Arial"/>
                <w:szCs w:val="22"/>
              </w:rPr>
              <w:t>269</w:t>
            </w:r>
            <w:r w:rsidR="00482ADA" w:rsidRPr="00987B91">
              <w:rPr>
                <w:rFonts w:cs="Arial"/>
                <w:szCs w:val="22"/>
              </w:rPr>
              <w:t>,516</w:t>
            </w:r>
            <w:r w:rsidRPr="00987B91">
              <w:rPr>
                <w:rFonts w:cs="Arial"/>
                <w:szCs w:val="22"/>
              </w:rPr>
              <w:t xml:space="preserve"> </w:t>
            </w:r>
            <w:r w:rsidRPr="00E70E51">
              <w:rPr>
                <w:rFonts w:cs="Arial"/>
                <w:szCs w:val="22"/>
              </w:rPr>
              <w:t>of the identified gap</w:t>
            </w:r>
            <w:r w:rsidR="00482ADA">
              <w:rPr>
                <w:rFonts w:cs="Arial"/>
                <w:szCs w:val="22"/>
              </w:rPr>
              <w:t xml:space="preserve"> leaving unmet budget of US$</w:t>
            </w:r>
            <w:r w:rsidR="001F6951">
              <w:rPr>
                <w:rFonts w:cs="Arial"/>
                <w:szCs w:val="22"/>
              </w:rPr>
              <w:t>8,799,162</w:t>
            </w:r>
            <w:r w:rsidR="00642AAD">
              <w:rPr>
                <w:rFonts w:cs="Arial"/>
                <w:szCs w:val="22"/>
              </w:rPr>
              <w:t>.</w:t>
            </w:r>
          </w:p>
          <w:p w:rsidR="00052899" w:rsidRPr="00E70E51" w:rsidRDefault="00052899" w:rsidP="00052899">
            <w:pPr>
              <w:jc w:val="both"/>
              <w:rPr>
                <w:rFonts w:cs="Arial"/>
                <w:szCs w:val="22"/>
              </w:rPr>
            </w:pPr>
          </w:p>
          <w:p w:rsidR="00052899" w:rsidRPr="00987B91" w:rsidRDefault="00052899" w:rsidP="00D711E4">
            <w:pPr>
              <w:jc w:val="both"/>
              <w:rPr>
                <w:rFonts w:cs="Arial"/>
                <w:szCs w:val="22"/>
              </w:rPr>
            </w:pPr>
            <w:r w:rsidRPr="00987B91">
              <w:rPr>
                <w:rFonts w:cs="Arial"/>
                <w:szCs w:val="22"/>
              </w:rPr>
              <w:t xml:space="preserve">Objective 2 is aimed at strengthening health worker capacity and distribution to address equity issues. The total need-based budget is </w:t>
            </w:r>
            <w:r w:rsidR="00642AAD">
              <w:rPr>
                <w:rFonts w:cs="Arial"/>
                <w:szCs w:val="22"/>
              </w:rPr>
              <w:t>US$</w:t>
            </w:r>
            <w:r w:rsidRPr="00987B91">
              <w:rPr>
                <w:rFonts w:cs="Arial"/>
                <w:szCs w:val="22"/>
              </w:rPr>
              <w:t xml:space="preserve">2,405,000. However, so far </w:t>
            </w:r>
            <w:r w:rsidR="00642AAD">
              <w:rPr>
                <w:rFonts w:cs="Arial"/>
                <w:szCs w:val="22"/>
              </w:rPr>
              <w:t>US$</w:t>
            </w:r>
            <w:r w:rsidRPr="00987B91">
              <w:rPr>
                <w:rFonts w:cs="Arial"/>
                <w:szCs w:val="22"/>
              </w:rPr>
              <w:t xml:space="preserve">200,000 has been secured under the MAF to address the MDG4&amp;5 to support this activity. This leaves a gap of </w:t>
            </w:r>
            <w:r w:rsidR="00642AAD">
              <w:rPr>
                <w:rFonts w:cs="Arial"/>
                <w:szCs w:val="22"/>
              </w:rPr>
              <w:t>US$</w:t>
            </w:r>
            <w:r w:rsidRPr="00987B91">
              <w:rPr>
                <w:rFonts w:cs="Arial"/>
                <w:szCs w:val="22"/>
              </w:rPr>
              <w:t>2,205,000 on this objective out of which US$</w:t>
            </w:r>
            <w:r w:rsidR="00482ADA" w:rsidRPr="00987B91">
              <w:rPr>
                <w:rFonts w:cs="Arial"/>
                <w:szCs w:val="22"/>
              </w:rPr>
              <w:t xml:space="preserve"> 1</w:t>
            </w:r>
            <w:r w:rsidR="001F6951" w:rsidRPr="00987B91">
              <w:rPr>
                <w:rFonts w:cs="Arial"/>
                <w:szCs w:val="22"/>
              </w:rPr>
              <w:t>08,500 is</w:t>
            </w:r>
            <w:r w:rsidRPr="00987B91">
              <w:rPr>
                <w:rFonts w:cs="Arial"/>
                <w:szCs w:val="22"/>
              </w:rPr>
              <w:t xml:space="preserve"> to be funded under this proposal.</w:t>
            </w:r>
            <w:r w:rsidR="00482ADA" w:rsidRPr="00987B91">
              <w:rPr>
                <w:rFonts w:cs="Arial"/>
                <w:szCs w:val="22"/>
              </w:rPr>
              <w:t xml:space="preserve"> This leaves unmet budget of US$</w:t>
            </w:r>
            <w:r w:rsidR="001F6951">
              <w:rPr>
                <w:rFonts w:cs="Arial"/>
                <w:szCs w:val="22"/>
              </w:rPr>
              <w:t>2,096,500</w:t>
            </w:r>
            <w:r w:rsidR="00482ADA" w:rsidRPr="00987B91">
              <w:rPr>
                <w:rFonts w:cs="Arial"/>
                <w:szCs w:val="22"/>
              </w:rPr>
              <w:t>.</w:t>
            </w:r>
          </w:p>
          <w:p w:rsidR="00D711E4" w:rsidRPr="00987B91" w:rsidRDefault="00D711E4" w:rsidP="00052899">
            <w:pPr>
              <w:jc w:val="both"/>
              <w:rPr>
                <w:rFonts w:cs="Arial"/>
                <w:szCs w:val="22"/>
              </w:rPr>
            </w:pPr>
          </w:p>
          <w:p w:rsidR="00987B91" w:rsidRDefault="00052899" w:rsidP="009D685F">
            <w:pPr>
              <w:jc w:val="both"/>
              <w:rPr>
                <w:rFonts w:cs="Arial"/>
                <w:szCs w:val="22"/>
              </w:rPr>
            </w:pPr>
            <w:r w:rsidRPr="00987B91">
              <w:rPr>
                <w:rFonts w:cs="Arial"/>
                <w:szCs w:val="22"/>
              </w:rPr>
              <w:t xml:space="preserve">Objective 3 is targeted at strengthening procurement management systems to improve on health service delivery for which an amount of </w:t>
            </w:r>
            <w:r w:rsidR="00642AAD">
              <w:rPr>
                <w:rFonts w:cs="Arial"/>
                <w:szCs w:val="22"/>
              </w:rPr>
              <w:t>US$</w:t>
            </w:r>
            <w:r w:rsidRPr="00987B91">
              <w:rPr>
                <w:rFonts w:cs="Arial"/>
                <w:szCs w:val="22"/>
              </w:rPr>
              <w:t xml:space="preserve">4,615,000 has been estimated as needed. It is anticipated that the GoG and DPs would provide </w:t>
            </w:r>
            <w:r w:rsidR="00642AAD">
              <w:rPr>
                <w:rFonts w:cs="Arial"/>
                <w:szCs w:val="22"/>
              </w:rPr>
              <w:t>US$</w:t>
            </w:r>
            <w:r w:rsidRPr="00987B91">
              <w:rPr>
                <w:rFonts w:cs="Arial"/>
                <w:szCs w:val="22"/>
              </w:rPr>
              <w:t xml:space="preserve">3,875,000 leaving a gap of </w:t>
            </w:r>
            <w:r w:rsidR="00642AAD">
              <w:rPr>
                <w:rFonts w:cs="Arial"/>
                <w:szCs w:val="22"/>
              </w:rPr>
              <w:t>US$</w:t>
            </w:r>
            <w:r w:rsidRPr="00987B91">
              <w:rPr>
                <w:rFonts w:cs="Arial"/>
                <w:szCs w:val="22"/>
              </w:rPr>
              <w:t xml:space="preserve">740,000. It is </w:t>
            </w:r>
            <w:r w:rsidR="00642AAD">
              <w:rPr>
                <w:rFonts w:cs="Arial"/>
                <w:szCs w:val="22"/>
              </w:rPr>
              <w:t xml:space="preserve">also </w:t>
            </w:r>
            <w:r w:rsidRPr="00987B91">
              <w:rPr>
                <w:rFonts w:cs="Arial"/>
                <w:szCs w:val="22"/>
              </w:rPr>
              <w:t>anticipated that US$4</w:t>
            </w:r>
            <w:r w:rsidR="00D711E4" w:rsidRPr="00987B91">
              <w:rPr>
                <w:rFonts w:cs="Arial"/>
                <w:szCs w:val="22"/>
              </w:rPr>
              <w:t>55</w:t>
            </w:r>
            <w:r w:rsidRPr="00987B91">
              <w:rPr>
                <w:rFonts w:cs="Arial"/>
                <w:szCs w:val="22"/>
              </w:rPr>
              <w:t>,</w:t>
            </w:r>
            <w:r w:rsidR="00D711E4" w:rsidRPr="00987B91">
              <w:rPr>
                <w:rFonts w:cs="Arial"/>
                <w:szCs w:val="22"/>
              </w:rPr>
              <w:t xml:space="preserve">000 </w:t>
            </w:r>
            <w:r w:rsidRPr="00987B91">
              <w:rPr>
                <w:rFonts w:cs="Arial"/>
                <w:szCs w:val="22"/>
              </w:rPr>
              <w:t xml:space="preserve">will be funded </w:t>
            </w:r>
            <w:r w:rsidR="00B6389B" w:rsidRPr="00987B91">
              <w:rPr>
                <w:rFonts w:cs="Arial"/>
                <w:szCs w:val="22"/>
              </w:rPr>
              <w:t>by GAVI leaving unmet budget of US$285,000</w:t>
            </w:r>
            <w:r w:rsidRPr="00987B91">
              <w:rPr>
                <w:rFonts w:cs="Arial"/>
                <w:szCs w:val="22"/>
              </w:rPr>
              <w:t>.</w:t>
            </w:r>
          </w:p>
          <w:p w:rsidR="00987B91" w:rsidRPr="00987B91" w:rsidRDefault="00987B91" w:rsidP="00052899">
            <w:pPr>
              <w:jc w:val="both"/>
              <w:rPr>
                <w:rFonts w:cs="Arial"/>
                <w:szCs w:val="22"/>
              </w:rPr>
            </w:pPr>
          </w:p>
          <w:p w:rsidR="009D685F" w:rsidRDefault="00052899" w:rsidP="00642AAD">
            <w:pPr>
              <w:jc w:val="both"/>
              <w:rPr>
                <w:rFonts w:cs="Arial"/>
                <w:szCs w:val="22"/>
              </w:rPr>
            </w:pPr>
            <w:r w:rsidRPr="00987B91">
              <w:rPr>
                <w:rFonts w:cs="Arial"/>
                <w:szCs w:val="22"/>
              </w:rPr>
              <w:t xml:space="preserve">Collaborating with civil society organizations to increase demand in targeted communities </w:t>
            </w:r>
            <w:r w:rsidR="00987B91">
              <w:rPr>
                <w:rFonts w:cs="Arial"/>
                <w:szCs w:val="22"/>
              </w:rPr>
              <w:t>under objective 4 is</w:t>
            </w:r>
            <w:r w:rsidRPr="00987B91">
              <w:rPr>
                <w:rFonts w:cs="Arial"/>
                <w:szCs w:val="22"/>
              </w:rPr>
              <w:t xml:space="preserve"> estimated </w:t>
            </w:r>
            <w:r w:rsidR="00642AAD">
              <w:rPr>
                <w:rFonts w:cs="Arial"/>
                <w:szCs w:val="22"/>
              </w:rPr>
              <w:t>a</w:t>
            </w:r>
            <w:r w:rsidRPr="00987B91">
              <w:rPr>
                <w:rFonts w:cs="Arial"/>
                <w:szCs w:val="22"/>
              </w:rPr>
              <w:t>t</w:t>
            </w:r>
            <w:r w:rsidR="00642AAD">
              <w:rPr>
                <w:rFonts w:cs="Arial"/>
                <w:szCs w:val="22"/>
              </w:rPr>
              <w:t xml:space="preserve"> US$</w:t>
            </w:r>
            <w:r w:rsidRPr="00987B91">
              <w:rPr>
                <w:rFonts w:cs="Arial"/>
                <w:szCs w:val="22"/>
              </w:rPr>
              <w:t>2,300,000</w:t>
            </w:r>
            <w:r w:rsidR="00642AAD">
              <w:rPr>
                <w:rFonts w:cs="Arial"/>
                <w:szCs w:val="22"/>
              </w:rPr>
              <w:t>.</w:t>
            </w:r>
            <w:r w:rsidRPr="00987B91">
              <w:rPr>
                <w:rFonts w:cs="Arial"/>
                <w:szCs w:val="22"/>
              </w:rPr>
              <w:t xml:space="preserve"> However, so far an amount of </w:t>
            </w:r>
            <w:r w:rsidR="00642AAD">
              <w:rPr>
                <w:rFonts w:cs="Arial"/>
                <w:szCs w:val="22"/>
              </w:rPr>
              <w:t>US$</w:t>
            </w:r>
            <w:r w:rsidRPr="00987B91">
              <w:rPr>
                <w:rFonts w:cs="Arial"/>
                <w:szCs w:val="22"/>
              </w:rPr>
              <w:t xml:space="preserve">135,770 is available from the Global Fund under the National Malaria Control Program to support NGOs in related community level interventions, leaving a funding gap of </w:t>
            </w:r>
            <w:r w:rsidR="00642AAD">
              <w:rPr>
                <w:rFonts w:cs="Arial"/>
                <w:szCs w:val="22"/>
              </w:rPr>
              <w:t>US$</w:t>
            </w:r>
            <w:r w:rsidRPr="00987B91">
              <w:rPr>
                <w:rFonts w:cs="Arial"/>
                <w:szCs w:val="22"/>
              </w:rPr>
              <w:t xml:space="preserve">2,164,230 out of which </w:t>
            </w:r>
            <w:r w:rsidR="00642AAD">
              <w:rPr>
                <w:rFonts w:cs="Arial"/>
                <w:szCs w:val="22"/>
              </w:rPr>
              <w:t>US$</w:t>
            </w:r>
            <w:r w:rsidRPr="00987B91">
              <w:rPr>
                <w:rFonts w:cs="Arial"/>
                <w:szCs w:val="22"/>
              </w:rPr>
              <w:t>2,00</w:t>
            </w:r>
            <w:r w:rsidR="00987B91">
              <w:rPr>
                <w:rFonts w:cs="Arial"/>
                <w:szCs w:val="22"/>
              </w:rPr>
              <w:t>5</w:t>
            </w:r>
            <w:r w:rsidRPr="00987B91">
              <w:rPr>
                <w:rFonts w:cs="Arial"/>
                <w:szCs w:val="22"/>
              </w:rPr>
              <w:t>,</w:t>
            </w:r>
            <w:r w:rsidR="00987B91">
              <w:rPr>
                <w:rFonts w:cs="Arial"/>
                <w:szCs w:val="22"/>
              </w:rPr>
              <w:t>8</w:t>
            </w:r>
            <w:r w:rsidRPr="00987B91">
              <w:rPr>
                <w:rFonts w:cs="Arial"/>
                <w:szCs w:val="22"/>
              </w:rPr>
              <w:t>00 is to be funded under this proposal</w:t>
            </w:r>
            <w:r w:rsidR="001F6951">
              <w:rPr>
                <w:rFonts w:cs="Arial"/>
                <w:szCs w:val="22"/>
              </w:rPr>
              <w:t>, with an unmet gap of US$158,430.</w:t>
            </w:r>
          </w:p>
          <w:p w:rsidR="009D685F" w:rsidRPr="00987B91" w:rsidRDefault="009D685F" w:rsidP="00052899">
            <w:pPr>
              <w:jc w:val="both"/>
              <w:rPr>
                <w:rFonts w:cs="Arial"/>
                <w:szCs w:val="22"/>
              </w:rPr>
            </w:pPr>
          </w:p>
          <w:p w:rsidR="00052899" w:rsidRPr="00987B91" w:rsidRDefault="00052899" w:rsidP="001B546C">
            <w:pPr>
              <w:jc w:val="both"/>
              <w:rPr>
                <w:rFonts w:cs="Arial"/>
                <w:szCs w:val="22"/>
              </w:rPr>
            </w:pPr>
            <w:r w:rsidRPr="00987B91">
              <w:rPr>
                <w:rFonts w:cs="Arial"/>
                <w:szCs w:val="22"/>
              </w:rPr>
              <w:t>Objective 5 aims to strengthen governance systems requi</w:t>
            </w:r>
            <w:r w:rsidR="00642AAD">
              <w:rPr>
                <w:rFonts w:cs="Arial"/>
                <w:szCs w:val="22"/>
              </w:rPr>
              <w:t>red</w:t>
            </w:r>
            <w:r w:rsidRPr="00987B91">
              <w:rPr>
                <w:rFonts w:cs="Arial"/>
                <w:szCs w:val="22"/>
              </w:rPr>
              <w:t xml:space="preserve"> to provide adequate support to the health systems without which effective health service delivery would be difficult to achieve. The budget for </w:t>
            </w:r>
            <w:r w:rsidR="005C0081">
              <w:rPr>
                <w:rFonts w:cs="Arial"/>
                <w:szCs w:val="22"/>
              </w:rPr>
              <w:t>this</w:t>
            </w:r>
            <w:r w:rsidRPr="00987B91">
              <w:rPr>
                <w:rFonts w:cs="Arial"/>
                <w:szCs w:val="22"/>
              </w:rPr>
              <w:t xml:space="preserve"> objectiv</w:t>
            </w:r>
            <w:r w:rsidR="001B546C">
              <w:rPr>
                <w:rFonts w:cs="Arial"/>
                <w:szCs w:val="22"/>
              </w:rPr>
              <w:t>e</w:t>
            </w:r>
            <w:r w:rsidR="005C0081">
              <w:rPr>
                <w:rFonts w:cs="Arial"/>
                <w:szCs w:val="22"/>
              </w:rPr>
              <w:t xml:space="preserve"> is estimated at</w:t>
            </w:r>
            <w:r w:rsidRPr="00987B91">
              <w:rPr>
                <w:rFonts w:cs="Arial"/>
                <w:szCs w:val="22"/>
              </w:rPr>
              <w:t xml:space="preserve"> </w:t>
            </w:r>
            <w:r w:rsidR="00642AAD">
              <w:rPr>
                <w:rFonts w:cs="Arial"/>
                <w:szCs w:val="22"/>
              </w:rPr>
              <w:t>US$</w:t>
            </w:r>
            <w:r w:rsidRPr="00987B91">
              <w:rPr>
                <w:rFonts w:cs="Arial"/>
                <w:szCs w:val="22"/>
              </w:rPr>
              <w:t>18,899,000</w:t>
            </w:r>
            <w:r w:rsidR="005C0081">
              <w:rPr>
                <w:rFonts w:cs="Arial"/>
                <w:szCs w:val="22"/>
              </w:rPr>
              <w:t xml:space="preserve">, out of which </w:t>
            </w:r>
            <w:r w:rsidRPr="00987B91">
              <w:rPr>
                <w:rFonts w:cs="Arial"/>
                <w:szCs w:val="22"/>
              </w:rPr>
              <w:t xml:space="preserve">GoG and DPs </w:t>
            </w:r>
            <w:r w:rsidR="005C0081">
              <w:rPr>
                <w:rFonts w:cs="Arial"/>
                <w:szCs w:val="22"/>
              </w:rPr>
              <w:t>are expected to</w:t>
            </w:r>
            <w:r w:rsidRPr="00987B91">
              <w:rPr>
                <w:rFonts w:cs="Arial"/>
                <w:szCs w:val="22"/>
              </w:rPr>
              <w:t xml:space="preserve"> provide US</w:t>
            </w:r>
            <w:r w:rsidR="004444C7">
              <w:rPr>
                <w:rFonts w:cs="Arial"/>
                <w:szCs w:val="22"/>
              </w:rPr>
              <w:t>$</w:t>
            </w:r>
            <w:r w:rsidRPr="00987B91">
              <w:rPr>
                <w:rFonts w:cs="Arial"/>
                <w:szCs w:val="22"/>
              </w:rPr>
              <w:t>5,000,000</w:t>
            </w:r>
            <w:r w:rsidR="005C0081">
              <w:rPr>
                <w:rFonts w:cs="Arial"/>
                <w:szCs w:val="22"/>
              </w:rPr>
              <w:t xml:space="preserve"> leaving a gap of </w:t>
            </w:r>
            <w:r w:rsidR="009D685F">
              <w:rPr>
                <w:rFonts w:cs="Arial"/>
                <w:szCs w:val="22"/>
              </w:rPr>
              <w:t>US$</w:t>
            </w:r>
            <w:r w:rsidR="009D685F" w:rsidRPr="006F2146">
              <w:rPr>
                <w:rFonts w:cs="Arial"/>
                <w:szCs w:val="22"/>
              </w:rPr>
              <w:t>13,899,000</w:t>
            </w:r>
            <w:r w:rsidRPr="00987B91">
              <w:rPr>
                <w:rFonts w:cs="Arial"/>
                <w:szCs w:val="22"/>
              </w:rPr>
              <w:t>. This proposal is also expected to fund US</w:t>
            </w:r>
            <w:r w:rsidR="00FF6336">
              <w:rPr>
                <w:rFonts w:cs="Arial"/>
                <w:szCs w:val="22"/>
              </w:rPr>
              <w:t>$</w:t>
            </w:r>
            <w:r w:rsidR="009D685F" w:rsidRPr="006F2146">
              <w:rPr>
                <w:rFonts w:cs="Arial"/>
                <w:szCs w:val="22"/>
              </w:rPr>
              <w:t>4,2</w:t>
            </w:r>
            <w:r w:rsidR="00A953F5">
              <w:rPr>
                <w:rFonts w:cs="Arial"/>
                <w:szCs w:val="22"/>
              </w:rPr>
              <w:t>2</w:t>
            </w:r>
            <w:r w:rsidR="009D685F" w:rsidRPr="006F2146">
              <w:rPr>
                <w:rFonts w:cs="Arial"/>
                <w:szCs w:val="22"/>
              </w:rPr>
              <w:t>0,480</w:t>
            </w:r>
            <w:r w:rsidRPr="00987B91">
              <w:rPr>
                <w:rFonts w:cs="Arial"/>
                <w:szCs w:val="22"/>
              </w:rPr>
              <w:t xml:space="preserve"> to address identified bottlenecks</w:t>
            </w:r>
            <w:r w:rsidR="001B546C">
              <w:rPr>
                <w:rFonts w:cs="Arial"/>
                <w:szCs w:val="22"/>
              </w:rPr>
              <w:t xml:space="preserve"> leaving unmet budget of US$</w:t>
            </w:r>
            <w:r w:rsidR="001B546C" w:rsidRPr="001B546C">
              <w:rPr>
                <w:rFonts w:cs="Arial"/>
                <w:szCs w:val="22"/>
                <w:lang w:val="en-US"/>
              </w:rPr>
              <w:t>9,6</w:t>
            </w:r>
            <w:r w:rsidR="00A953F5">
              <w:rPr>
                <w:rFonts w:cs="Arial"/>
                <w:szCs w:val="22"/>
                <w:lang w:val="en-US"/>
              </w:rPr>
              <w:t>7</w:t>
            </w:r>
            <w:r w:rsidR="001B546C" w:rsidRPr="001B546C">
              <w:rPr>
                <w:rFonts w:cs="Arial"/>
                <w:szCs w:val="22"/>
                <w:lang w:val="en-US"/>
              </w:rPr>
              <w:t>8,520</w:t>
            </w:r>
            <w:r w:rsidRPr="00987B91">
              <w:rPr>
                <w:rFonts w:cs="Arial"/>
                <w:szCs w:val="22"/>
              </w:rPr>
              <w:t>.</w:t>
            </w:r>
          </w:p>
          <w:p w:rsidR="00052899" w:rsidRPr="00987B91" w:rsidRDefault="00052899" w:rsidP="00052899">
            <w:pPr>
              <w:jc w:val="both"/>
              <w:rPr>
                <w:rFonts w:cs="Arial"/>
                <w:szCs w:val="22"/>
              </w:rPr>
            </w:pPr>
          </w:p>
          <w:p w:rsidR="00052899" w:rsidRPr="00987B91" w:rsidRDefault="00052899" w:rsidP="001B546C">
            <w:pPr>
              <w:jc w:val="both"/>
              <w:rPr>
                <w:rFonts w:cs="Arial"/>
                <w:szCs w:val="22"/>
              </w:rPr>
            </w:pPr>
            <w:r w:rsidRPr="00987B91">
              <w:rPr>
                <w:rFonts w:cs="Arial"/>
                <w:szCs w:val="22"/>
              </w:rPr>
              <w:t xml:space="preserve">Overall, a total funding gap </w:t>
            </w:r>
            <w:r w:rsidR="001B546C">
              <w:rPr>
                <w:rFonts w:cs="Arial"/>
                <w:szCs w:val="22"/>
              </w:rPr>
              <w:t>of</w:t>
            </w:r>
            <w:r w:rsidRPr="00987B91">
              <w:rPr>
                <w:rFonts w:cs="Arial"/>
                <w:szCs w:val="22"/>
              </w:rPr>
              <w:t xml:space="preserve"> US</w:t>
            </w:r>
            <w:r w:rsidR="004444C7">
              <w:rPr>
                <w:rFonts w:cs="Arial"/>
                <w:szCs w:val="22"/>
              </w:rPr>
              <w:t>$</w:t>
            </w:r>
            <w:r w:rsidRPr="00987B91">
              <w:rPr>
                <w:rFonts w:cs="Arial"/>
                <w:szCs w:val="22"/>
              </w:rPr>
              <w:t>39,076,908 still exist</w:t>
            </w:r>
            <w:r w:rsidR="001B546C">
              <w:rPr>
                <w:rFonts w:cs="Arial"/>
                <w:szCs w:val="22"/>
              </w:rPr>
              <w:t>s</w:t>
            </w:r>
            <w:r w:rsidRPr="00987B91">
              <w:rPr>
                <w:rFonts w:cs="Arial"/>
                <w:szCs w:val="22"/>
              </w:rPr>
              <w:t>. The GAVI/HSS proposal is expected to provide US</w:t>
            </w:r>
            <w:r w:rsidR="004444C7">
              <w:rPr>
                <w:rFonts w:cs="Arial"/>
                <w:szCs w:val="22"/>
              </w:rPr>
              <w:t>$</w:t>
            </w:r>
            <w:r w:rsidRPr="00987B91">
              <w:rPr>
                <w:rFonts w:cs="Arial"/>
                <w:szCs w:val="22"/>
              </w:rPr>
              <w:t>18,0</w:t>
            </w:r>
            <w:r w:rsidR="004444C7">
              <w:rPr>
                <w:rFonts w:cs="Arial"/>
                <w:szCs w:val="22"/>
              </w:rPr>
              <w:t>5</w:t>
            </w:r>
            <w:r w:rsidRPr="00987B91">
              <w:rPr>
                <w:rFonts w:cs="Arial"/>
                <w:szCs w:val="22"/>
              </w:rPr>
              <w:t>9,</w:t>
            </w:r>
            <w:r w:rsidR="004444C7">
              <w:rPr>
                <w:rFonts w:cs="Arial"/>
                <w:szCs w:val="22"/>
              </w:rPr>
              <w:t>296</w:t>
            </w:r>
            <w:r w:rsidRPr="00987B91">
              <w:rPr>
                <w:rFonts w:cs="Arial"/>
                <w:szCs w:val="22"/>
              </w:rPr>
              <w:t xml:space="preserve"> towards complementing efforts to address the prioritised bottlenecks leaving a budgeted variance of US</w:t>
            </w:r>
            <w:r w:rsidR="004444C7">
              <w:rPr>
                <w:rFonts w:cs="Arial"/>
                <w:szCs w:val="22"/>
              </w:rPr>
              <w:t>$</w:t>
            </w:r>
            <w:r w:rsidRPr="00987B91">
              <w:rPr>
                <w:rFonts w:cs="Arial"/>
                <w:szCs w:val="22"/>
              </w:rPr>
              <w:t>21,0</w:t>
            </w:r>
            <w:r w:rsidR="004444C7">
              <w:rPr>
                <w:rFonts w:cs="Arial"/>
                <w:szCs w:val="22"/>
              </w:rPr>
              <w:t>1</w:t>
            </w:r>
            <w:r w:rsidRPr="00987B91">
              <w:rPr>
                <w:rFonts w:cs="Arial"/>
                <w:szCs w:val="22"/>
              </w:rPr>
              <w:t>7,</w:t>
            </w:r>
            <w:r w:rsidR="004444C7">
              <w:rPr>
                <w:rFonts w:cs="Arial"/>
                <w:szCs w:val="22"/>
              </w:rPr>
              <w:t>612</w:t>
            </w:r>
            <w:r w:rsidRPr="00987B91">
              <w:rPr>
                <w:rFonts w:cs="Arial"/>
                <w:szCs w:val="22"/>
              </w:rPr>
              <w:t xml:space="preserve">.  In order to fill this gap the strategy is to engage the private sector more to increase their participation in supporting the health sector. Government recently, developed national Public Private Partnership Policy and urged all MDAs to make use of it in engendering national development. The health sector </w:t>
            </w:r>
            <w:r w:rsidR="001B546C">
              <w:rPr>
                <w:rFonts w:cs="Arial"/>
                <w:szCs w:val="22"/>
              </w:rPr>
              <w:t xml:space="preserve">has </w:t>
            </w:r>
            <w:r w:rsidRPr="00987B91">
              <w:rPr>
                <w:rFonts w:cs="Arial"/>
                <w:szCs w:val="22"/>
              </w:rPr>
              <w:t>also developed its PPP policy. These policies would be used as one of the main tools in bringing on board the private sector for immunisation services.  Advocacy would also be done to increase GoG and existing DPs</w:t>
            </w:r>
            <w:r w:rsidR="001B546C">
              <w:rPr>
                <w:rFonts w:cs="Arial"/>
                <w:szCs w:val="22"/>
              </w:rPr>
              <w:t>’</w:t>
            </w:r>
            <w:r w:rsidRPr="00987B91">
              <w:rPr>
                <w:rFonts w:cs="Arial"/>
                <w:szCs w:val="22"/>
              </w:rPr>
              <w:t xml:space="preserve"> support as well as bring on board other DPs to support</w:t>
            </w:r>
            <w:r w:rsidR="001B546C">
              <w:rPr>
                <w:rFonts w:cs="Arial"/>
                <w:szCs w:val="22"/>
              </w:rPr>
              <w:t xml:space="preserve"> in</w:t>
            </w:r>
            <w:r w:rsidRPr="00987B91">
              <w:rPr>
                <w:rFonts w:cs="Arial"/>
                <w:szCs w:val="22"/>
              </w:rPr>
              <w:t xml:space="preserve"> fill</w:t>
            </w:r>
            <w:r w:rsidR="001B546C">
              <w:rPr>
                <w:rFonts w:cs="Arial"/>
                <w:szCs w:val="22"/>
              </w:rPr>
              <w:t>ing</w:t>
            </w:r>
            <w:r w:rsidRPr="00987B91">
              <w:rPr>
                <w:rFonts w:cs="Arial"/>
                <w:szCs w:val="22"/>
              </w:rPr>
              <w:t xml:space="preserve"> this gap. Strategies have also been put in place to ensure the timely disbursement of funds to the implementing levels to facilitate the achievement of the stated objectives of this proposal.</w:t>
            </w:r>
          </w:p>
          <w:p w:rsidR="00052899" w:rsidRPr="00E70E51" w:rsidRDefault="00052899" w:rsidP="00052899">
            <w:pPr>
              <w:jc w:val="both"/>
              <w:rPr>
                <w:rFonts w:cs="Arial"/>
                <w:szCs w:val="22"/>
              </w:rPr>
            </w:pPr>
          </w:p>
          <w:p w:rsidR="00052899" w:rsidRPr="00987B91" w:rsidRDefault="00052899" w:rsidP="00052899">
            <w:pPr>
              <w:spacing w:before="120" w:after="120"/>
              <w:jc w:val="both"/>
              <w:rPr>
                <w:rFonts w:cs="Arial"/>
                <w:szCs w:val="22"/>
              </w:rPr>
            </w:pPr>
          </w:p>
          <w:p w:rsidR="00052899" w:rsidRPr="00B40A7C" w:rsidRDefault="00052899" w:rsidP="00052899">
            <w:pPr>
              <w:spacing w:before="120" w:after="120"/>
              <w:jc w:val="both"/>
              <w:rPr>
                <w:rFonts w:cs="Arial"/>
                <w:i/>
                <w:color w:val="173E49"/>
                <w:szCs w:val="22"/>
              </w:rPr>
            </w:pPr>
          </w:p>
        </w:tc>
      </w:tr>
    </w:tbl>
    <w:p w:rsidR="00052899" w:rsidRPr="00B40A7C" w:rsidRDefault="00052899" w:rsidP="00052899">
      <w:pPr>
        <w:spacing w:after="200" w:line="276" w:lineRule="auto"/>
        <w:jc w:val="both"/>
        <w:rPr>
          <w:rFonts w:cs="Arial"/>
          <w:szCs w:val="22"/>
        </w:rPr>
      </w:pPr>
    </w:p>
    <w:p w:rsidR="00052899" w:rsidRDefault="000357CA">
      <w:pPr>
        <w:rPr>
          <w:b/>
          <w:bCs/>
        </w:rPr>
      </w:pPr>
      <w:bookmarkStart w:id="645" w:name="_Toc346116648"/>
      <w:bookmarkStart w:id="646" w:name="_Toc357677797"/>
      <w:bookmarkStart w:id="647" w:name="_Toc369498571"/>
      <w:r>
        <w:rPr>
          <w:b/>
          <w:bCs/>
        </w:rPr>
        <w:br w:type="page"/>
      </w:r>
    </w:p>
    <w:p w:rsidR="00052899" w:rsidRDefault="0005289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52899" w:rsidRPr="00BD40D9">
        <w:tc>
          <w:tcPr>
            <w:tcW w:w="9576" w:type="dxa"/>
            <w:shd w:val="clear" w:color="auto" w:fill="008080"/>
          </w:tcPr>
          <w:p w:rsidR="00052899" w:rsidRPr="00A4022D" w:rsidRDefault="00052899" w:rsidP="00052899">
            <w:pPr>
              <w:jc w:val="center"/>
              <w:rPr>
                <w:b/>
                <w:color w:val="FFFFFF"/>
              </w:rPr>
            </w:pPr>
          </w:p>
          <w:p w:rsidR="00052899" w:rsidRDefault="00052899" w:rsidP="00052899">
            <w:pPr>
              <w:pStyle w:val="Heading1"/>
            </w:pPr>
            <w:bookmarkStart w:id="648" w:name="_Toc377545406"/>
            <w:r w:rsidRPr="00A4022D">
              <w:t>17. Sustainability</w:t>
            </w:r>
            <w:bookmarkEnd w:id="648"/>
          </w:p>
        </w:tc>
      </w:tr>
      <w:tr w:rsidR="00052899" w:rsidRPr="00BD40D9">
        <w:tc>
          <w:tcPr>
            <w:tcW w:w="9576" w:type="dxa"/>
          </w:tcPr>
          <w:p w:rsidR="00DD172D" w:rsidRDefault="00DD172D" w:rsidP="00052899">
            <w:pPr>
              <w:jc w:val="both"/>
              <w:rPr>
                <w:rFonts w:cs="Arial"/>
                <w:szCs w:val="22"/>
              </w:rPr>
            </w:pPr>
          </w:p>
          <w:p w:rsidR="00DD172D" w:rsidRDefault="00131484" w:rsidP="00052899">
            <w:pPr>
              <w:jc w:val="both"/>
              <w:rPr>
                <w:rFonts w:cs="Arial"/>
                <w:szCs w:val="22"/>
              </w:rPr>
            </w:pPr>
            <w:r>
              <w:rPr>
                <w:rFonts w:cs="Arial"/>
                <w:szCs w:val="22"/>
              </w:rPr>
              <w:t>Government of Ghana is becoming the major funder of health care in Ghana</w:t>
            </w:r>
            <w:r w:rsidR="00E276FF">
              <w:rPr>
                <w:rFonts w:cs="Arial"/>
                <w:szCs w:val="22"/>
              </w:rPr>
              <w:t xml:space="preserve"> (National Health Accounts (2005 -2010)</w:t>
            </w:r>
            <w:r>
              <w:rPr>
                <w:rFonts w:cs="Arial"/>
                <w:szCs w:val="22"/>
              </w:rPr>
              <w:t xml:space="preserve">. </w:t>
            </w:r>
            <w:r w:rsidR="00D007B5">
              <w:rPr>
                <w:rFonts w:cs="Arial"/>
                <w:szCs w:val="22"/>
              </w:rPr>
              <w:t xml:space="preserve">As part of Government sustainability measures, </w:t>
            </w:r>
            <w:r w:rsidR="008E28E5">
              <w:rPr>
                <w:rFonts w:cs="Arial"/>
                <w:szCs w:val="22"/>
              </w:rPr>
              <w:t xml:space="preserve">a clear budget line has been established in </w:t>
            </w:r>
            <w:r w:rsidR="00D007B5">
              <w:rPr>
                <w:rFonts w:cs="Arial"/>
                <w:szCs w:val="22"/>
              </w:rPr>
              <w:t xml:space="preserve">successive POWs make specific GOG budgetary allocations to support vaccines and essential logistics procurement for </w:t>
            </w:r>
            <w:r w:rsidR="00DD172D">
              <w:rPr>
                <w:rFonts w:cs="Arial"/>
                <w:szCs w:val="22"/>
              </w:rPr>
              <w:t>immunization</w:t>
            </w:r>
            <w:r w:rsidR="00D007B5">
              <w:rPr>
                <w:rFonts w:cs="Arial"/>
                <w:szCs w:val="22"/>
              </w:rPr>
              <w:t>s and other child health interventions</w:t>
            </w:r>
            <w:r w:rsidR="00DF092A">
              <w:rPr>
                <w:rFonts w:cs="Arial"/>
                <w:szCs w:val="22"/>
              </w:rPr>
              <w:t xml:space="preserve">. </w:t>
            </w:r>
            <w:r w:rsidR="008E28E5" w:rsidRPr="000A51CC">
              <w:rPr>
                <w:rFonts w:cs="Arial"/>
                <w:szCs w:val="22"/>
              </w:rPr>
              <w:t>Major investment expenditure and procurement items such as vaccines, cold chain equipment are procured centrally at the national levels</w:t>
            </w:r>
            <w:r w:rsidR="008E28E5">
              <w:rPr>
                <w:rFonts w:cs="Arial"/>
                <w:szCs w:val="22"/>
              </w:rPr>
              <w:t xml:space="preserve">. </w:t>
            </w:r>
            <w:r w:rsidR="00DF092A">
              <w:rPr>
                <w:rFonts w:cs="Arial"/>
                <w:szCs w:val="22"/>
              </w:rPr>
              <w:t xml:space="preserve">In addition, </w:t>
            </w:r>
            <w:r w:rsidR="00DD172D">
              <w:rPr>
                <w:rFonts w:cs="Arial"/>
                <w:szCs w:val="22"/>
              </w:rPr>
              <w:t>the</w:t>
            </w:r>
            <w:r w:rsidR="00DF092A">
              <w:rPr>
                <w:rFonts w:cs="Arial"/>
                <w:szCs w:val="22"/>
              </w:rPr>
              <w:t>re is an earmarked fund from the</w:t>
            </w:r>
            <w:r w:rsidR="00DD172D">
              <w:rPr>
                <w:rFonts w:cs="Arial"/>
                <w:szCs w:val="22"/>
              </w:rPr>
              <w:t xml:space="preserve"> NHIF </w:t>
            </w:r>
            <w:r w:rsidR="00DF092A">
              <w:rPr>
                <w:rFonts w:cs="Arial"/>
                <w:szCs w:val="22"/>
              </w:rPr>
              <w:t xml:space="preserve">for </w:t>
            </w:r>
            <w:r w:rsidR="00DD172D">
              <w:rPr>
                <w:rFonts w:cs="Arial"/>
                <w:szCs w:val="22"/>
              </w:rPr>
              <w:t xml:space="preserve">public health </w:t>
            </w:r>
            <w:r w:rsidR="00D007B5">
              <w:rPr>
                <w:rFonts w:cs="Arial"/>
                <w:szCs w:val="22"/>
              </w:rPr>
              <w:t xml:space="preserve">interventions </w:t>
            </w:r>
            <w:r w:rsidR="00DD172D">
              <w:rPr>
                <w:rFonts w:cs="Arial"/>
                <w:szCs w:val="22"/>
              </w:rPr>
              <w:t xml:space="preserve">services with specific allocations for immunizations. </w:t>
            </w:r>
            <w:r w:rsidR="00D007B5">
              <w:rPr>
                <w:rFonts w:cs="Arial"/>
                <w:szCs w:val="22"/>
              </w:rPr>
              <w:t xml:space="preserve">Both commitments from government are progressive towards ensuring sustainability. </w:t>
            </w:r>
          </w:p>
          <w:p w:rsidR="00E91008" w:rsidRDefault="00E91008" w:rsidP="00052899">
            <w:pPr>
              <w:jc w:val="both"/>
              <w:rPr>
                <w:rFonts w:cs="Arial"/>
                <w:szCs w:val="22"/>
              </w:rPr>
            </w:pPr>
          </w:p>
          <w:p w:rsidR="00052899" w:rsidRPr="000A51CC" w:rsidRDefault="00052899" w:rsidP="00052899">
            <w:pPr>
              <w:jc w:val="both"/>
              <w:rPr>
                <w:rFonts w:cs="Arial"/>
                <w:szCs w:val="22"/>
              </w:rPr>
            </w:pPr>
            <w:r w:rsidRPr="000A51CC">
              <w:rPr>
                <w:rFonts w:cs="Arial"/>
                <w:szCs w:val="22"/>
              </w:rPr>
              <w:t>Almost all public health sector workers are government employees and are remunerated from public funds allocated to the health secto</w:t>
            </w:r>
            <w:r w:rsidR="00E91008">
              <w:rPr>
                <w:rFonts w:cs="Arial"/>
                <w:szCs w:val="22"/>
              </w:rPr>
              <w:t>r.</w:t>
            </w:r>
            <w:r w:rsidR="00131484">
              <w:rPr>
                <w:rFonts w:cs="Arial"/>
                <w:szCs w:val="22"/>
              </w:rPr>
              <w:t xml:space="preserve">  </w:t>
            </w:r>
            <w:r w:rsidRPr="000A51CC">
              <w:rPr>
                <w:rFonts w:cs="Arial"/>
                <w:szCs w:val="22"/>
              </w:rPr>
              <w:t xml:space="preserve">GoG budget for Goods and Services are allocated to decentralized cost </w:t>
            </w:r>
            <w:r w:rsidR="00AE63D3" w:rsidRPr="000A51CC">
              <w:rPr>
                <w:rFonts w:cs="Arial"/>
                <w:szCs w:val="22"/>
              </w:rPr>
              <w:t>centres</w:t>
            </w:r>
            <w:r w:rsidRPr="000A51CC">
              <w:rPr>
                <w:rFonts w:cs="Arial"/>
                <w:szCs w:val="22"/>
              </w:rPr>
              <w:t xml:space="preserve"> to be implemented according to their approved plans. Outreach, supervision, training and monitoring constitutes some of the major activities of the district plans.</w:t>
            </w:r>
          </w:p>
          <w:p w:rsidR="00052899" w:rsidRPr="000A51CC" w:rsidRDefault="00052899" w:rsidP="00052899">
            <w:pPr>
              <w:jc w:val="both"/>
              <w:rPr>
                <w:rFonts w:cs="Arial"/>
                <w:szCs w:val="22"/>
              </w:rPr>
            </w:pPr>
          </w:p>
          <w:p w:rsidR="002805CF" w:rsidRDefault="00052899" w:rsidP="00052899">
            <w:pPr>
              <w:jc w:val="both"/>
              <w:rPr>
                <w:rFonts w:cs="Arial"/>
                <w:szCs w:val="22"/>
              </w:rPr>
            </w:pPr>
            <w:r w:rsidRPr="000A51CC">
              <w:rPr>
                <w:rFonts w:cs="Arial"/>
                <w:szCs w:val="22"/>
              </w:rPr>
              <w:t>All public health facilities in Ghana generate revenue from service</w:t>
            </w:r>
            <w:r w:rsidR="00AA756D">
              <w:rPr>
                <w:rFonts w:cs="Arial"/>
                <w:szCs w:val="22"/>
              </w:rPr>
              <w:t xml:space="preserve"> provision</w:t>
            </w:r>
            <w:r w:rsidRPr="000A51CC">
              <w:rPr>
                <w:rFonts w:cs="Arial"/>
                <w:szCs w:val="22"/>
              </w:rPr>
              <w:t xml:space="preserve"> </w:t>
            </w:r>
            <w:r w:rsidR="004565CC">
              <w:rPr>
                <w:rFonts w:cs="Arial"/>
                <w:szCs w:val="22"/>
              </w:rPr>
              <w:t>of which</w:t>
            </w:r>
            <w:r w:rsidRPr="000A51CC">
              <w:rPr>
                <w:rFonts w:cs="Arial"/>
                <w:szCs w:val="22"/>
              </w:rPr>
              <w:t xml:space="preserve"> hundred per cent is retained service delivery</w:t>
            </w:r>
            <w:r w:rsidR="004565CC">
              <w:rPr>
                <w:rFonts w:cs="Arial"/>
                <w:szCs w:val="22"/>
              </w:rPr>
              <w:t xml:space="preserve"> improvement</w:t>
            </w:r>
            <w:r w:rsidRPr="000A51CC">
              <w:rPr>
                <w:rFonts w:cs="Arial"/>
                <w:szCs w:val="22"/>
              </w:rPr>
              <w:t xml:space="preserve">. </w:t>
            </w:r>
            <w:r w:rsidR="002D50AA" w:rsidRPr="000A51CC">
              <w:rPr>
                <w:rFonts w:cs="Arial"/>
                <w:szCs w:val="22"/>
              </w:rPr>
              <w:t>The use of I</w:t>
            </w:r>
            <w:r w:rsidR="002D50AA">
              <w:rPr>
                <w:rFonts w:cs="Arial"/>
                <w:szCs w:val="22"/>
              </w:rPr>
              <w:t xml:space="preserve">nternally </w:t>
            </w:r>
            <w:r w:rsidR="002D50AA" w:rsidRPr="000A51CC">
              <w:rPr>
                <w:rFonts w:cs="Arial"/>
                <w:szCs w:val="22"/>
              </w:rPr>
              <w:t>G</w:t>
            </w:r>
            <w:r w:rsidR="002D50AA">
              <w:rPr>
                <w:rFonts w:cs="Arial"/>
                <w:szCs w:val="22"/>
              </w:rPr>
              <w:t xml:space="preserve">enerated </w:t>
            </w:r>
            <w:r w:rsidR="002D50AA" w:rsidRPr="000A51CC">
              <w:rPr>
                <w:rFonts w:cs="Arial"/>
                <w:szCs w:val="22"/>
              </w:rPr>
              <w:t>F</w:t>
            </w:r>
            <w:r w:rsidR="002D50AA">
              <w:rPr>
                <w:rFonts w:cs="Arial"/>
                <w:szCs w:val="22"/>
              </w:rPr>
              <w:t>unds</w:t>
            </w:r>
            <w:r w:rsidR="002D50AA" w:rsidRPr="000A51CC">
              <w:rPr>
                <w:rFonts w:cs="Arial"/>
                <w:szCs w:val="22"/>
              </w:rPr>
              <w:t xml:space="preserve"> by facilities is guided by guidelines developed by the M</w:t>
            </w:r>
            <w:r w:rsidR="002D50AA">
              <w:rPr>
                <w:rFonts w:cs="Arial"/>
                <w:szCs w:val="22"/>
              </w:rPr>
              <w:t>OH</w:t>
            </w:r>
            <w:r w:rsidR="002D50AA" w:rsidRPr="000A51CC">
              <w:rPr>
                <w:rFonts w:cs="Arial"/>
                <w:szCs w:val="22"/>
              </w:rPr>
              <w:t>.</w:t>
            </w:r>
            <w:r w:rsidR="00A27B8D">
              <w:rPr>
                <w:rFonts w:cs="Arial"/>
                <w:szCs w:val="22"/>
              </w:rPr>
              <w:t xml:space="preserve"> </w:t>
            </w:r>
            <w:r w:rsidRPr="000A51CC">
              <w:rPr>
                <w:rFonts w:cs="Arial"/>
                <w:szCs w:val="22"/>
              </w:rPr>
              <w:t>Currently, health facilities accredited by the</w:t>
            </w:r>
            <w:r w:rsidR="00426420">
              <w:rPr>
                <w:rFonts w:cs="Arial"/>
                <w:szCs w:val="22"/>
              </w:rPr>
              <w:t xml:space="preserve"> </w:t>
            </w:r>
            <w:r w:rsidRPr="000A51CC">
              <w:rPr>
                <w:rFonts w:cs="Arial"/>
                <w:szCs w:val="22"/>
              </w:rPr>
              <w:t xml:space="preserve">NHIA are reimbursed for services rendered to their clients whilst non-insurance clients purchase service from out of pocket.  </w:t>
            </w:r>
          </w:p>
          <w:p w:rsidR="002805CF" w:rsidRDefault="002805CF" w:rsidP="00052899">
            <w:pPr>
              <w:jc w:val="both"/>
              <w:rPr>
                <w:rFonts w:cs="Arial"/>
                <w:szCs w:val="22"/>
              </w:rPr>
            </w:pPr>
          </w:p>
          <w:p w:rsidR="002805CF" w:rsidRDefault="00052899" w:rsidP="00052899">
            <w:pPr>
              <w:jc w:val="both"/>
              <w:rPr>
                <w:rFonts w:cs="Arial"/>
                <w:szCs w:val="22"/>
              </w:rPr>
            </w:pPr>
            <w:r w:rsidRPr="000A51CC">
              <w:rPr>
                <w:rFonts w:cs="Arial"/>
                <w:szCs w:val="22"/>
              </w:rPr>
              <w:t>D</w:t>
            </w:r>
            <w:r w:rsidR="002805CF">
              <w:rPr>
                <w:rFonts w:cs="Arial"/>
                <w:szCs w:val="22"/>
              </w:rPr>
              <w:t xml:space="preserve">evelopment </w:t>
            </w:r>
            <w:r w:rsidRPr="000A51CC">
              <w:rPr>
                <w:rFonts w:cs="Arial"/>
                <w:szCs w:val="22"/>
              </w:rPr>
              <w:t>P</w:t>
            </w:r>
            <w:r w:rsidR="002805CF">
              <w:rPr>
                <w:rFonts w:cs="Arial"/>
                <w:szCs w:val="22"/>
              </w:rPr>
              <w:t>artner</w:t>
            </w:r>
            <w:r w:rsidRPr="000A51CC">
              <w:rPr>
                <w:rFonts w:cs="Arial"/>
                <w:szCs w:val="22"/>
              </w:rPr>
              <w:t>s’ fund</w:t>
            </w:r>
            <w:r w:rsidR="002805CF">
              <w:rPr>
                <w:rFonts w:cs="Arial"/>
                <w:szCs w:val="22"/>
              </w:rPr>
              <w:t>s</w:t>
            </w:r>
            <w:r w:rsidRPr="000A51CC">
              <w:rPr>
                <w:rFonts w:cs="Arial"/>
                <w:szCs w:val="22"/>
              </w:rPr>
              <w:t xml:space="preserve"> include sector budget support and earmarked funds</w:t>
            </w:r>
            <w:r w:rsidR="002805CF">
              <w:rPr>
                <w:rFonts w:cs="Arial"/>
                <w:szCs w:val="22"/>
              </w:rPr>
              <w:t xml:space="preserve"> which </w:t>
            </w:r>
            <w:r w:rsidRPr="000A51CC">
              <w:rPr>
                <w:rFonts w:cs="Arial"/>
                <w:szCs w:val="22"/>
              </w:rPr>
              <w:t>are fully planned for under the MTEF</w:t>
            </w:r>
            <w:r w:rsidR="002805CF">
              <w:rPr>
                <w:rFonts w:cs="Arial"/>
                <w:szCs w:val="22"/>
              </w:rPr>
              <w:t>,</w:t>
            </w:r>
            <w:r w:rsidRPr="000A51CC">
              <w:rPr>
                <w:rFonts w:cs="Arial"/>
                <w:szCs w:val="22"/>
              </w:rPr>
              <w:t xml:space="preserve"> and support all expenditure areas except personnel emolument. </w:t>
            </w:r>
          </w:p>
          <w:p w:rsidR="002805CF" w:rsidRDefault="002805CF" w:rsidP="00052899">
            <w:pPr>
              <w:jc w:val="both"/>
              <w:rPr>
                <w:rFonts w:cs="Arial"/>
                <w:szCs w:val="22"/>
              </w:rPr>
            </w:pPr>
          </w:p>
          <w:p w:rsidR="00052899" w:rsidRPr="006B21CB" w:rsidRDefault="00052899" w:rsidP="00052899">
            <w:pPr>
              <w:jc w:val="both"/>
              <w:rPr>
                <w:rFonts w:cs="Arial"/>
                <w:szCs w:val="22"/>
              </w:rPr>
            </w:pPr>
            <w:r w:rsidRPr="000A51CC">
              <w:rPr>
                <w:rFonts w:cs="Arial"/>
                <w:szCs w:val="22"/>
              </w:rPr>
              <w:t>Earmarked funds on the other hand may support annual budget but are ring-fenced for specific activities or may not be aligned to the annual budget. Non- aligned earmarked funds are mostly disbursed outside the plan</w:t>
            </w:r>
            <w:r w:rsidR="00134EE4">
              <w:rPr>
                <w:rFonts w:cs="Arial"/>
                <w:szCs w:val="22"/>
              </w:rPr>
              <w:t>ned</w:t>
            </w:r>
            <w:r w:rsidRPr="000A51CC">
              <w:rPr>
                <w:rFonts w:cs="Arial"/>
                <w:szCs w:val="22"/>
              </w:rPr>
              <w:t xml:space="preserve"> annual budget.</w:t>
            </w:r>
          </w:p>
          <w:p w:rsidR="00052899" w:rsidRPr="006B21CB" w:rsidRDefault="00052899" w:rsidP="00052899">
            <w:pPr>
              <w:jc w:val="both"/>
              <w:rPr>
                <w:rFonts w:cs="Arial"/>
                <w:szCs w:val="22"/>
              </w:rPr>
            </w:pPr>
          </w:p>
          <w:p w:rsidR="00052899" w:rsidRPr="000A51CC" w:rsidRDefault="00472AFA" w:rsidP="00426420">
            <w:pPr>
              <w:jc w:val="both"/>
              <w:rPr>
                <w:rFonts w:cs="Arial"/>
                <w:szCs w:val="22"/>
              </w:rPr>
            </w:pPr>
            <w:r>
              <w:rPr>
                <w:rFonts w:cs="Arial"/>
                <w:szCs w:val="22"/>
              </w:rPr>
              <w:t>MOH</w:t>
            </w:r>
            <w:r w:rsidR="00131484">
              <w:rPr>
                <w:rFonts w:cs="Arial"/>
                <w:szCs w:val="22"/>
              </w:rPr>
              <w:t xml:space="preserve"> </w:t>
            </w:r>
            <w:r w:rsidR="00052899" w:rsidRPr="000A51CC">
              <w:rPr>
                <w:rFonts w:cs="Arial"/>
                <w:szCs w:val="22"/>
              </w:rPr>
              <w:t>will continue to explore the many opportunities within the international community to mobilize resources to support health system strengthen</w:t>
            </w:r>
            <w:r w:rsidR="00E8637B">
              <w:rPr>
                <w:rFonts w:cs="Arial"/>
                <w:szCs w:val="22"/>
              </w:rPr>
              <w:t xml:space="preserve">ing. </w:t>
            </w:r>
            <w:r w:rsidR="00052899" w:rsidRPr="000A51CC">
              <w:rPr>
                <w:rFonts w:cs="Arial"/>
                <w:szCs w:val="22"/>
              </w:rPr>
              <w:t xml:space="preserve"> There will be strong advocacy with evidence of the successes of the N</w:t>
            </w:r>
            <w:r w:rsidR="00E8637B">
              <w:rPr>
                <w:rFonts w:cs="Arial"/>
                <w:szCs w:val="22"/>
              </w:rPr>
              <w:t xml:space="preserve">ational </w:t>
            </w:r>
            <w:r w:rsidR="00052899" w:rsidRPr="000A51CC">
              <w:rPr>
                <w:rFonts w:cs="Arial"/>
                <w:szCs w:val="22"/>
              </w:rPr>
              <w:t>I</w:t>
            </w:r>
            <w:r w:rsidR="00E8637B">
              <w:rPr>
                <w:rFonts w:cs="Arial"/>
                <w:szCs w:val="22"/>
              </w:rPr>
              <w:t xml:space="preserve">mmunization </w:t>
            </w:r>
            <w:r w:rsidR="00052899" w:rsidRPr="000A51CC">
              <w:rPr>
                <w:rFonts w:cs="Arial"/>
                <w:szCs w:val="22"/>
              </w:rPr>
              <w:t>P</w:t>
            </w:r>
            <w:r w:rsidR="00E8637B">
              <w:rPr>
                <w:rFonts w:cs="Arial"/>
                <w:szCs w:val="22"/>
              </w:rPr>
              <w:t>lan</w:t>
            </w:r>
            <w:r w:rsidR="00052899" w:rsidRPr="000A51CC">
              <w:rPr>
                <w:rFonts w:cs="Arial"/>
                <w:szCs w:val="22"/>
              </w:rPr>
              <w:t xml:space="preserve"> to the Government of Ghana through the Ministry of Finance to increase funding to the health sector. The sector will also work with the Local Government structures through the District Health Administrations for support from the Metropolitan, Municipal and District Assemblies (MMDAs). Specific efforts will be made to support MMDA in advocacy.</w:t>
            </w:r>
            <w:r w:rsidR="00750DB0">
              <w:rPr>
                <w:rFonts w:cs="Arial"/>
                <w:szCs w:val="22"/>
              </w:rPr>
              <w:t xml:space="preserve"> Government is commited to continue providing immunisation service.</w:t>
            </w:r>
          </w:p>
          <w:p w:rsidR="00052899" w:rsidRPr="000A51CC" w:rsidRDefault="00052899" w:rsidP="00052899">
            <w:pPr>
              <w:jc w:val="both"/>
              <w:rPr>
                <w:rFonts w:cs="Arial"/>
                <w:szCs w:val="22"/>
              </w:rPr>
            </w:pPr>
          </w:p>
          <w:p w:rsidR="00052899" w:rsidRPr="006B21CB" w:rsidRDefault="00052899" w:rsidP="00961A3C">
            <w:pPr>
              <w:jc w:val="both"/>
            </w:pPr>
            <w:r w:rsidRPr="006B21CB">
              <w:rPr>
                <w:rFonts w:cs="Arial"/>
                <w:szCs w:val="22"/>
              </w:rPr>
              <w:t xml:space="preserve">A number of business entities through their corporate social responsibility programmes are investing in various aspects of health.  The </w:t>
            </w:r>
            <w:r w:rsidR="00472AFA">
              <w:rPr>
                <w:rFonts w:cs="Arial"/>
                <w:szCs w:val="22"/>
              </w:rPr>
              <w:t>MoH</w:t>
            </w:r>
            <w:r w:rsidR="00134EE4">
              <w:rPr>
                <w:rFonts w:cs="Arial"/>
                <w:szCs w:val="22"/>
              </w:rPr>
              <w:t xml:space="preserve"> </w:t>
            </w:r>
            <w:r w:rsidRPr="006B21CB">
              <w:rPr>
                <w:rFonts w:cs="Arial"/>
                <w:szCs w:val="22"/>
              </w:rPr>
              <w:t>will exploit the emerging opportunities within the expanding private business sector in Ghana for resource mobilisation through initiatives including public private partnership for immunisation services to ensure sustainable health service delivery.</w:t>
            </w:r>
            <w:r w:rsidR="00FD4542">
              <w:rPr>
                <w:rFonts w:cs="Arial"/>
                <w:szCs w:val="22"/>
              </w:rPr>
              <w:t xml:space="preserve"> </w:t>
            </w:r>
          </w:p>
        </w:tc>
      </w:tr>
      <w:bookmarkEnd w:id="645"/>
      <w:bookmarkEnd w:id="646"/>
      <w:bookmarkEnd w:id="647"/>
    </w:tbl>
    <w:p w:rsidR="00052899" w:rsidRPr="00A4022D" w:rsidRDefault="00052899" w:rsidP="00052899">
      <w:pPr>
        <w:rPr>
          <w:vanish/>
        </w:rPr>
      </w:pPr>
    </w:p>
    <w:tbl>
      <w:tblPr>
        <w:tblpPr w:leftFromText="180" w:rightFromText="180" w:vertAnchor="text" w:horzAnchor="margin" w:tblpY="-6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460"/>
        <w:tblLayout w:type="fixed"/>
        <w:tblLook w:val="0000"/>
      </w:tblPr>
      <w:tblGrid>
        <w:gridCol w:w="9576"/>
      </w:tblGrid>
      <w:tr w:rsidR="00052899" w:rsidRPr="00B40A7C">
        <w:trPr>
          <w:trHeight w:val="420"/>
        </w:trPr>
        <w:tc>
          <w:tcPr>
            <w:tcW w:w="5000" w:type="pct"/>
            <w:shd w:val="clear" w:color="auto" w:fill="006460"/>
          </w:tcPr>
          <w:p w:rsidR="00052899" w:rsidRDefault="00052899" w:rsidP="00052899">
            <w:pPr>
              <w:pStyle w:val="Heading1"/>
            </w:pPr>
            <w:bookmarkStart w:id="649" w:name="_Toc377545407"/>
            <w:r w:rsidRPr="00291E76">
              <w:lastRenderedPageBreak/>
              <w:t>PART F – IMPLEMENTATION ARRANGEMENTS AND RISK MITIGATION</w:t>
            </w:r>
            <w:bookmarkEnd w:id="649"/>
          </w:p>
        </w:tc>
      </w:tr>
      <w:tr w:rsidR="00052899" w:rsidRPr="00B40A7C">
        <w:trPr>
          <w:trHeight w:val="420"/>
        </w:trPr>
        <w:tc>
          <w:tcPr>
            <w:tcW w:w="5000" w:type="pct"/>
            <w:shd w:val="clear" w:color="auto" w:fill="006460"/>
          </w:tcPr>
          <w:p w:rsidR="00052899" w:rsidRDefault="00052899" w:rsidP="00052899">
            <w:pPr>
              <w:pStyle w:val="Heading1"/>
              <w:rPr>
                <w:szCs w:val="22"/>
              </w:rPr>
            </w:pPr>
            <w:bookmarkStart w:id="650" w:name="_Toc377545408"/>
            <w:r w:rsidRPr="00291E76">
              <w:t>18. Implementation Arrangements</w:t>
            </w:r>
            <w:bookmarkEnd w:id="650"/>
            <w:r w:rsidRPr="00291E76">
              <w:rPr>
                <w:szCs w:val="22"/>
              </w:rPr>
              <w:t xml:space="preserve"> </w:t>
            </w:r>
          </w:p>
        </w:tc>
      </w:tr>
      <w:tr w:rsidR="00052899" w:rsidRPr="00B40A7C">
        <w:trPr>
          <w:trHeight w:val="420"/>
        </w:trPr>
        <w:tc>
          <w:tcPr>
            <w:tcW w:w="5000" w:type="pct"/>
            <w:shd w:val="clear" w:color="auto" w:fill="auto"/>
          </w:tcPr>
          <w:p w:rsidR="00052899" w:rsidRPr="00A22EE4" w:rsidRDefault="00052899" w:rsidP="00052899">
            <w:pPr>
              <w:jc w:val="both"/>
              <w:rPr>
                <w:rFonts w:cs="Arial"/>
                <w:szCs w:val="22"/>
              </w:rPr>
            </w:pPr>
            <w:r w:rsidRPr="009E3797">
              <w:rPr>
                <w:rFonts w:cs="Arial"/>
                <w:szCs w:val="22"/>
              </w:rPr>
              <w:t>HSS grant implementation is under the auspices of the Policy Planning Monitoring &amp; Evaluation Division</w:t>
            </w:r>
            <w:r>
              <w:rPr>
                <w:rFonts w:cs="Arial"/>
                <w:szCs w:val="22"/>
              </w:rPr>
              <w:t xml:space="preserve"> (PPME</w:t>
            </w:r>
            <w:r w:rsidR="00B7520F">
              <w:rPr>
                <w:rFonts w:cs="Arial"/>
                <w:szCs w:val="22"/>
              </w:rPr>
              <w:t>D</w:t>
            </w:r>
            <w:r>
              <w:rPr>
                <w:rFonts w:cs="Arial"/>
                <w:szCs w:val="22"/>
              </w:rPr>
              <w:t>)</w:t>
            </w:r>
            <w:r w:rsidRPr="009E3797">
              <w:rPr>
                <w:rFonts w:cs="Arial"/>
                <w:szCs w:val="22"/>
              </w:rPr>
              <w:t xml:space="preserve"> of the Ministry of Health</w:t>
            </w:r>
            <w:r>
              <w:rPr>
                <w:rFonts w:cs="Arial"/>
                <w:szCs w:val="22"/>
              </w:rPr>
              <w:t xml:space="preserve"> </w:t>
            </w:r>
            <w:r w:rsidRPr="009E3797">
              <w:rPr>
                <w:rFonts w:cs="Arial"/>
                <w:szCs w:val="22"/>
              </w:rPr>
              <w:t>which oversees the Common Management</w:t>
            </w:r>
            <w:r>
              <w:rPr>
                <w:rFonts w:cs="Arial"/>
                <w:szCs w:val="22"/>
              </w:rPr>
              <w:t xml:space="preserve"> </w:t>
            </w:r>
            <w:r w:rsidRPr="009E3797">
              <w:rPr>
                <w:rFonts w:cs="Arial"/>
                <w:szCs w:val="22"/>
              </w:rPr>
              <w:t>Arrangement</w:t>
            </w:r>
            <w:r>
              <w:rPr>
                <w:rFonts w:cs="Arial"/>
                <w:szCs w:val="22"/>
              </w:rPr>
              <w:t>. This arrangement</w:t>
            </w:r>
            <w:r w:rsidRPr="009E3797">
              <w:rPr>
                <w:rFonts w:cs="Arial"/>
                <w:szCs w:val="22"/>
              </w:rPr>
              <w:t xml:space="preserve"> regulates relationships and partnerships between </w:t>
            </w:r>
            <w:r w:rsidR="00472AFA">
              <w:rPr>
                <w:rFonts w:cs="Arial"/>
                <w:szCs w:val="22"/>
              </w:rPr>
              <w:t>MOH</w:t>
            </w:r>
            <w:r w:rsidR="00B7520F">
              <w:rPr>
                <w:rFonts w:cs="Arial"/>
                <w:szCs w:val="22"/>
              </w:rPr>
              <w:t xml:space="preserve"> </w:t>
            </w:r>
            <w:r w:rsidRPr="009E3797">
              <w:rPr>
                <w:rFonts w:cs="Arial"/>
                <w:szCs w:val="22"/>
              </w:rPr>
              <w:t>and its agencies</w:t>
            </w:r>
            <w:r>
              <w:rPr>
                <w:rFonts w:cs="Arial"/>
                <w:szCs w:val="22"/>
              </w:rPr>
              <w:t>,</w:t>
            </w:r>
            <w:r w:rsidRPr="009E3797">
              <w:rPr>
                <w:rFonts w:cs="Arial"/>
                <w:szCs w:val="22"/>
              </w:rPr>
              <w:t xml:space="preserve"> key stakeholders like Development Partners and NGOs. The P</w:t>
            </w:r>
            <w:r>
              <w:rPr>
                <w:rFonts w:cs="Arial"/>
                <w:szCs w:val="22"/>
              </w:rPr>
              <w:t>PME</w:t>
            </w:r>
            <w:r w:rsidRPr="009E3797">
              <w:rPr>
                <w:rFonts w:cs="Arial"/>
                <w:szCs w:val="22"/>
              </w:rPr>
              <w:t xml:space="preserve"> Ghana Health Service</w:t>
            </w:r>
            <w:r>
              <w:rPr>
                <w:rFonts w:cs="Arial"/>
                <w:szCs w:val="22"/>
              </w:rPr>
              <w:t xml:space="preserve"> (GHS)</w:t>
            </w:r>
            <w:r w:rsidRPr="009E3797">
              <w:rPr>
                <w:rFonts w:cs="Arial"/>
                <w:szCs w:val="22"/>
              </w:rPr>
              <w:t xml:space="preserve"> will coordinate implementation of the HSS grant at the operational level using the existing sector management</w:t>
            </w:r>
            <w:r>
              <w:rPr>
                <w:rFonts w:cs="Arial"/>
                <w:szCs w:val="22"/>
              </w:rPr>
              <w:t xml:space="preserve"> and implementation</w:t>
            </w:r>
            <w:r w:rsidRPr="009E3797">
              <w:rPr>
                <w:rFonts w:cs="Arial"/>
                <w:szCs w:val="22"/>
              </w:rPr>
              <w:t xml:space="preserve"> systems (See figure 2 below).</w:t>
            </w:r>
          </w:p>
          <w:p w:rsidR="00052899" w:rsidRPr="00A22EE4" w:rsidRDefault="00052899" w:rsidP="00052899">
            <w:pPr>
              <w:jc w:val="both"/>
              <w:rPr>
                <w:rFonts w:cs="Arial"/>
                <w:szCs w:val="22"/>
              </w:rPr>
            </w:pPr>
          </w:p>
          <w:p w:rsidR="00052899" w:rsidRDefault="00052899" w:rsidP="00052899">
            <w:pPr>
              <w:jc w:val="both"/>
              <w:rPr>
                <w:rFonts w:cs="Arial"/>
                <w:szCs w:val="22"/>
              </w:rPr>
            </w:pPr>
            <w:r w:rsidRPr="009E3797">
              <w:rPr>
                <w:rFonts w:cs="Arial"/>
                <w:szCs w:val="22"/>
              </w:rPr>
              <w:t>The health sector has a robust coordination mechanism (Health Sector Working Group) which includes representative</w:t>
            </w:r>
            <w:r>
              <w:rPr>
                <w:rFonts w:cs="Arial"/>
                <w:szCs w:val="22"/>
              </w:rPr>
              <w:t>s</w:t>
            </w:r>
            <w:r w:rsidRPr="009E3797">
              <w:rPr>
                <w:rFonts w:cs="Arial"/>
                <w:szCs w:val="22"/>
              </w:rPr>
              <w:t xml:space="preserve"> of </w:t>
            </w:r>
            <w:r w:rsidR="00472AFA">
              <w:rPr>
                <w:rFonts w:cs="Arial"/>
                <w:szCs w:val="22"/>
              </w:rPr>
              <w:t>MOH</w:t>
            </w:r>
            <w:r w:rsidR="00B7520F">
              <w:rPr>
                <w:rFonts w:cs="Arial"/>
                <w:szCs w:val="22"/>
              </w:rPr>
              <w:t xml:space="preserve"> </w:t>
            </w:r>
            <w:r w:rsidRPr="009E3797">
              <w:rPr>
                <w:rFonts w:cs="Arial"/>
                <w:szCs w:val="22"/>
              </w:rPr>
              <w:t xml:space="preserve">and its agencies, DP, NGOs and private sector providers. The HSCC meet monthly and has quarterly Business Meetings and Annual Summits. The existing mechanisms under the HSCC and other arrangements </w:t>
            </w:r>
            <w:r>
              <w:rPr>
                <w:rFonts w:cs="Arial"/>
                <w:szCs w:val="22"/>
              </w:rPr>
              <w:t xml:space="preserve">as </w:t>
            </w:r>
            <w:r w:rsidRPr="009E3797">
              <w:rPr>
                <w:rFonts w:cs="Arial"/>
                <w:szCs w:val="22"/>
              </w:rPr>
              <w:t>stated in the CMA will be used in monitoring the implementation of this grant. G</w:t>
            </w:r>
            <w:r>
              <w:rPr>
                <w:rFonts w:cs="Arial"/>
                <w:szCs w:val="22"/>
              </w:rPr>
              <w:t>HS,</w:t>
            </w:r>
            <w:r w:rsidRPr="009E3797">
              <w:rPr>
                <w:rFonts w:cs="Arial"/>
                <w:szCs w:val="22"/>
              </w:rPr>
              <w:t xml:space="preserve"> the main executing agency submits quarterly, bi-annual and annual reports to the HSCC as part of the agreed monitoring and reporting mechanisms within the sector. The H</w:t>
            </w:r>
            <w:r>
              <w:rPr>
                <w:rFonts w:cs="Arial"/>
                <w:szCs w:val="22"/>
              </w:rPr>
              <w:t>SCC</w:t>
            </w:r>
            <w:r w:rsidRPr="009E3797">
              <w:rPr>
                <w:rFonts w:cs="Arial"/>
                <w:szCs w:val="22"/>
              </w:rPr>
              <w:t xml:space="preserve"> endorsed annual report will be shared with the GAVI Secretariat. The ICC meets quarterly to discuss issues related to child health, especially immunisation. The output from the ICC is fed into the monthly Sector Working Group meetings. Currently the Global Fund Country Coordinating Mechanism works closely with the ICC on three diseases</w:t>
            </w:r>
            <w:r w:rsidR="00B7520F">
              <w:rPr>
                <w:rFonts w:cs="Arial"/>
                <w:szCs w:val="22"/>
              </w:rPr>
              <w:t>-</w:t>
            </w:r>
            <w:r w:rsidRPr="009E3797">
              <w:rPr>
                <w:rFonts w:cs="Arial"/>
                <w:szCs w:val="22"/>
              </w:rPr>
              <w:t>HIV/AIDS, TB and Malaria.</w:t>
            </w:r>
          </w:p>
          <w:p w:rsidR="00052899" w:rsidRDefault="00B97BDB" w:rsidP="00052899">
            <w:pPr>
              <w:jc w:val="both"/>
              <w:rPr>
                <w:rFonts w:cs="Arial"/>
                <w:szCs w:val="22"/>
              </w:rPr>
            </w:pPr>
            <w:r>
              <w:rPr>
                <w:rFonts w:cs="Arial"/>
                <w:noProof/>
                <w:szCs w:val="22"/>
                <w:lang w:val="en-CA" w:eastAsia="en-CA"/>
              </w:rPr>
              <w:pict>
                <v:shape id="_x0000_s1501" type="#_x0000_t202" style="position:absolute;left:0;text-align:left;margin-left:304.4pt;margin-top:3.8pt;width:162.1pt;height:87.35pt;z-index:251680256" strokecolor="#9bbb59" strokeweight="1pt">
                  <v:stroke dashstyle="dash"/>
                  <v:shadow color="#868686"/>
                  <v:textbox style="mso-next-textbox:#_x0000_s1501">
                    <w:txbxContent>
                      <w:p w:rsidR="00BF35A8" w:rsidRPr="009E3797" w:rsidRDefault="00BF35A8" w:rsidP="00052899">
                        <w:pPr>
                          <w:rPr>
                            <w:rFonts w:ascii="Calibri" w:hAnsi="Calibri"/>
                            <w:sz w:val="16"/>
                            <w:szCs w:val="16"/>
                            <w:lang w:val="en-CA"/>
                          </w:rPr>
                        </w:pPr>
                        <w:r w:rsidRPr="009E3797">
                          <w:rPr>
                            <w:rFonts w:ascii="Calibri" w:hAnsi="Calibri"/>
                            <w:sz w:val="16"/>
                            <w:szCs w:val="16"/>
                            <w:lang w:val="en-US"/>
                          </w:rPr>
                          <w:t xml:space="preserve">Provision of oversight and stewardship for the GAVI/HSS will be provided by </w:t>
                        </w:r>
                        <w:r>
                          <w:rPr>
                            <w:rFonts w:ascii="Calibri" w:hAnsi="Calibri"/>
                            <w:sz w:val="16"/>
                            <w:szCs w:val="16"/>
                            <w:lang w:val="en-US"/>
                          </w:rPr>
                          <w:t xml:space="preserve">MoH </w:t>
                        </w:r>
                        <w:r w:rsidRPr="009E3797">
                          <w:rPr>
                            <w:rFonts w:ascii="Calibri" w:hAnsi="Calibri"/>
                            <w:sz w:val="16"/>
                            <w:szCs w:val="16"/>
                            <w:lang w:val="en-US"/>
                          </w:rPr>
                          <w:t>with policy guidance from the Chief Director. The PPMED will organise various progress meetings at the national level. HSCC and ICC will provide platform for discussing progress and implementation outcomes and endorse annual progress report to GAVI</w:t>
                        </w:r>
                      </w:p>
                      <w:p w:rsidR="00BF35A8" w:rsidRDefault="00BF35A8"/>
                    </w:txbxContent>
                  </v:textbox>
                </v:shape>
              </w:pict>
            </w:r>
          </w:p>
          <w:p w:rsidR="00052899" w:rsidRPr="00A22EE4" w:rsidRDefault="00052899" w:rsidP="00052899">
            <w:pPr>
              <w:jc w:val="both"/>
              <w:rPr>
                <w:rFonts w:cs="Arial"/>
                <w:szCs w:val="22"/>
              </w:rPr>
            </w:pPr>
          </w:p>
          <w:p w:rsidR="00052899" w:rsidRDefault="00B97BDB" w:rsidP="00052899">
            <w:pPr>
              <w:jc w:val="both"/>
              <w:rPr>
                <w:rFonts w:cs="Arial"/>
                <w:szCs w:val="22"/>
              </w:rPr>
            </w:pPr>
            <w:r>
              <w:rPr>
                <w:rFonts w:cs="Arial"/>
                <w:noProof/>
                <w:szCs w:val="22"/>
                <w:lang w:val="en-CA" w:eastAsia="en-CA"/>
              </w:rPr>
              <w:pict>
                <v:shape id="_x0000_s1502" type="#_x0000_t32" style="position:absolute;left:0;text-align:left;margin-left:253.5pt;margin-top:11.95pt;width:44.1pt;height:0;z-index:251681280" o:connectortype="straight">
                  <v:stroke dashstyle="longDashDotDot"/>
                </v:shape>
              </w:pict>
            </w:r>
            <w:r>
              <w:rPr>
                <w:rFonts w:cs="Arial"/>
                <w:noProof/>
                <w:szCs w:val="22"/>
                <w:lang w:val="en-CA" w:eastAsia="en-CA"/>
              </w:rPr>
              <w:pict>
                <v:shape id="_x0000_s1474" type="#_x0000_t202" style="position:absolute;left:0;text-align:left;margin-left:126pt;margin-top:2.05pt;width:127.5pt;height:63.8pt;z-index:251657728">
                  <v:textbox style="mso-next-textbox:#_x0000_s1474">
                    <w:txbxContent>
                      <w:p w:rsidR="00BF35A8" w:rsidRPr="009E3797" w:rsidRDefault="00BF35A8" w:rsidP="00052899">
                        <w:pPr>
                          <w:jc w:val="center"/>
                          <w:rPr>
                            <w:b/>
                            <w:sz w:val="20"/>
                            <w:lang w:val="en-CA"/>
                          </w:rPr>
                        </w:pPr>
                        <w:r w:rsidRPr="009E3797">
                          <w:rPr>
                            <w:b/>
                            <w:sz w:val="20"/>
                            <w:lang w:val="en-CA"/>
                          </w:rPr>
                          <w:t>Ministry of Health</w:t>
                        </w:r>
                      </w:p>
                      <w:p w:rsidR="00BF35A8" w:rsidRPr="009E3797" w:rsidRDefault="00BF35A8" w:rsidP="00052899">
                        <w:pPr>
                          <w:jc w:val="center"/>
                          <w:rPr>
                            <w:sz w:val="20"/>
                            <w:lang w:val="en-CA"/>
                          </w:rPr>
                        </w:pPr>
                        <w:r w:rsidRPr="009E3797">
                          <w:rPr>
                            <w:sz w:val="20"/>
                            <w:lang w:val="en-CA"/>
                          </w:rPr>
                          <w:t>(National Level)</w:t>
                        </w:r>
                      </w:p>
                      <w:p w:rsidR="00BF35A8" w:rsidRPr="009E3797" w:rsidRDefault="00BF35A8" w:rsidP="00052899">
                        <w:pPr>
                          <w:jc w:val="center"/>
                          <w:rPr>
                            <w:sz w:val="20"/>
                            <w:lang w:val="en-CA"/>
                          </w:rPr>
                        </w:pPr>
                        <w:r w:rsidRPr="009E3797">
                          <w:rPr>
                            <w:sz w:val="20"/>
                            <w:lang w:val="en-CA"/>
                          </w:rPr>
                          <w:t>HSCC, ICC,</w:t>
                        </w:r>
                      </w:p>
                      <w:p w:rsidR="00BF35A8" w:rsidRPr="009E3797" w:rsidRDefault="00BF35A8">
                        <w:pPr>
                          <w:rPr>
                            <w:sz w:val="20"/>
                            <w:lang w:val="en-CA"/>
                          </w:rPr>
                        </w:pPr>
                        <w:r w:rsidRPr="009E3797">
                          <w:rPr>
                            <w:sz w:val="20"/>
                            <w:lang w:val="en-CA"/>
                          </w:rPr>
                          <w:t>PPMED, Finance and Audit</w:t>
                        </w:r>
                      </w:p>
                    </w:txbxContent>
                  </v:textbox>
                </v:shape>
              </w:pict>
            </w:r>
          </w:p>
          <w:p w:rsidR="00052899" w:rsidRDefault="00052899" w:rsidP="00052899">
            <w:pPr>
              <w:jc w:val="both"/>
              <w:rPr>
                <w:rFonts w:cs="Arial"/>
                <w:szCs w:val="22"/>
              </w:rPr>
            </w:pPr>
          </w:p>
          <w:p w:rsidR="00052899" w:rsidRDefault="00B97BDB" w:rsidP="00052899">
            <w:pPr>
              <w:jc w:val="both"/>
              <w:rPr>
                <w:rFonts w:cs="Arial"/>
                <w:szCs w:val="22"/>
              </w:rPr>
            </w:pPr>
            <w:r>
              <w:rPr>
                <w:rFonts w:cs="Arial"/>
                <w:noProof/>
                <w:szCs w:val="22"/>
                <w:lang w:val="en-CA" w:eastAsia="en-CA"/>
              </w:rPr>
              <w:pict>
                <v:shape id="_x0000_s1488" type="#_x0000_t32" style="position:absolute;left:0;text-align:left;margin-left:39.75pt;margin-top:5.25pt;width:86.25pt;height:0;z-index:251668992" o:connectortype="straight">
                  <v:stroke dashstyle="dash" endarrow="block"/>
                </v:shape>
              </w:pict>
            </w:r>
            <w:r>
              <w:rPr>
                <w:rFonts w:cs="Arial"/>
                <w:noProof/>
                <w:szCs w:val="22"/>
                <w:lang w:val="en-CA" w:eastAsia="en-CA"/>
              </w:rPr>
              <w:pict>
                <v:shape id="_x0000_s1491" type="#_x0000_t32" style="position:absolute;left:0;text-align:left;margin-left:39.75pt;margin-top:5.25pt;width:0;height:69.75pt;flip:y;z-index:251670016" o:connectortype="straight">
                  <v:stroke dashstyle="dash"/>
                </v:shape>
              </w:pict>
            </w:r>
          </w:p>
          <w:p w:rsidR="00052899" w:rsidRDefault="00B97BDB" w:rsidP="00052899">
            <w:pPr>
              <w:jc w:val="both"/>
              <w:rPr>
                <w:rFonts w:cs="Arial"/>
                <w:szCs w:val="22"/>
              </w:rPr>
            </w:pPr>
            <w:r>
              <w:rPr>
                <w:rFonts w:cs="Arial"/>
                <w:noProof/>
                <w:szCs w:val="22"/>
                <w:lang w:val="en-CA" w:eastAsia="en-CA"/>
              </w:rPr>
              <w:pict>
                <v:shape id="_x0000_s1496" type="#_x0000_t32" style="position:absolute;left:0;text-align:left;margin-left:253.5pt;margin-top:9.85pt;width:137.95pt;height:65.35pt;flip:x y;z-index:251675136" o:connectortype="straight">
                  <v:stroke dashstyle="dash" endarrow="block"/>
                </v:shape>
              </w:pict>
            </w:r>
            <w:r>
              <w:rPr>
                <w:rFonts w:cs="Arial"/>
                <w:noProof/>
                <w:szCs w:val="22"/>
                <w:lang w:val="en-CA" w:eastAsia="en-CA"/>
              </w:rPr>
              <w:pict>
                <v:shape id="_x0000_s1481" type="#_x0000_t32" style="position:absolute;left:0;text-align:left;margin-left:55.5pt;margin-top:9.85pt;width:70.5pt;height:54pt;flip:x;z-index:251663872" o:connectortype="straight">
                  <v:stroke endarrow="block"/>
                </v:shape>
              </w:pict>
            </w:r>
          </w:p>
          <w:p w:rsidR="00052899" w:rsidRDefault="00B97BDB" w:rsidP="00052899">
            <w:pPr>
              <w:jc w:val="both"/>
              <w:rPr>
                <w:rFonts w:cs="Arial"/>
                <w:szCs w:val="22"/>
              </w:rPr>
            </w:pPr>
            <w:r>
              <w:rPr>
                <w:rFonts w:cs="Arial"/>
                <w:noProof/>
                <w:szCs w:val="22"/>
                <w:lang w:val="en-CA" w:eastAsia="en-CA"/>
              </w:rPr>
              <w:pict>
                <v:shape id="_x0000_s1482" type="#_x0000_t32" style="position:absolute;left:0;text-align:left;margin-left:250.85pt;margin-top:5.4pt;width:118pt;height:54.15pt;z-index:251664896" o:connectortype="straight">
                  <v:stroke endarrow="block"/>
                </v:shape>
              </w:pict>
            </w:r>
          </w:p>
          <w:p w:rsidR="00052899" w:rsidRDefault="00B97BDB" w:rsidP="00052899">
            <w:pPr>
              <w:jc w:val="both"/>
              <w:rPr>
                <w:rFonts w:cs="Arial"/>
                <w:szCs w:val="22"/>
              </w:rPr>
            </w:pPr>
            <w:r>
              <w:rPr>
                <w:rFonts w:cs="Arial"/>
                <w:noProof/>
                <w:szCs w:val="22"/>
                <w:lang w:val="en-CA" w:eastAsia="en-CA"/>
              </w:rPr>
              <w:pict>
                <v:shape id="_x0000_s1503" type="#_x0000_t202" style="position:absolute;left:0;text-align:left;margin-left:140.7pt;margin-top:6.8pt;width:143.3pt;height:89.05pt;z-index:251682304" strokecolor="#9bbb59" strokeweight="1pt">
                  <v:stroke dashstyle="dash"/>
                  <v:shadow color="#868686"/>
                  <v:textbox style="mso-next-textbox:#_x0000_s1503">
                    <w:txbxContent>
                      <w:p w:rsidR="00BF35A8" w:rsidRPr="009E3797" w:rsidRDefault="00BF35A8" w:rsidP="00052899">
                        <w:pPr>
                          <w:rPr>
                            <w:rFonts w:ascii="Calibri" w:hAnsi="Calibri"/>
                            <w:sz w:val="16"/>
                            <w:szCs w:val="16"/>
                            <w:lang w:val="en-CA"/>
                          </w:rPr>
                        </w:pPr>
                        <w:r w:rsidRPr="009E3797">
                          <w:rPr>
                            <w:rFonts w:ascii="Calibri" w:hAnsi="Calibri"/>
                            <w:sz w:val="16"/>
                            <w:szCs w:val="16"/>
                            <w:lang w:val="en-US"/>
                          </w:rPr>
                          <w:t xml:space="preserve">GHS will coordinate implementation of the GAVI/HSS and be responsible for providing technical and operational guidance to regions and districts.  PPMED-GHS will monitor overall indicators and report to the </w:t>
                        </w:r>
                        <w:r>
                          <w:rPr>
                            <w:rFonts w:ascii="Calibri" w:hAnsi="Calibri"/>
                            <w:sz w:val="16"/>
                            <w:szCs w:val="16"/>
                            <w:lang w:val="en-US"/>
                          </w:rPr>
                          <w:t>MoH</w:t>
                        </w:r>
                        <w:r w:rsidRPr="009E3797">
                          <w:rPr>
                            <w:rFonts w:ascii="Calibri" w:hAnsi="Calibri"/>
                            <w:sz w:val="16"/>
                            <w:szCs w:val="16"/>
                            <w:lang w:val="en-US"/>
                          </w:rPr>
                          <w:t>through the Director General on issues concerning implementation.</w:t>
                        </w:r>
                      </w:p>
                      <w:p w:rsidR="00BF35A8" w:rsidRDefault="00BF35A8"/>
                    </w:txbxContent>
                  </v:textbox>
                </v:shape>
              </w:pict>
            </w:r>
          </w:p>
          <w:p w:rsidR="00052899" w:rsidRDefault="00B97BDB" w:rsidP="00052899">
            <w:pPr>
              <w:jc w:val="both"/>
              <w:rPr>
                <w:rFonts w:cs="Arial"/>
                <w:szCs w:val="22"/>
              </w:rPr>
            </w:pPr>
            <w:r>
              <w:rPr>
                <w:rFonts w:cs="Arial"/>
                <w:noProof/>
                <w:szCs w:val="22"/>
                <w:lang w:val="en-CA" w:eastAsia="en-CA"/>
              </w:rPr>
              <w:pict>
                <v:shape id="_x0000_s1512" type="#_x0000_t202" style="position:absolute;left:0;text-align:left;margin-left:409.9pt;margin-top:.15pt;width:59.65pt;height:146.8pt;z-index:251689472" strokecolor="#9bbb59" strokeweight="1pt">
                  <v:stroke dashstyle="dash"/>
                  <v:shadow color="#868686"/>
                  <v:textbox style="mso-next-textbox:#_x0000_s1512">
                    <w:txbxContent>
                      <w:p w:rsidR="00BF35A8" w:rsidRPr="009E3797" w:rsidRDefault="00BF35A8">
                        <w:pPr>
                          <w:rPr>
                            <w:rFonts w:ascii="Calibri" w:hAnsi="Calibri"/>
                            <w:lang w:val="en-CA"/>
                          </w:rPr>
                        </w:pPr>
                        <w:r w:rsidRPr="009E3797">
                          <w:rPr>
                            <w:rFonts w:ascii="Calibri" w:hAnsi="Calibri"/>
                            <w:sz w:val="16"/>
                            <w:szCs w:val="16"/>
                            <w:lang w:val="en-CA"/>
                          </w:rPr>
                          <w:t>GCNH as an umbrella organisation will coordinator, monitor and report on progress of CSOs implementation at the various levels to GHS and MOH</w:t>
                        </w:r>
                      </w:p>
                    </w:txbxContent>
                  </v:textbox>
                </v:shape>
              </w:pict>
            </w:r>
          </w:p>
          <w:p w:rsidR="00052899" w:rsidRDefault="00052899" w:rsidP="00052899">
            <w:pPr>
              <w:jc w:val="both"/>
              <w:rPr>
                <w:rFonts w:cs="Arial"/>
                <w:szCs w:val="22"/>
              </w:rPr>
            </w:pPr>
          </w:p>
          <w:p w:rsidR="00052899" w:rsidRDefault="00B97BDB" w:rsidP="00052899">
            <w:pPr>
              <w:jc w:val="both"/>
              <w:rPr>
                <w:rFonts w:cs="Arial"/>
                <w:szCs w:val="22"/>
              </w:rPr>
            </w:pPr>
            <w:r>
              <w:rPr>
                <w:rFonts w:cs="Arial"/>
                <w:noProof/>
                <w:szCs w:val="22"/>
                <w:lang w:val="en-CA" w:eastAsia="en-CA"/>
              </w:rPr>
              <w:pict>
                <v:shape id="_x0000_s1475" type="#_x0000_t202" style="position:absolute;left:0;text-align:left;margin-left:-1.9pt;margin-top:.8pt;width:127.5pt;height:52pt;z-index:251658752">
                  <v:textbox style="mso-next-textbox:#_x0000_s1475">
                    <w:txbxContent>
                      <w:p w:rsidR="00BF35A8" w:rsidRPr="009E3797" w:rsidRDefault="00BF35A8" w:rsidP="00052899">
                        <w:pPr>
                          <w:rPr>
                            <w:b/>
                            <w:sz w:val="20"/>
                            <w:lang w:val="en-CA"/>
                          </w:rPr>
                        </w:pPr>
                        <w:r w:rsidRPr="009E3797">
                          <w:rPr>
                            <w:b/>
                            <w:sz w:val="20"/>
                            <w:lang w:val="en-CA"/>
                          </w:rPr>
                          <w:t>Ghana Health Service</w:t>
                        </w:r>
                      </w:p>
                      <w:p w:rsidR="00BF35A8" w:rsidRPr="009E3797" w:rsidRDefault="00BF35A8" w:rsidP="00052899">
                        <w:pPr>
                          <w:rPr>
                            <w:sz w:val="20"/>
                            <w:lang w:val="en-CA"/>
                          </w:rPr>
                        </w:pPr>
                        <w:r w:rsidRPr="009E3797">
                          <w:rPr>
                            <w:sz w:val="20"/>
                            <w:lang w:val="en-CA"/>
                          </w:rPr>
                          <w:t xml:space="preserve">(Operational level) </w:t>
                        </w:r>
                      </w:p>
                      <w:p w:rsidR="00BF35A8" w:rsidRPr="009E3797" w:rsidRDefault="00BF35A8" w:rsidP="00052899">
                        <w:pPr>
                          <w:rPr>
                            <w:sz w:val="20"/>
                            <w:lang w:val="en-CA"/>
                          </w:rPr>
                        </w:pPr>
                        <w:r w:rsidRPr="009E3797">
                          <w:rPr>
                            <w:sz w:val="20"/>
                            <w:lang w:val="en-CA"/>
                          </w:rPr>
                          <w:t xml:space="preserve">PPMED, EPI, SSDM, HRDD, Finance </w:t>
                        </w:r>
                      </w:p>
                    </w:txbxContent>
                  </v:textbox>
                </v:shape>
              </w:pict>
            </w:r>
          </w:p>
          <w:p w:rsidR="00052899" w:rsidRDefault="00B97BDB" w:rsidP="00052899">
            <w:pPr>
              <w:jc w:val="both"/>
              <w:rPr>
                <w:rFonts w:cs="Arial"/>
                <w:szCs w:val="22"/>
              </w:rPr>
            </w:pPr>
            <w:r>
              <w:rPr>
                <w:rFonts w:cs="Arial"/>
                <w:noProof/>
                <w:szCs w:val="22"/>
                <w:lang w:val="en-CA" w:eastAsia="en-CA"/>
              </w:rPr>
              <w:pict>
                <v:shape id="_x0000_s1476" type="#_x0000_t202" style="position:absolute;left:0;text-align:left;margin-left:304.3pt;margin-top:1.95pt;width:96.3pt;height:76.2pt;z-index:251659776">
                  <v:textbox style="mso-next-textbox:#_x0000_s1476">
                    <w:txbxContent>
                      <w:p w:rsidR="00BF35A8" w:rsidRPr="009E3797" w:rsidRDefault="00BF35A8" w:rsidP="00052899">
                        <w:pPr>
                          <w:jc w:val="center"/>
                          <w:rPr>
                            <w:b/>
                            <w:sz w:val="20"/>
                            <w:lang w:val="en-CA"/>
                          </w:rPr>
                        </w:pPr>
                        <w:r w:rsidRPr="009E3797">
                          <w:rPr>
                            <w:b/>
                            <w:sz w:val="20"/>
                            <w:lang w:val="en-CA"/>
                          </w:rPr>
                          <w:t>CSOs</w:t>
                        </w:r>
                      </w:p>
                      <w:p w:rsidR="00BF35A8" w:rsidRPr="009E3797" w:rsidRDefault="00BF35A8" w:rsidP="00052899">
                        <w:pPr>
                          <w:jc w:val="center"/>
                          <w:rPr>
                            <w:sz w:val="20"/>
                            <w:lang w:val="en-CA"/>
                          </w:rPr>
                        </w:pPr>
                        <w:r w:rsidRPr="009E3797">
                          <w:rPr>
                            <w:sz w:val="20"/>
                            <w:lang w:val="en-CA"/>
                          </w:rPr>
                          <w:t>Ghana Coalition of NGOs in Health</w:t>
                        </w:r>
                      </w:p>
                      <w:p w:rsidR="00BF35A8" w:rsidRPr="009E3797" w:rsidRDefault="00BF35A8" w:rsidP="00052899">
                        <w:pPr>
                          <w:jc w:val="center"/>
                          <w:rPr>
                            <w:sz w:val="20"/>
                            <w:lang w:val="en-CA"/>
                          </w:rPr>
                        </w:pPr>
                        <w:r w:rsidRPr="009E3797">
                          <w:rPr>
                            <w:sz w:val="20"/>
                            <w:lang w:val="en-CA"/>
                          </w:rPr>
                          <w:t>(National Level)</w:t>
                        </w:r>
                      </w:p>
                    </w:txbxContent>
                  </v:textbox>
                </v:shape>
              </w:pict>
            </w:r>
          </w:p>
          <w:p w:rsidR="00052899" w:rsidRDefault="00B97BDB" w:rsidP="00052899">
            <w:pPr>
              <w:jc w:val="both"/>
              <w:rPr>
                <w:rFonts w:cs="Arial"/>
                <w:szCs w:val="22"/>
              </w:rPr>
            </w:pPr>
            <w:r>
              <w:rPr>
                <w:rFonts w:cs="Arial"/>
                <w:noProof/>
                <w:szCs w:val="22"/>
                <w:lang w:val="en-CA" w:eastAsia="en-CA"/>
              </w:rPr>
              <w:pict>
                <v:shape id="_x0000_s1504" type="#_x0000_t32" style="position:absolute;left:0;text-align:left;margin-left:125.6pt;margin-top:2.7pt;width:16.55pt;height:0;z-index:251683328" o:connectortype="straight">
                  <v:stroke dashstyle="longDashDotDot"/>
                </v:shape>
              </w:pict>
            </w:r>
          </w:p>
          <w:p w:rsidR="00052899" w:rsidRDefault="00052899" w:rsidP="00052899">
            <w:pPr>
              <w:jc w:val="both"/>
              <w:rPr>
                <w:rFonts w:cs="Arial"/>
                <w:szCs w:val="22"/>
              </w:rPr>
            </w:pPr>
          </w:p>
          <w:p w:rsidR="00052899" w:rsidRDefault="00B97BDB" w:rsidP="00052899">
            <w:pPr>
              <w:jc w:val="both"/>
              <w:rPr>
                <w:rFonts w:cs="Arial"/>
                <w:szCs w:val="22"/>
              </w:rPr>
            </w:pPr>
            <w:r>
              <w:rPr>
                <w:rFonts w:cs="Arial"/>
                <w:noProof/>
                <w:szCs w:val="22"/>
                <w:lang w:val="en-CA" w:eastAsia="en-CA"/>
              </w:rPr>
              <w:pict>
                <v:shape id="_x0000_s1513" type="#_x0000_t32" style="position:absolute;left:0;text-align:left;margin-left:396.6pt;margin-top:1.2pt;width:10.6pt;height:0;z-index:251690496" o:connectortype="straight">
                  <v:stroke dashstyle="dashDot"/>
                </v:shape>
              </w:pict>
            </w:r>
            <w:r>
              <w:rPr>
                <w:rFonts w:cs="Arial"/>
                <w:noProof/>
                <w:szCs w:val="22"/>
                <w:lang w:val="en-CA" w:eastAsia="en-CA"/>
              </w:rPr>
              <w:pict>
                <v:shape id="_x0000_s1509" type="#_x0000_t32" style="position:absolute;left:0;text-align:left;margin-left:127.4pt;margin-top:10.9pt;width:173pt;height:0;z-index:251687424" o:connectortype="straight">
                  <v:stroke dashstyle="dash"/>
                </v:shape>
              </w:pict>
            </w:r>
            <w:r>
              <w:rPr>
                <w:rFonts w:cs="Arial"/>
                <w:noProof/>
                <w:szCs w:val="22"/>
                <w:lang w:val="en-CA" w:eastAsia="en-CA"/>
              </w:rPr>
              <w:pict>
                <v:shape id="_x0000_s1497" type="#_x0000_t32" style="position:absolute;left:0;text-align:left;margin-left:127.35pt;margin-top:1.2pt;width:.05pt;height:9.7pt;flip:y;z-index:251676160" o:connectortype="straight">
                  <v:stroke dashstyle="dash" endarrow="block"/>
                </v:shape>
              </w:pict>
            </w:r>
            <w:r>
              <w:rPr>
                <w:rFonts w:cs="Arial"/>
                <w:noProof/>
                <w:szCs w:val="22"/>
                <w:lang w:val="en-CA" w:eastAsia="en-CA"/>
              </w:rPr>
              <w:pict>
                <v:shape id="_x0000_s1492" type="#_x0000_t32" style="position:absolute;left:0;text-align:left;margin-left:84.8pt;margin-top:2.2pt;width:0;height:13.2pt;flip:y;z-index:251671040" o:connectortype="straight">
                  <v:stroke dashstyle="dash" endarrow="block"/>
                </v:shape>
              </w:pict>
            </w:r>
            <w:r>
              <w:rPr>
                <w:rFonts w:cs="Arial"/>
                <w:noProof/>
                <w:szCs w:val="22"/>
                <w:lang w:val="en-CA" w:eastAsia="en-CA"/>
              </w:rPr>
              <w:pict>
                <v:shape id="_x0000_s1483" type="#_x0000_t32" style="position:absolute;left:0;text-align:left;margin-left:55.45pt;margin-top:2pt;width:0;height:12.6pt;z-index:251665920" o:connectortype="straight">
                  <v:stroke endarrow="block"/>
                </v:shape>
              </w:pict>
            </w:r>
          </w:p>
          <w:p w:rsidR="00052899" w:rsidRDefault="00B97BDB" w:rsidP="00052899">
            <w:pPr>
              <w:jc w:val="both"/>
              <w:rPr>
                <w:rFonts w:cs="Arial"/>
                <w:szCs w:val="22"/>
              </w:rPr>
            </w:pPr>
            <w:r>
              <w:rPr>
                <w:rFonts w:cs="Arial"/>
                <w:noProof/>
                <w:szCs w:val="22"/>
                <w:lang w:val="en-CA" w:eastAsia="en-CA"/>
              </w:rPr>
              <w:pict>
                <v:shape id="_x0000_s1505" type="#_x0000_t202" style="position:absolute;left:0;text-align:left;margin-left:142.15pt;margin-top:6.4pt;width:152.85pt;height:76.35pt;z-index:251684352" strokecolor="#9bbb59" strokeweight="1pt">
                  <v:stroke dashstyle="dash"/>
                  <v:shadow color="#868686"/>
                  <v:textbox style="mso-next-textbox:#_x0000_s1505">
                    <w:txbxContent>
                      <w:p w:rsidR="00BF35A8" w:rsidRPr="009E3797" w:rsidRDefault="00BF35A8" w:rsidP="00052899">
                        <w:pPr>
                          <w:rPr>
                            <w:rFonts w:ascii="Calibri" w:hAnsi="Calibri"/>
                            <w:sz w:val="16"/>
                            <w:szCs w:val="16"/>
                            <w:lang w:val="en-US"/>
                          </w:rPr>
                        </w:pPr>
                        <w:r w:rsidRPr="009E3797">
                          <w:rPr>
                            <w:rFonts w:ascii="Calibri" w:hAnsi="Calibri"/>
                            <w:sz w:val="16"/>
                            <w:szCs w:val="16"/>
                          </w:rPr>
                          <w:t>EPI is integrated into the public health system under the Deputy Director Public Health (DDPH) and managed within the RHMT</w:t>
                        </w:r>
                        <w:r w:rsidRPr="00E27E8E">
                          <w:rPr>
                            <w:rFonts w:ascii="Calibri" w:hAnsi="Calibri"/>
                            <w:sz w:val="16"/>
                            <w:szCs w:val="16"/>
                          </w:rPr>
                          <w:t>.</w:t>
                        </w:r>
                        <w:r w:rsidRPr="009E3797">
                          <w:rPr>
                            <w:rFonts w:ascii="Calibri" w:hAnsi="Calibri"/>
                            <w:sz w:val="16"/>
                            <w:szCs w:val="16"/>
                            <w:lang w:val="en-US"/>
                          </w:rPr>
                          <w:t>The RHD will receive and transfer resources and funds to districts, assess district performance and monitor district activities</w:t>
                        </w:r>
                        <w:r w:rsidRPr="00E27E8E">
                          <w:rPr>
                            <w:rFonts w:ascii="Calibri" w:hAnsi="Calibri"/>
                            <w:sz w:val="16"/>
                            <w:szCs w:val="16"/>
                            <w:lang w:val="en-US"/>
                          </w:rPr>
                          <w:t xml:space="preserve"> under the GAVI/HSS</w:t>
                        </w:r>
                      </w:p>
                      <w:p w:rsidR="00BF35A8" w:rsidRDefault="00BF35A8"/>
                    </w:txbxContent>
                  </v:textbox>
                </v:shape>
              </w:pict>
            </w:r>
            <w:r>
              <w:rPr>
                <w:rFonts w:cs="Arial"/>
                <w:noProof/>
                <w:szCs w:val="22"/>
                <w:lang w:val="en-CA" w:eastAsia="en-CA"/>
              </w:rPr>
              <w:pict>
                <v:shape id="_x0000_s1477" type="#_x0000_t202" style="position:absolute;left:0;text-align:left;margin-left:-2.4pt;margin-top:2.75pt;width:127.5pt;height:28.55pt;z-index:251660800">
                  <v:textbox style="mso-next-textbox:#_x0000_s1477">
                    <w:txbxContent>
                      <w:p w:rsidR="00BF35A8" w:rsidRPr="009E3797" w:rsidRDefault="00BF35A8" w:rsidP="00052899">
                        <w:pPr>
                          <w:rPr>
                            <w:sz w:val="20"/>
                            <w:lang w:val="en-CA"/>
                          </w:rPr>
                        </w:pPr>
                        <w:r w:rsidRPr="009E3797">
                          <w:rPr>
                            <w:sz w:val="20"/>
                            <w:lang w:val="en-CA"/>
                          </w:rPr>
                          <w:t>Regional Health Directorates</w:t>
                        </w:r>
                      </w:p>
                    </w:txbxContent>
                  </v:textbox>
                </v:shape>
              </w:pict>
            </w:r>
          </w:p>
          <w:p w:rsidR="00052899" w:rsidRDefault="00B97BDB" w:rsidP="00052899">
            <w:pPr>
              <w:jc w:val="both"/>
              <w:rPr>
                <w:rFonts w:cs="Arial"/>
                <w:szCs w:val="22"/>
              </w:rPr>
            </w:pPr>
            <w:r>
              <w:rPr>
                <w:rFonts w:cs="Arial"/>
                <w:noProof/>
                <w:szCs w:val="22"/>
                <w:lang w:val="en-CA" w:eastAsia="en-CA"/>
              </w:rPr>
              <w:pict>
                <v:shape id="_x0000_s1506" type="#_x0000_t32" style="position:absolute;left:0;text-align:left;margin-left:126.85pt;margin-top:11.85pt;width:11.45pt;height:0;z-index:251685376" o:connectortype="straight">
                  <v:stroke dashstyle="dashDot"/>
                </v:shape>
              </w:pict>
            </w:r>
          </w:p>
          <w:p w:rsidR="00052899" w:rsidRDefault="00B97BDB" w:rsidP="00052899">
            <w:pPr>
              <w:jc w:val="both"/>
              <w:rPr>
                <w:rFonts w:cs="Arial"/>
                <w:szCs w:val="22"/>
              </w:rPr>
            </w:pPr>
            <w:r>
              <w:rPr>
                <w:rFonts w:cs="Arial"/>
                <w:noProof/>
                <w:szCs w:val="22"/>
                <w:lang w:val="en-CA" w:eastAsia="en-CA"/>
              </w:rPr>
              <w:pict>
                <v:shape id="_x0000_s1495" type="#_x0000_t32" style="position:absolute;left:0;text-align:left;margin-left:385.95pt;margin-top:2.25pt;width:0;height:35.3pt;flip:y;z-index:251674112" o:connectortype="straight">
                  <v:stroke dashstyle="dash" endarrow="block"/>
                </v:shape>
              </w:pict>
            </w:r>
            <w:r>
              <w:rPr>
                <w:rFonts w:cs="Arial"/>
                <w:noProof/>
                <w:szCs w:val="22"/>
                <w:lang w:val="en-CA" w:eastAsia="en-CA"/>
              </w:rPr>
              <w:pict>
                <v:shape id="_x0000_s1485" type="#_x0000_t32" style="position:absolute;left:0;text-align:left;margin-left:345pt;margin-top:2.25pt;width:0;height:40.4pt;z-index:251667968" o:connectortype="straight">
                  <v:stroke endarrow="block"/>
                </v:shape>
              </w:pict>
            </w:r>
            <w:r>
              <w:rPr>
                <w:rFonts w:cs="Arial"/>
                <w:noProof/>
                <w:szCs w:val="22"/>
                <w:lang w:val="en-CA" w:eastAsia="en-CA"/>
              </w:rPr>
              <w:pict>
                <v:shape id="_x0000_s1484" type="#_x0000_t32" style="position:absolute;left:0;text-align:left;margin-left:55.5pt;margin-top:6pt;width:0;height:16.35pt;z-index:251666944" o:connectortype="straight">
                  <v:stroke endarrow="block"/>
                </v:shape>
              </w:pict>
            </w:r>
            <w:r>
              <w:rPr>
                <w:rFonts w:cs="Arial"/>
                <w:noProof/>
                <w:szCs w:val="22"/>
                <w:lang w:val="en-CA" w:eastAsia="en-CA"/>
              </w:rPr>
              <w:pict>
                <v:shape id="_x0000_s1493" type="#_x0000_t32" style="position:absolute;left:0;text-align:left;margin-left:84.75pt;margin-top:6pt;width:.05pt;height:16.35pt;flip:y;z-index:251672064" o:connectortype="straight">
                  <v:stroke dashstyle="dash" endarrow="block"/>
                </v:shape>
              </w:pict>
            </w:r>
          </w:p>
          <w:p w:rsidR="00052899" w:rsidRDefault="00B97BDB" w:rsidP="00052899">
            <w:pPr>
              <w:jc w:val="both"/>
              <w:rPr>
                <w:rFonts w:cs="Arial"/>
                <w:szCs w:val="22"/>
              </w:rPr>
            </w:pPr>
            <w:r>
              <w:rPr>
                <w:rFonts w:cs="Arial"/>
                <w:noProof/>
                <w:szCs w:val="22"/>
                <w:lang w:val="en-CA" w:eastAsia="en-CA"/>
              </w:rPr>
              <w:pict>
                <v:shape id="_x0000_s1478" type="#_x0000_t202" style="position:absolute;left:0;text-align:left;margin-left:-4.85pt;margin-top:9.7pt;width:127.5pt;height:50.25pt;z-index:251661824">
                  <v:textbox style="mso-next-textbox:#_x0000_s1478">
                    <w:txbxContent>
                      <w:p w:rsidR="00BF35A8" w:rsidRPr="009E3797" w:rsidRDefault="00BF35A8" w:rsidP="00052899">
                        <w:pPr>
                          <w:rPr>
                            <w:sz w:val="20"/>
                            <w:lang w:val="en-CA"/>
                          </w:rPr>
                        </w:pPr>
                        <w:r w:rsidRPr="009E3797">
                          <w:rPr>
                            <w:sz w:val="20"/>
                            <w:lang w:val="en-CA"/>
                          </w:rPr>
                          <w:t>District Health Directorates/Sub Districts</w:t>
                        </w:r>
                      </w:p>
                    </w:txbxContent>
                  </v:textbox>
                </v:shape>
              </w:pict>
            </w:r>
          </w:p>
          <w:p w:rsidR="00052899" w:rsidRDefault="00052899" w:rsidP="00052899">
            <w:pPr>
              <w:jc w:val="both"/>
              <w:rPr>
                <w:rFonts w:cs="Arial"/>
                <w:szCs w:val="22"/>
              </w:rPr>
            </w:pPr>
          </w:p>
          <w:p w:rsidR="00052899" w:rsidRDefault="00B97BDB" w:rsidP="00052899">
            <w:pPr>
              <w:jc w:val="both"/>
              <w:rPr>
                <w:rFonts w:cs="Arial"/>
                <w:szCs w:val="22"/>
              </w:rPr>
            </w:pPr>
            <w:r>
              <w:rPr>
                <w:rFonts w:cs="Arial"/>
                <w:noProof/>
                <w:szCs w:val="22"/>
                <w:lang w:val="en-CA" w:eastAsia="en-CA"/>
              </w:rPr>
              <w:pict>
                <v:shape id="_x0000_s1479" type="#_x0000_t202" style="position:absolute;left:0;text-align:left;margin-left:310.1pt;margin-top:4.7pt;width:143.25pt;height:40.5pt;z-index:251662848">
                  <v:textbox style="mso-next-textbox:#_x0000_s1479">
                    <w:txbxContent>
                      <w:p w:rsidR="00BF35A8" w:rsidRDefault="00BF35A8" w:rsidP="00052899">
                        <w:pPr>
                          <w:rPr>
                            <w:lang w:val="en-CA"/>
                          </w:rPr>
                        </w:pPr>
                        <w:r>
                          <w:rPr>
                            <w:lang w:val="en-CA"/>
                          </w:rPr>
                          <w:t>Districts/Communities</w:t>
                        </w:r>
                      </w:p>
                      <w:p w:rsidR="00BF35A8" w:rsidRPr="009E3797" w:rsidRDefault="00BF35A8" w:rsidP="00052899">
                        <w:pPr>
                          <w:rPr>
                            <w:lang w:val="en-CA"/>
                          </w:rPr>
                        </w:pPr>
                        <w:r>
                          <w:rPr>
                            <w:lang w:val="en-CA"/>
                          </w:rPr>
                          <w:t>(Satellite Communities)</w:t>
                        </w:r>
                      </w:p>
                    </w:txbxContent>
                  </v:textbox>
                </v:shape>
              </w:pict>
            </w:r>
          </w:p>
          <w:p w:rsidR="00052899" w:rsidRDefault="00052899" w:rsidP="00052899">
            <w:pPr>
              <w:jc w:val="both"/>
              <w:rPr>
                <w:rFonts w:cs="Arial"/>
                <w:szCs w:val="22"/>
              </w:rPr>
            </w:pPr>
          </w:p>
          <w:p w:rsidR="00052899" w:rsidRDefault="00B97BDB" w:rsidP="00052899">
            <w:pPr>
              <w:jc w:val="both"/>
              <w:rPr>
                <w:rFonts w:cs="Arial"/>
                <w:szCs w:val="22"/>
              </w:rPr>
            </w:pPr>
            <w:r>
              <w:rPr>
                <w:rFonts w:cs="Arial"/>
                <w:noProof/>
                <w:szCs w:val="22"/>
                <w:lang w:val="en-CA" w:eastAsia="en-CA"/>
              </w:rPr>
              <w:pict>
                <v:shape id="_x0000_s1494" type="#_x0000_t32" style="position:absolute;left:0;text-align:left;margin-left:122.65pt;margin-top:-.05pt;width:187.45pt;height:.05pt;flip:x;z-index:251673088" o:connectortype="straight">
                  <v:stroke dashstyle="dash" endarrow="block"/>
                </v:shape>
              </w:pict>
            </w:r>
            <w:r>
              <w:rPr>
                <w:rFonts w:cs="Arial"/>
                <w:noProof/>
                <w:szCs w:val="22"/>
                <w:lang w:val="en-CA" w:eastAsia="en-CA"/>
              </w:rPr>
              <w:pict>
                <v:shape id="_x0000_s1511" type="#_x0000_t32" style="position:absolute;left:0;text-align:left;margin-left:107.2pt;margin-top:11.65pt;width:0;height:8.25pt;z-index:251688448" o:connectortype="straight">
                  <v:stroke dashstyle="dashDot"/>
                </v:shape>
              </w:pict>
            </w:r>
          </w:p>
          <w:p w:rsidR="00052899" w:rsidRPr="00B40A7C" w:rsidRDefault="00B97BDB" w:rsidP="00052899">
            <w:pPr>
              <w:jc w:val="both"/>
              <w:rPr>
                <w:rFonts w:cs="Arial"/>
                <w:szCs w:val="22"/>
              </w:rPr>
            </w:pPr>
            <w:r>
              <w:rPr>
                <w:rFonts w:cs="Arial"/>
                <w:noProof/>
                <w:szCs w:val="22"/>
                <w:lang w:val="en-CA" w:eastAsia="en-CA"/>
              </w:rPr>
              <w:pict>
                <v:shape id="_x0000_s1521" type="#_x0000_t202" style="position:absolute;left:0;text-align:left;margin-left:5.5pt;margin-top:4.55pt;width:229pt;height:66.5pt;z-index:251695616" strokecolor="#9bbb59" strokeweight="1pt">
                  <v:stroke dashstyle="dash"/>
                  <v:shadow color="#868686"/>
                  <v:textbox style="mso-next-textbox:#_x0000_s1521">
                    <w:txbxContent>
                      <w:p w:rsidR="00BF35A8" w:rsidRPr="009E3797" w:rsidRDefault="00BF35A8" w:rsidP="00052899">
                        <w:pPr>
                          <w:pStyle w:val="Heading5"/>
                          <w:ind w:left="0" w:firstLine="0"/>
                          <w:rPr>
                            <w:rFonts w:ascii="Calibri" w:hAnsi="Calibri"/>
                            <w:sz w:val="16"/>
                            <w:szCs w:val="16"/>
                          </w:rPr>
                        </w:pPr>
                        <w:r>
                          <w:rPr>
                            <w:rFonts w:ascii="Calibri" w:hAnsi="Calibri"/>
                            <w:sz w:val="16"/>
                            <w:szCs w:val="16"/>
                          </w:rPr>
                          <w:t>At the District level, t</w:t>
                        </w:r>
                        <w:r w:rsidRPr="009E3797">
                          <w:rPr>
                            <w:rFonts w:ascii="Calibri" w:hAnsi="Calibri"/>
                            <w:sz w:val="16"/>
                            <w:szCs w:val="16"/>
                          </w:rPr>
                          <w:t>he Disease Control Technical Officers and District Public Health Nurses are primary responsible for EPI activities in the districts.</w:t>
                        </w:r>
                        <w:r>
                          <w:rPr>
                            <w:rFonts w:ascii="Calibri" w:hAnsi="Calibri"/>
                            <w:sz w:val="16"/>
                            <w:szCs w:val="16"/>
                          </w:rPr>
                          <w:t xml:space="preserve"> </w:t>
                        </w:r>
                        <w:r w:rsidRPr="009E3797">
                          <w:rPr>
                            <w:rFonts w:ascii="Calibri" w:hAnsi="Calibri"/>
                            <w:sz w:val="16"/>
                            <w:szCs w:val="16"/>
                          </w:rPr>
                          <w:t>The DHMT plan, implement and monitor immunization activities. They also collect activity reports from the sub-districts and summarize them for transmission to the regional level through DHIMS.</w:t>
                        </w:r>
                      </w:p>
                      <w:p w:rsidR="00BF35A8" w:rsidRDefault="00BF35A8" w:rsidP="00052899"/>
                    </w:txbxContent>
                  </v:textbox>
                </v:shape>
              </w:pict>
            </w:r>
          </w:p>
          <w:p w:rsidR="00052899" w:rsidRPr="00B40A7C" w:rsidRDefault="00B97BDB" w:rsidP="00052899">
            <w:pPr>
              <w:jc w:val="both"/>
              <w:rPr>
                <w:rFonts w:cs="Arial"/>
                <w:szCs w:val="22"/>
              </w:rPr>
            </w:pPr>
            <w:r>
              <w:rPr>
                <w:rFonts w:cs="Arial"/>
                <w:noProof/>
                <w:szCs w:val="22"/>
                <w:lang w:val="en-CA" w:eastAsia="en-CA"/>
              </w:rPr>
              <w:pict>
                <v:shape id="_x0000_s1498" type="#_x0000_t202" style="position:absolute;left:0;text-align:left;margin-left:245.65pt;margin-top:4.65pt;width:216.85pt;height:62.25pt;z-index:251677184" stroked="f">
                  <v:textbox style="mso-next-textbox:#_x0000_s1498">
                    <w:txbxContent>
                      <w:p w:rsidR="00BF35A8" w:rsidRPr="009E3797" w:rsidRDefault="00BF35A8">
                        <w:pPr>
                          <w:rPr>
                            <w:b/>
                            <w:sz w:val="18"/>
                            <w:szCs w:val="18"/>
                            <w:lang w:val="en-CA"/>
                          </w:rPr>
                        </w:pPr>
                      </w:p>
                      <w:p w:rsidR="00BF35A8" w:rsidRPr="009E3797" w:rsidRDefault="00BF35A8">
                        <w:pPr>
                          <w:rPr>
                            <w:b/>
                            <w:sz w:val="18"/>
                            <w:szCs w:val="18"/>
                            <w:lang w:val="en-CA"/>
                          </w:rPr>
                        </w:pPr>
                        <w:r w:rsidRPr="009E3797">
                          <w:rPr>
                            <w:b/>
                            <w:sz w:val="18"/>
                            <w:szCs w:val="18"/>
                            <w:lang w:val="en-CA"/>
                          </w:rPr>
                          <w:t>Key</w:t>
                        </w:r>
                      </w:p>
                      <w:p w:rsidR="00BF35A8" w:rsidRPr="009E3797" w:rsidRDefault="00BF35A8" w:rsidP="00052899">
                        <w:pPr>
                          <w:ind w:left="720" w:firstLine="720"/>
                          <w:rPr>
                            <w:sz w:val="18"/>
                            <w:szCs w:val="18"/>
                            <w:lang w:val="en-CA"/>
                          </w:rPr>
                        </w:pPr>
                        <w:r w:rsidRPr="009E3797">
                          <w:rPr>
                            <w:sz w:val="18"/>
                            <w:szCs w:val="18"/>
                            <w:lang w:val="en-CA"/>
                          </w:rPr>
                          <w:t xml:space="preserve"> Implementation coordination</w:t>
                        </w:r>
                      </w:p>
                      <w:p w:rsidR="00BF35A8" w:rsidRPr="009E3797" w:rsidRDefault="00BF35A8" w:rsidP="00052899">
                        <w:pPr>
                          <w:ind w:left="720" w:firstLine="720"/>
                          <w:rPr>
                            <w:sz w:val="18"/>
                            <w:szCs w:val="18"/>
                            <w:lang w:val="en-CA"/>
                          </w:rPr>
                        </w:pPr>
                        <w:r w:rsidRPr="009E3797">
                          <w:rPr>
                            <w:sz w:val="18"/>
                            <w:szCs w:val="18"/>
                            <w:lang w:val="en-CA"/>
                          </w:rPr>
                          <w:t xml:space="preserve">Reporting </w:t>
                        </w:r>
                      </w:p>
                      <w:p w:rsidR="00BF35A8" w:rsidRPr="009E3797" w:rsidRDefault="00BF35A8" w:rsidP="00052899">
                        <w:pPr>
                          <w:ind w:left="720" w:firstLine="720"/>
                          <w:rPr>
                            <w:sz w:val="18"/>
                            <w:szCs w:val="18"/>
                            <w:lang w:val="en-CA"/>
                          </w:rPr>
                        </w:pPr>
                        <w:r w:rsidRPr="009E3797">
                          <w:rPr>
                            <w:sz w:val="18"/>
                            <w:szCs w:val="18"/>
                            <w:lang w:val="en-CA"/>
                          </w:rPr>
                          <w:t>Administrative function</w:t>
                        </w:r>
                      </w:p>
                    </w:txbxContent>
                  </v:textbox>
                </v:shape>
              </w:pict>
            </w:r>
          </w:p>
          <w:p w:rsidR="00052899" w:rsidRDefault="00052899" w:rsidP="00052899">
            <w:pPr>
              <w:jc w:val="both"/>
              <w:rPr>
                <w:rFonts w:cs="Arial"/>
                <w:szCs w:val="22"/>
              </w:rPr>
            </w:pPr>
          </w:p>
          <w:p w:rsidR="00052899" w:rsidRDefault="00B97BDB" w:rsidP="00052899">
            <w:pPr>
              <w:jc w:val="both"/>
              <w:rPr>
                <w:rFonts w:cs="Arial"/>
                <w:szCs w:val="22"/>
              </w:rPr>
            </w:pPr>
            <w:r>
              <w:rPr>
                <w:rFonts w:cs="Arial"/>
                <w:noProof/>
                <w:szCs w:val="22"/>
                <w:lang w:val="en-CA" w:eastAsia="en-CA"/>
              </w:rPr>
              <w:pict>
                <v:shape id="_x0000_s1499" type="#_x0000_t32" style="position:absolute;left:0;text-align:left;margin-left:247.45pt;margin-top:8.05pt;width:59.25pt;height:0;z-index:251678208" o:connectortype="straight">
                  <v:stroke endarrow="block"/>
                </v:shape>
              </w:pict>
            </w:r>
          </w:p>
          <w:p w:rsidR="00052899" w:rsidRDefault="00B97BDB" w:rsidP="00052899">
            <w:pPr>
              <w:jc w:val="both"/>
              <w:rPr>
                <w:rFonts w:cs="Arial"/>
                <w:szCs w:val="22"/>
              </w:rPr>
            </w:pPr>
            <w:r>
              <w:rPr>
                <w:rFonts w:cs="Arial"/>
                <w:noProof/>
                <w:szCs w:val="22"/>
                <w:lang w:val="en-CA" w:eastAsia="en-CA"/>
              </w:rPr>
              <w:pict>
                <v:shape id="_x0000_s1500" type="#_x0000_t32" style="position:absolute;left:0;text-align:left;margin-left:247.7pt;margin-top:6.5pt;width:59.25pt;height:0;z-index:251679232" o:connectortype="straight">
                  <v:stroke dashstyle="dash" endarrow="block"/>
                </v:shape>
              </w:pict>
            </w:r>
          </w:p>
          <w:p w:rsidR="00052899" w:rsidRDefault="00052899" w:rsidP="00052899">
            <w:pPr>
              <w:jc w:val="both"/>
              <w:rPr>
                <w:rFonts w:cs="Arial"/>
                <w:szCs w:val="22"/>
              </w:rPr>
            </w:pPr>
          </w:p>
          <w:p w:rsidR="00052899" w:rsidRDefault="00B97BDB" w:rsidP="00052899">
            <w:pPr>
              <w:jc w:val="both"/>
              <w:rPr>
                <w:rFonts w:cs="Arial"/>
                <w:szCs w:val="22"/>
              </w:rPr>
            </w:pPr>
            <w:r>
              <w:rPr>
                <w:rFonts w:cs="Arial"/>
                <w:noProof/>
                <w:szCs w:val="22"/>
                <w:lang w:val="en-CA" w:eastAsia="en-CA"/>
              </w:rPr>
              <w:pict>
                <v:shape id="_x0000_s1508" type="#_x0000_t32" style="position:absolute;left:0;text-align:left;margin-left:250.85pt;margin-top:5.75pt;width:55.85pt;height:0;z-index:251686400" o:connectortype="straight">
                  <v:stroke dashstyle="longDashDotDot"/>
                </v:shape>
              </w:pict>
            </w:r>
            <w:r w:rsidR="00052899">
              <w:rPr>
                <w:rFonts w:cs="Arial"/>
                <w:szCs w:val="22"/>
              </w:rPr>
              <w:t>Figure 2: implementation arrangements</w:t>
            </w:r>
          </w:p>
          <w:p w:rsidR="00052899" w:rsidRDefault="00052899">
            <w:pPr>
              <w:jc w:val="both"/>
              <w:rPr>
                <w:rFonts w:ascii="Times New Roman" w:hAnsi="Times New Roman"/>
              </w:rPr>
            </w:pPr>
          </w:p>
          <w:p w:rsidR="00052899" w:rsidRDefault="00052899">
            <w:pPr>
              <w:jc w:val="both"/>
              <w:rPr>
                <w:rFonts w:ascii="Times New Roman" w:hAnsi="Times New Roman"/>
              </w:rPr>
            </w:pPr>
          </w:p>
          <w:p w:rsidR="00052899" w:rsidRDefault="00052899">
            <w:pPr>
              <w:jc w:val="both"/>
              <w:rPr>
                <w:rFonts w:cs="Arial"/>
                <w:szCs w:val="22"/>
              </w:rPr>
            </w:pPr>
            <w:r w:rsidRPr="009E3797">
              <w:rPr>
                <w:rFonts w:cs="Arial"/>
                <w:szCs w:val="22"/>
              </w:rPr>
              <w:lastRenderedPageBreak/>
              <w:t>An Inter-Agency Coordinating Committee exists to monitor, provide advice, mobilize funds and provide some advocacy for joint activities in the area of Immunization.  The ICC membership include MoH/GHS, WHO, UNICEF, USAID, Red Cross,</w:t>
            </w:r>
            <w:r w:rsidRPr="009E3797">
              <w:rPr>
                <w:rFonts w:cs="Arial"/>
                <w:color w:val="000000"/>
                <w:szCs w:val="22"/>
              </w:rPr>
              <w:t xml:space="preserve"> Rotary International, </w:t>
            </w:r>
            <w:r w:rsidRPr="009E3797">
              <w:rPr>
                <w:rFonts w:cs="Arial"/>
                <w:szCs w:val="22"/>
              </w:rPr>
              <w:t>Noguchi Memorial Institute for Medical Research, Coalition of NGOs for Health, Rotary, Paediatric Society and other partners and government offices. Technical working groups are set up to prepare the topics for each meeting and oversee the implementation of prioritised interventions.</w:t>
            </w:r>
            <w:r>
              <w:rPr>
                <w:rFonts w:cs="Arial"/>
                <w:szCs w:val="22"/>
              </w:rPr>
              <w:t xml:space="preserve"> </w:t>
            </w:r>
            <w:r w:rsidRPr="009E3797">
              <w:rPr>
                <w:rFonts w:cs="Arial"/>
                <w:szCs w:val="22"/>
              </w:rPr>
              <w:t xml:space="preserve">These structures ensure effective coordination, monitoring and evaluation of programmatic and donor funding supports. Most of the entities within the health sector (PPMEDs of </w:t>
            </w:r>
            <w:r w:rsidR="00472AFA">
              <w:rPr>
                <w:rFonts w:cs="Arial"/>
                <w:szCs w:val="22"/>
              </w:rPr>
              <w:t>MOH</w:t>
            </w:r>
            <w:r w:rsidR="00716E55">
              <w:rPr>
                <w:rFonts w:cs="Arial"/>
                <w:szCs w:val="22"/>
              </w:rPr>
              <w:t xml:space="preserve"> </w:t>
            </w:r>
            <w:r w:rsidRPr="009E3797">
              <w:rPr>
                <w:rFonts w:cs="Arial"/>
                <w:szCs w:val="22"/>
              </w:rPr>
              <w:t xml:space="preserve">and GHS, Finance Divisions of </w:t>
            </w:r>
            <w:r w:rsidR="00472AFA">
              <w:rPr>
                <w:rFonts w:cs="Arial"/>
                <w:szCs w:val="22"/>
              </w:rPr>
              <w:t>MOH</w:t>
            </w:r>
            <w:r w:rsidR="00716E55">
              <w:rPr>
                <w:rFonts w:cs="Arial"/>
                <w:szCs w:val="22"/>
              </w:rPr>
              <w:t xml:space="preserve"> </w:t>
            </w:r>
            <w:r w:rsidRPr="009E3797">
              <w:rPr>
                <w:rFonts w:cs="Arial"/>
                <w:szCs w:val="22"/>
              </w:rPr>
              <w:t>and GHS, Family Health Division and Public Health Divisions of GHS, and CHAG</w:t>
            </w:r>
            <w:r w:rsidR="00716E55">
              <w:rPr>
                <w:rFonts w:cs="Arial"/>
                <w:szCs w:val="22"/>
              </w:rPr>
              <w:t>)</w:t>
            </w:r>
            <w:r w:rsidRPr="009E3797">
              <w:rPr>
                <w:rFonts w:cs="Arial"/>
                <w:szCs w:val="22"/>
              </w:rPr>
              <w:t xml:space="preserve"> are part of the technical working groups which participate in the development of grant proposals for most health initiatives like GAVI</w:t>
            </w:r>
            <w:r>
              <w:rPr>
                <w:rFonts w:cs="Arial"/>
                <w:szCs w:val="22"/>
              </w:rPr>
              <w:t>/HSS</w:t>
            </w:r>
            <w:r w:rsidRPr="009E3797">
              <w:rPr>
                <w:rFonts w:cs="Arial"/>
                <w:szCs w:val="22"/>
              </w:rPr>
              <w:t xml:space="preserve"> and GFATM for malaria, and other programmes, and MDG Accelerat</w:t>
            </w:r>
            <w:r>
              <w:rPr>
                <w:rFonts w:cs="Arial"/>
                <w:szCs w:val="22"/>
              </w:rPr>
              <w:t>ion</w:t>
            </w:r>
            <w:r w:rsidRPr="009E3797">
              <w:rPr>
                <w:rFonts w:cs="Arial"/>
                <w:szCs w:val="22"/>
              </w:rPr>
              <w:t xml:space="preserve"> Framework (MAF) for maternal health. Concerted efforts have been made to ensure that activities under these grants are synchronised as much as possible to minimise duplication of efforts. Development Partners, Coalition of NGOs in Health and Private Health Service Association of Ghana are also represented on the grant writing technical working groups. As part of agreed sector process, grant executing agencies report on progress during annual health summits. Prior to the holding of Business Meetings, joint MOH-DPs </w:t>
            </w:r>
            <w:r>
              <w:rPr>
                <w:rFonts w:cs="Arial"/>
                <w:szCs w:val="22"/>
              </w:rPr>
              <w:t>m</w:t>
            </w:r>
            <w:r w:rsidRPr="009E3797">
              <w:rPr>
                <w:rFonts w:cs="Arial"/>
                <w:szCs w:val="22"/>
              </w:rPr>
              <w:t xml:space="preserve">onitoring </w:t>
            </w:r>
            <w:r>
              <w:rPr>
                <w:rFonts w:cs="Arial"/>
                <w:szCs w:val="22"/>
              </w:rPr>
              <w:t>v</w:t>
            </w:r>
            <w:r w:rsidRPr="009E3797">
              <w:rPr>
                <w:rFonts w:cs="Arial"/>
                <w:szCs w:val="22"/>
              </w:rPr>
              <w:t>isits are organised as part of the review</w:t>
            </w:r>
            <w:r w:rsidRPr="00B40A7C">
              <w:rPr>
                <w:rFonts w:cs="Arial"/>
                <w:szCs w:val="22"/>
              </w:rPr>
              <w:t xml:space="preserve"> process to peripheral areas in regions and districts to monitor progress in agreed implementation areas. The findings of these monitoring visits are factored into discussions with appropriate actions and recommendations made. The </w:t>
            </w:r>
            <w:r>
              <w:rPr>
                <w:rFonts w:cs="Arial"/>
                <w:szCs w:val="22"/>
              </w:rPr>
              <w:t xml:space="preserve">composition of the </w:t>
            </w:r>
            <w:r w:rsidRPr="00B40A7C">
              <w:rPr>
                <w:rFonts w:cs="Arial"/>
                <w:szCs w:val="22"/>
              </w:rPr>
              <w:t xml:space="preserve">membership </w:t>
            </w:r>
            <w:r>
              <w:rPr>
                <w:rFonts w:cs="Arial"/>
                <w:szCs w:val="22"/>
              </w:rPr>
              <w:t xml:space="preserve">for the monitoring visits </w:t>
            </w:r>
            <w:r w:rsidRPr="00B40A7C">
              <w:rPr>
                <w:rFonts w:cs="Arial"/>
                <w:szCs w:val="22"/>
              </w:rPr>
              <w:t>covers NGOs and members of parliamentary select committee on health.</w:t>
            </w:r>
          </w:p>
          <w:p w:rsidR="00052899" w:rsidRDefault="00052899" w:rsidP="00052899">
            <w:pPr>
              <w:jc w:val="both"/>
              <w:rPr>
                <w:rFonts w:cs="Arial"/>
                <w:szCs w:val="22"/>
              </w:rPr>
            </w:pPr>
          </w:p>
          <w:p w:rsidR="00052899" w:rsidRDefault="00052899" w:rsidP="00052899">
            <w:pPr>
              <w:tabs>
                <w:tab w:val="left" w:pos="720"/>
              </w:tabs>
              <w:spacing w:after="240"/>
              <w:jc w:val="both"/>
              <w:rPr>
                <w:color w:val="000000"/>
              </w:rPr>
            </w:pPr>
            <w:r w:rsidRPr="009E3797">
              <w:t>As employed in the previous GAVI support</w:t>
            </w:r>
            <w:r>
              <w:t>,</w:t>
            </w:r>
            <w:r w:rsidRPr="009E3797">
              <w:t xml:space="preserve"> the GHS PPMED will continue to provide secretariat support for the implementation and will have a focal person to be responsible for overall GAVI/HSS activities at the agency level. The PPMED will also perform the monitoring and evaluation role during implementation. </w:t>
            </w:r>
            <w:r>
              <w:t>T</w:t>
            </w:r>
            <w:r w:rsidRPr="009E3797">
              <w:t>he proposed activities will form part of overall medium term and annual work plan of the agency and shall be subjected to the agency</w:t>
            </w:r>
            <w:r>
              <w:t>’s</w:t>
            </w:r>
            <w:r w:rsidRPr="009E3797">
              <w:t xml:space="preserve"> rules and guidance on updates and reporting of activities.</w:t>
            </w:r>
            <w:r>
              <w:t xml:space="preserve"> </w:t>
            </w:r>
            <w:r w:rsidRPr="009E3797">
              <w:t xml:space="preserve">At the regional level, the Regional Director of Health Service (RDHS) shall be responsible for the implementation and monitoring of activities. The GAVI/HSS activities at the regional level will be part of the </w:t>
            </w:r>
            <w:r>
              <w:t>MTEF</w:t>
            </w:r>
            <w:r w:rsidRPr="009E3797">
              <w:t xml:space="preserve"> plan at that level. Progress of implementation will be discussed during periodic Regional Health Management Team Meetings</w:t>
            </w:r>
            <w:r>
              <w:t xml:space="preserve"> (</w:t>
            </w:r>
            <w:r w:rsidRPr="009E3797">
              <w:t>quarterly, half year and annual</w:t>
            </w:r>
            <w:r>
              <w:t>)</w:t>
            </w:r>
            <w:r w:rsidRPr="009E3797">
              <w:t>.The District Health Management Teams will coordinate the preparation and implementation of activities at that level. This will include the provision of technical guidance and leadership for implementation and monitoring at the CHPS level through the sub-district. The community-based interventions will be supervised by the sub-district health team</w:t>
            </w:r>
            <w:r>
              <w:t>s</w:t>
            </w:r>
            <w:r w:rsidRPr="009E3797">
              <w:t xml:space="preserve">. </w:t>
            </w:r>
          </w:p>
          <w:p w:rsidR="00052899" w:rsidRPr="009E3797" w:rsidRDefault="00052899" w:rsidP="00052899">
            <w:pPr>
              <w:tabs>
                <w:tab w:val="left" w:pos="720"/>
              </w:tabs>
              <w:spacing w:after="240"/>
              <w:jc w:val="both"/>
              <w:rPr>
                <w:color w:val="000000"/>
              </w:rPr>
            </w:pPr>
            <w:r w:rsidRPr="009E3797">
              <w:t xml:space="preserve">The GCNH will coordinate and monitor activities of NGOs that will be involved in the implementation of community level interventions in targeted deprived and hard to reach areas. GCNH will engage collaboratively with the district health management teams and report progress of implementation in periodic meeting that will be organised at that level. The GCNH will therefore report progress to the </w:t>
            </w:r>
            <w:r>
              <w:t>GHS</w:t>
            </w:r>
            <w:r w:rsidRPr="009E3797">
              <w:t xml:space="preserve"> through to the MoH. Their report will be an integral part of the annual progress report that will be submitted to GAVI secretariat. </w:t>
            </w:r>
          </w:p>
        </w:tc>
      </w:tr>
    </w:tbl>
    <w:p w:rsidR="00052899" w:rsidRDefault="00052899" w:rsidP="00052899">
      <w:pPr>
        <w:spacing w:after="200" w:line="276" w:lineRule="auto"/>
        <w:jc w:val="both"/>
        <w:rPr>
          <w:rFonts w:cs="Arial"/>
          <w:szCs w:val="22"/>
        </w:rPr>
      </w:pPr>
    </w:p>
    <w:p w:rsidR="00052899" w:rsidRDefault="00052899" w:rsidP="00052899">
      <w:pPr>
        <w:spacing w:after="200" w:line="276" w:lineRule="auto"/>
        <w:jc w:val="both"/>
        <w:rPr>
          <w:rFonts w:cs="Arial"/>
          <w:szCs w:val="22"/>
        </w:rPr>
      </w:pPr>
    </w:p>
    <w:p w:rsidR="00052899" w:rsidRPr="00B40A7C" w:rsidRDefault="00052899" w:rsidP="00052899">
      <w:pPr>
        <w:spacing w:after="200" w:line="276" w:lineRule="auto"/>
        <w:jc w:val="both"/>
        <w:rPr>
          <w:rFonts w:cs="Arial"/>
          <w:szCs w:val="22"/>
        </w:rPr>
      </w:pPr>
    </w:p>
    <w:tbl>
      <w:tblPr>
        <w:tblW w:w="5000" w:type="pct"/>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9576"/>
      </w:tblGrid>
      <w:tr w:rsidR="00052899" w:rsidRPr="00B40A7C">
        <w:tc>
          <w:tcPr>
            <w:tcW w:w="5000" w:type="pct"/>
            <w:tcBorders>
              <w:bottom w:val="single" w:sz="6" w:space="0" w:color="215868"/>
            </w:tcBorders>
            <w:shd w:val="clear" w:color="auto" w:fill="006460"/>
          </w:tcPr>
          <w:p w:rsidR="00052899" w:rsidRDefault="00052899" w:rsidP="00052899">
            <w:pPr>
              <w:pStyle w:val="Heading1"/>
              <w:rPr>
                <w:rFonts w:cs="Arial"/>
                <w:szCs w:val="22"/>
              </w:rPr>
            </w:pPr>
            <w:bookmarkStart w:id="651" w:name="_Toc346116652"/>
            <w:bookmarkStart w:id="652" w:name="_Toc357677800"/>
            <w:bookmarkStart w:id="653" w:name="_Toc369498574"/>
            <w:bookmarkStart w:id="654" w:name="_Toc377545409"/>
            <w:r w:rsidRPr="00291E76">
              <w:lastRenderedPageBreak/>
              <w:t>19. Involvement of CSOs</w:t>
            </w:r>
            <w:bookmarkEnd w:id="651"/>
            <w:bookmarkEnd w:id="652"/>
            <w:bookmarkEnd w:id="653"/>
            <w:bookmarkEnd w:id="654"/>
            <w:r w:rsidRPr="00B40A7C">
              <w:rPr>
                <w:rFonts w:cs="Arial"/>
                <w:szCs w:val="22"/>
              </w:rPr>
              <w:t xml:space="preserve">    </w:t>
            </w:r>
          </w:p>
        </w:tc>
      </w:tr>
      <w:tr w:rsidR="00052899" w:rsidRPr="006F2146">
        <w:trPr>
          <w:trHeight w:val="278"/>
        </w:trPr>
        <w:tc>
          <w:tcPr>
            <w:tcW w:w="5000" w:type="pct"/>
            <w:shd w:val="clear" w:color="auto" w:fill="FFFFFF"/>
          </w:tcPr>
          <w:p w:rsidR="0087690B" w:rsidRPr="006F2146" w:rsidRDefault="0087690B" w:rsidP="0087690B">
            <w:pPr>
              <w:jc w:val="both"/>
              <w:rPr>
                <w:rFonts w:cs="Arial"/>
                <w:szCs w:val="22"/>
              </w:rPr>
            </w:pPr>
            <w:r w:rsidRPr="006F2146">
              <w:rPr>
                <w:rFonts w:cs="Arial"/>
                <w:szCs w:val="22"/>
              </w:rPr>
              <w:t xml:space="preserve">The Ghana Coalition of NGOs in Health (GCNH) is an umbrella and coordinating body of activities of all registered member NGOs/CBOs in the health sector in Ghana. GCNH is guided by core values including transparency, empowerment, accountability, non discrimination, non-partisan social justice, respect for human rights and gender equity. GCNH was set up in the year 2000 with a membership of over 500 registered NGO/CSOs/CBOs throughout the regions and districts in Ghana. Our members are into the various health thematic areas in service delivery and right based advocacy to ensure quality, equity and universal health care for all especially the poor in Ghana. </w:t>
            </w:r>
          </w:p>
          <w:p w:rsidR="006F2146" w:rsidRDefault="006F2146" w:rsidP="0087690B">
            <w:pPr>
              <w:jc w:val="both"/>
              <w:rPr>
                <w:rFonts w:cs="Arial"/>
                <w:szCs w:val="22"/>
              </w:rPr>
            </w:pPr>
          </w:p>
          <w:p w:rsidR="0087690B" w:rsidRPr="006F2146" w:rsidRDefault="0087690B" w:rsidP="0087690B">
            <w:pPr>
              <w:jc w:val="both"/>
              <w:rPr>
                <w:rFonts w:cs="Arial"/>
                <w:szCs w:val="22"/>
              </w:rPr>
            </w:pPr>
            <w:r w:rsidRPr="006F2146">
              <w:rPr>
                <w:rFonts w:cs="Arial"/>
                <w:szCs w:val="22"/>
              </w:rPr>
              <w:t xml:space="preserve">Over the past 4 years GCNH through its members at the grass root level have supported marginalised communities including men and women in understanding the importance and accepting immunisation services. Member organisations who have acquired both technical and indigenous knowledge and experience as a result of community engagement in the delivery of immunisation services through the implementation of the GAVI CSO Type B funding will play a key role. As lead implementers they will work with other NGOS and CBOs in the delivery of immunisation services. Such organisations will include but not limited to Hope for Future Generations, Seek to Save and Future Generation International just to mention a few. The Coalition </w:t>
            </w:r>
            <w:r w:rsidR="00364D77" w:rsidRPr="006F2146">
              <w:rPr>
                <w:rFonts w:cs="Arial"/>
                <w:szCs w:val="22"/>
              </w:rPr>
              <w:t xml:space="preserve">and it members are represented on the </w:t>
            </w:r>
            <w:r w:rsidR="00A64785">
              <w:rPr>
                <w:rFonts w:cs="Arial"/>
                <w:szCs w:val="22"/>
              </w:rPr>
              <w:t>HSCC</w:t>
            </w:r>
            <w:r w:rsidR="00364D77" w:rsidRPr="006F2146">
              <w:rPr>
                <w:rFonts w:cs="Arial"/>
                <w:szCs w:val="22"/>
              </w:rPr>
              <w:t xml:space="preserve"> and </w:t>
            </w:r>
            <w:r w:rsidRPr="006F2146">
              <w:rPr>
                <w:rFonts w:cs="Arial"/>
                <w:szCs w:val="22"/>
              </w:rPr>
              <w:t xml:space="preserve">has been very active in Inter-Coordinating Committee (ICC) which is responsible for immunization in Ghana and has used this platform to advocate for the involvement of its members in the regions and districts in immunization activities especially in community mobilization and education. </w:t>
            </w:r>
          </w:p>
          <w:p w:rsidR="006F2146" w:rsidRDefault="006F2146" w:rsidP="0087690B">
            <w:pPr>
              <w:jc w:val="both"/>
              <w:rPr>
                <w:rFonts w:cs="Arial"/>
                <w:szCs w:val="22"/>
              </w:rPr>
            </w:pPr>
          </w:p>
          <w:p w:rsidR="0087690B" w:rsidRPr="006F2146" w:rsidRDefault="0087690B" w:rsidP="0087690B">
            <w:pPr>
              <w:jc w:val="both"/>
              <w:rPr>
                <w:rFonts w:cs="Arial"/>
                <w:szCs w:val="22"/>
              </w:rPr>
            </w:pPr>
            <w:r w:rsidRPr="006F2146">
              <w:rPr>
                <w:rFonts w:cs="Arial"/>
                <w:szCs w:val="22"/>
              </w:rPr>
              <w:t>GCNH and its members are committed to the principles of equality and diversity and aims to promote more equitable development processes in its project. It has adopted the Gender Equality and Social Inclusion (GESI) strategy to integrate gender and inclusion perspectives at both the organisational and project implementation level. It acknowledges the diversity among women, and other marginalised groups, and that specific focus and intervention is sometimes necessary to target their interests and needs. The commitment is evident in GCNH areas of focus which is service delivery at the district/community level and advocating strongly for the voiceless and holding government accountable on its promise to deliver quality health for all since there has been a growing realization that not all women and men benefit equally from health care in the country.</w:t>
            </w:r>
          </w:p>
          <w:p w:rsidR="00052899" w:rsidRPr="006F2146" w:rsidRDefault="00364D77" w:rsidP="00364D77">
            <w:pPr>
              <w:spacing w:before="120" w:after="120"/>
              <w:jc w:val="both"/>
              <w:rPr>
                <w:rFonts w:cs="Arial"/>
                <w:szCs w:val="22"/>
                <w:highlight w:val="yellow"/>
              </w:rPr>
            </w:pPr>
            <w:r w:rsidRPr="006F2146">
              <w:rPr>
                <w:rFonts w:cs="Arial"/>
                <w:szCs w:val="22"/>
              </w:rPr>
              <w:t xml:space="preserve">GCNH </w:t>
            </w:r>
            <w:r w:rsidR="00052899" w:rsidRPr="006F2146">
              <w:rPr>
                <w:rFonts w:cs="Arial"/>
                <w:szCs w:val="22"/>
              </w:rPr>
              <w:t>ha</w:t>
            </w:r>
            <w:r w:rsidRPr="006F2146">
              <w:rPr>
                <w:rFonts w:cs="Arial"/>
                <w:szCs w:val="22"/>
              </w:rPr>
              <w:t>s</w:t>
            </w:r>
            <w:r w:rsidR="00052899" w:rsidRPr="006F2146">
              <w:rPr>
                <w:rFonts w:cs="Arial"/>
                <w:szCs w:val="22"/>
              </w:rPr>
              <w:t xml:space="preserve"> been involved in the implementation of GAVI cash grant for the CSO type I and II. The CSOs participated actively in the preparation of this grant proposal and as implementers are allocated over </w:t>
            </w:r>
            <w:r w:rsidRPr="006F2146">
              <w:rPr>
                <w:rFonts w:cs="Arial"/>
                <w:szCs w:val="22"/>
              </w:rPr>
              <w:t>1</w:t>
            </w:r>
            <w:r w:rsidR="00052899" w:rsidRPr="006F2146">
              <w:rPr>
                <w:rFonts w:cs="Arial"/>
                <w:szCs w:val="22"/>
              </w:rPr>
              <w:t xml:space="preserve">1% of the total budget. There are distinct activities in the GAVI/HSS proposal for CSOs. Funds will be transferred to the CSO just like other implementers for the implementation of their activities. The GHS as the implementing agency for the </w:t>
            </w:r>
            <w:r w:rsidR="00472AFA">
              <w:rPr>
                <w:rFonts w:cs="Arial"/>
                <w:szCs w:val="22"/>
              </w:rPr>
              <w:t>MoH</w:t>
            </w:r>
            <w:r w:rsidR="00052899" w:rsidRPr="006F2146">
              <w:rPr>
                <w:rFonts w:cs="Arial"/>
                <w:szCs w:val="22"/>
              </w:rPr>
              <w:t xml:space="preserve">collaborates with the CSOs where necessary in the delivery of their activities especially in the districts and the sub districts. It is expected that during various sector engagements like </w:t>
            </w:r>
            <w:r w:rsidR="00A64785">
              <w:rPr>
                <w:rFonts w:cs="Arial"/>
                <w:szCs w:val="22"/>
              </w:rPr>
              <w:t>HSCC</w:t>
            </w:r>
            <w:r w:rsidR="00052899" w:rsidRPr="006F2146">
              <w:rPr>
                <w:rFonts w:cs="Arial"/>
                <w:szCs w:val="22"/>
              </w:rPr>
              <w:t xml:space="preserve"> and ICC meetings and health summits, CSOs will be making submissions on progress on the implementation of their activities.</w:t>
            </w:r>
          </w:p>
        </w:tc>
      </w:tr>
    </w:tbl>
    <w:p w:rsidR="00052899" w:rsidRPr="00B40A7C" w:rsidRDefault="00052899" w:rsidP="00052899">
      <w:pPr>
        <w:jc w:val="both"/>
        <w:rPr>
          <w:rFonts w:cs="Arial"/>
          <w:szCs w:val="22"/>
        </w:rPr>
      </w:pPr>
    </w:p>
    <w:p w:rsidR="00052899" w:rsidRDefault="00052899" w:rsidP="00052899">
      <w:pPr>
        <w:jc w:val="both"/>
        <w:rPr>
          <w:rFonts w:cs="Arial"/>
          <w:szCs w:val="22"/>
        </w:rPr>
      </w:pPr>
    </w:p>
    <w:p w:rsidR="00052899" w:rsidRPr="00B40A7C" w:rsidRDefault="00052899" w:rsidP="00052899">
      <w:pPr>
        <w:jc w:val="both"/>
        <w:rPr>
          <w:rFonts w:cs="Arial"/>
          <w:szCs w:val="22"/>
        </w:rPr>
      </w:pPr>
      <w:r>
        <w:rPr>
          <w:rFonts w:cs="Arial"/>
          <w:szCs w:val="22"/>
        </w:rPr>
        <w:br w:type="page"/>
      </w:r>
    </w:p>
    <w:tbl>
      <w:tblPr>
        <w:tblW w:w="5000" w:type="pct"/>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9576"/>
      </w:tblGrid>
      <w:tr w:rsidR="00052899" w:rsidRPr="00B40A7C">
        <w:tc>
          <w:tcPr>
            <w:tcW w:w="5000" w:type="pct"/>
            <w:tcBorders>
              <w:bottom w:val="single" w:sz="6" w:space="0" w:color="215868"/>
            </w:tcBorders>
            <w:shd w:val="clear" w:color="auto" w:fill="006460"/>
          </w:tcPr>
          <w:p w:rsidR="00052899" w:rsidRDefault="00052899" w:rsidP="00052899">
            <w:pPr>
              <w:pStyle w:val="Heading1"/>
              <w:rPr>
                <w:rFonts w:cs="Arial"/>
                <w:szCs w:val="22"/>
              </w:rPr>
            </w:pPr>
            <w:bookmarkStart w:id="655" w:name="_Toc346116653"/>
            <w:bookmarkStart w:id="656" w:name="_Toc357677801"/>
            <w:bookmarkStart w:id="657" w:name="_Toc369498575"/>
            <w:bookmarkStart w:id="658" w:name="_Toc377545410"/>
            <w:r w:rsidRPr="00291E76">
              <w:t>20. Technical Assistance</w:t>
            </w:r>
            <w:bookmarkEnd w:id="655"/>
            <w:bookmarkEnd w:id="656"/>
            <w:bookmarkEnd w:id="657"/>
            <w:bookmarkEnd w:id="658"/>
          </w:p>
        </w:tc>
      </w:tr>
      <w:tr w:rsidR="00052899" w:rsidRPr="00B40A7C">
        <w:trPr>
          <w:trHeight w:val="278"/>
        </w:trPr>
        <w:tc>
          <w:tcPr>
            <w:tcW w:w="5000" w:type="pct"/>
            <w:shd w:val="clear" w:color="auto" w:fill="FFFFFF"/>
          </w:tcPr>
          <w:p w:rsidR="00052899" w:rsidRPr="00B40A7C" w:rsidRDefault="00052899" w:rsidP="00052899">
            <w:pPr>
              <w:spacing w:before="120" w:after="120"/>
              <w:jc w:val="both"/>
              <w:rPr>
                <w:rFonts w:cs="Arial"/>
                <w:szCs w:val="22"/>
                <w:highlight w:val="yellow"/>
              </w:rPr>
            </w:pPr>
            <w:r w:rsidRPr="00B40A7C">
              <w:rPr>
                <w:rFonts w:cs="Arial"/>
                <w:szCs w:val="22"/>
              </w:rPr>
              <w:t>Technical assistance will be needed for the implementation of the HSS activities. The main areas of technical assistance include surveys, evaluations and data quality audit. These areas are detailed in the workplan and categorised by inputs and input units as consultancies. External assistance will be needed for the service availability readiness assessment and the EPI cluster surveys. Internal technical assistance will include mid and end evaluation of the support and the documentation of best practices, development of policy briefs and strengthening of CSOs capacity.</w:t>
            </w:r>
          </w:p>
        </w:tc>
      </w:tr>
    </w:tbl>
    <w:p w:rsidR="00052899" w:rsidRPr="00B40A7C" w:rsidRDefault="00052899" w:rsidP="00052899">
      <w:pPr>
        <w:jc w:val="both"/>
        <w:rPr>
          <w:rFonts w:cs="Arial"/>
          <w:szCs w:val="22"/>
        </w:rPr>
      </w:pPr>
    </w:p>
    <w:p w:rsidR="00052899" w:rsidRPr="00B40A7C" w:rsidRDefault="00052899" w:rsidP="00052899">
      <w:pPr>
        <w:spacing w:after="200" w:line="276" w:lineRule="auto"/>
        <w:jc w:val="both"/>
        <w:rPr>
          <w:rFonts w:cs="Arial"/>
          <w:szCs w:val="22"/>
        </w:rPr>
        <w:sectPr w:rsidR="00052899" w:rsidRPr="00B40A7C">
          <w:pgSz w:w="12240" w:h="15840"/>
          <w:pgMar w:top="1440" w:right="1440" w:bottom="1440" w:left="1440" w:header="709" w:footer="709" w:gutter="0"/>
          <w:cols w:space="708"/>
          <w:docGrid w:linePitch="360"/>
        </w:sectPr>
      </w:pPr>
    </w:p>
    <w:tbl>
      <w:tblPr>
        <w:tblW w:w="5000" w:type="pct"/>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3228"/>
        <w:gridCol w:w="1521"/>
        <w:gridCol w:w="746"/>
        <w:gridCol w:w="709"/>
        <w:gridCol w:w="1275"/>
        <w:gridCol w:w="2084"/>
        <w:gridCol w:w="3613"/>
      </w:tblGrid>
      <w:tr w:rsidR="00052899" w:rsidRPr="00B40A7C">
        <w:tc>
          <w:tcPr>
            <w:tcW w:w="5000" w:type="pct"/>
            <w:gridSpan w:val="7"/>
            <w:tcBorders>
              <w:bottom w:val="single" w:sz="6" w:space="0" w:color="215868"/>
            </w:tcBorders>
            <w:shd w:val="clear" w:color="auto" w:fill="006460"/>
          </w:tcPr>
          <w:p w:rsidR="00052899" w:rsidRDefault="00052899" w:rsidP="00052899">
            <w:pPr>
              <w:pStyle w:val="Heading1"/>
              <w:rPr>
                <w:rFonts w:cs="Arial"/>
                <w:szCs w:val="22"/>
              </w:rPr>
            </w:pPr>
            <w:bookmarkStart w:id="659" w:name="_Toc346116654"/>
            <w:bookmarkStart w:id="660" w:name="_Toc357677802"/>
            <w:bookmarkStart w:id="661" w:name="_Toc369498576"/>
            <w:bookmarkStart w:id="662" w:name="_Toc377545411"/>
            <w:r w:rsidRPr="00291E76">
              <w:lastRenderedPageBreak/>
              <w:t>21. Risks and Mitigation Measures</w:t>
            </w:r>
            <w:bookmarkEnd w:id="659"/>
            <w:bookmarkEnd w:id="660"/>
            <w:bookmarkEnd w:id="661"/>
            <w:bookmarkEnd w:id="662"/>
            <w:r w:rsidRPr="00B40A7C">
              <w:rPr>
                <w:rFonts w:cs="Arial"/>
                <w:szCs w:val="22"/>
              </w:rPr>
              <w:t xml:space="preserve">  </w:t>
            </w:r>
          </w:p>
        </w:tc>
      </w:tr>
      <w:tr w:rsidR="00052899" w:rsidRPr="00B40A7C">
        <w:tc>
          <w:tcPr>
            <w:tcW w:w="5000" w:type="pct"/>
            <w:gridSpan w:val="7"/>
            <w:shd w:val="clear" w:color="auto" w:fill="99CCCC"/>
          </w:tcPr>
          <w:p w:rsidR="00052899" w:rsidRPr="00B40A7C" w:rsidRDefault="00052899" w:rsidP="00052899">
            <w:pPr>
              <w:spacing w:before="120" w:after="120"/>
              <w:jc w:val="both"/>
              <w:rPr>
                <w:rFonts w:cs="Arial"/>
                <w:i/>
                <w:color w:val="173E49"/>
                <w:szCs w:val="22"/>
              </w:rPr>
            </w:pPr>
            <w:r w:rsidRPr="00B40A7C">
              <w:rPr>
                <w:rFonts w:cs="Arial"/>
                <w:i/>
                <w:color w:val="173E49"/>
                <w:szCs w:val="22"/>
              </w:rPr>
              <w:t>This information reflects the risk of a country not being able to implement the proposed activities within this grant proposal and/or spend the funds as approved by GAVI. It is expected that the Lead Implementer will be responsible for assessing and ensuring that risk mitigation measures are actually implemented.</w:t>
            </w:r>
          </w:p>
          <w:p w:rsidR="00052899" w:rsidRPr="00B40A7C" w:rsidRDefault="00052899" w:rsidP="00052899">
            <w:pPr>
              <w:spacing w:before="120" w:after="120"/>
              <w:jc w:val="both"/>
              <w:rPr>
                <w:rFonts w:cs="Arial"/>
                <w:i/>
                <w:color w:val="173E49"/>
                <w:szCs w:val="22"/>
              </w:rPr>
            </w:pPr>
            <w:r w:rsidRPr="00B40A7C">
              <w:rPr>
                <w:rFonts w:cs="Arial"/>
                <w:i/>
                <w:color w:val="173E49"/>
                <w:szCs w:val="22"/>
              </w:rPr>
              <w:t>→ If the country has existing health sector risk analysis please attach these assessments and provide here a brief reference to the relevant sections.</w:t>
            </w:r>
          </w:p>
          <w:p w:rsidR="00052899" w:rsidRPr="00B40A7C" w:rsidRDefault="00052899" w:rsidP="00052899">
            <w:pPr>
              <w:spacing w:before="120" w:after="120"/>
              <w:jc w:val="both"/>
              <w:rPr>
                <w:rFonts w:cs="Arial"/>
                <w:i/>
                <w:color w:val="173E49"/>
                <w:szCs w:val="22"/>
              </w:rPr>
            </w:pPr>
            <w:r w:rsidRPr="00B40A7C">
              <w:rPr>
                <w:rFonts w:cs="Arial"/>
                <w:i/>
                <w:color w:val="173E49"/>
                <w:szCs w:val="22"/>
              </w:rPr>
              <w:t xml:space="preserve">→ If the country does not have existing health sector risk analysis, please complete the table below for each of the proposed objectives. Please refer to the Guidelines for Completing the HSS Application for a description of the various types of risk. If the risk is categorised as ‘high’, please provide an explanation as to why it is ‘high’. </w:t>
            </w:r>
          </w:p>
        </w:tc>
      </w:tr>
      <w:tr w:rsidR="00052899" w:rsidRPr="00B40A7C">
        <w:trPr>
          <w:trHeight w:val="181"/>
        </w:trPr>
        <w:tc>
          <w:tcPr>
            <w:tcW w:w="5000" w:type="pct"/>
            <w:gridSpan w:val="7"/>
            <w:shd w:val="clear" w:color="auto" w:fill="FFFFFF"/>
          </w:tcPr>
          <w:p w:rsidR="00052899" w:rsidRPr="00B40A7C" w:rsidRDefault="00052899" w:rsidP="00052899">
            <w:pPr>
              <w:spacing w:before="120" w:after="120"/>
              <w:jc w:val="both"/>
              <w:rPr>
                <w:rFonts w:cs="Arial"/>
                <w:b/>
                <w:i/>
                <w:szCs w:val="22"/>
              </w:rPr>
            </w:pPr>
            <w:r w:rsidRPr="00B40A7C">
              <w:rPr>
                <w:rFonts w:cs="Arial"/>
                <w:b/>
                <w:i/>
                <w:szCs w:val="22"/>
              </w:rPr>
              <w:t>Preamble:</w:t>
            </w:r>
          </w:p>
        </w:tc>
      </w:tr>
      <w:tr w:rsidR="00052899" w:rsidRPr="00B40A7C">
        <w:trPr>
          <w:trHeight w:val="181"/>
        </w:trPr>
        <w:tc>
          <w:tcPr>
            <w:tcW w:w="1225" w:type="pct"/>
            <w:shd w:val="clear" w:color="auto" w:fill="FFFFFF"/>
          </w:tcPr>
          <w:p w:rsidR="00052899" w:rsidRPr="00B40A7C" w:rsidRDefault="00052899" w:rsidP="00052899">
            <w:pPr>
              <w:spacing w:before="120" w:after="120"/>
              <w:jc w:val="both"/>
              <w:rPr>
                <w:rFonts w:cs="Arial"/>
                <w:b/>
                <w:szCs w:val="22"/>
              </w:rPr>
            </w:pPr>
            <w:r w:rsidRPr="00B40A7C">
              <w:rPr>
                <w:rFonts w:cs="Arial"/>
                <w:b/>
                <w:szCs w:val="22"/>
              </w:rPr>
              <w:t>Description of risk</w:t>
            </w:r>
          </w:p>
          <w:p w:rsidR="00052899" w:rsidRPr="00B40A7C" w:rsidRDefault="00052899" w:rsidP="00052899">
            <w:pPr>
              <w:spacing w:before="120" w:after="120"/>
              <w:jc w:val="both"/>
              <w:rPr>
                <w:rFonts w:cs="Arial"/>
                <w:b/>
                <w:i/>
                <w:szCs w:val="22"/>
              </w:rPr>
            </w:pPr>
          </w:p>
        </w:tc>
        <w:tc>
          <w:tcPr>
            <w:tcW w:w="860" w:type="pct"/>
            <w:gridSpan w:val="2"/>
            <w:shd w:val="clear" w:color="auto" w:fill="FFFFFF"/>
          </w:tcPr>
          <w:p w:rsidR="00052899" w:rsidRPr="00B40A7C" w:rsidRDefault="00052899" w:rsidP="00052899">
            <w:pPr>
              <w:spacing w:before="120" w:after="120"/>
              <w:jc w:val="both"/>
              <w:rPr>
                <w:rFonts w:cs="Arial"/>
                <w:b/>
                <w:i/>
                <w:szCs w:val="22"/>
              </w:rPr>
            </w:pPr>
            <w:r w:rsidRPr="00B40A7C">
              <w:rPr>
                <w:rFonts w:cs="Arial"/>
                <w:b/>
                <w:i/>
                <w:szCs w:val="22"/>
              </w:rPr>
              <w:t>PROBABILITY</w:t>
            </w:r>
          </w:p>
          <w:p w:rsidR="00052899" w:rsidRPr="00B40A7C" w:rsidRDefault="00052899" w:rsidP="00052899">
            <w:pPr>
              <w:spacing w:before="120" w:after="120"/>
              <w:jc w:val="both"/>
              <w:rPr>
                <w:rFonts w:cs="Arial"/>
                <w:b/>
                <w:i/>
                <w:szCs w:val="22"/>
              </w:rPr>
            </w:pPr>
            <w:r w:rsidRPr="00B40A7C">
              <w:rPr>
                <w:rFonts w:cs="Arial"/>
                <w:b/>
                <w:i/>
                <w:szCs w:val="22"/>
              </w:rPr>
              <w:t>(high, medium, low)</w:t>
            </w:r>
          </w:p>
        </w:tc>
        <w:tc>
          <w:tcPr>
            <w:tcW w:w="753" w:type="pct"/>
            <w:gridSpan w:val="2"/>
            <w:shd w:val="clear" w:color="auto" w:fill="FFFFFF"/>
          </w:tcPr>
          <w:p w:rsidR="00052899" w:rsidRPr="00B40A7C" w:rsidRDefault="00052899" w:rsidP="00052899">
            <w:pPr>
              <w:spacing w:before="120" w:after="120"/>
              <w:jc w:val="both"/>
              <w:rPr>
                <w:rFonts w:cs="Arial"/>
                <w:b/>
                <w:i/>
                <w:szCs w:val="22"/>
              </w:rPr>
            </w:pPr>
            <w:r w:rsidRPr="00B40A7C">
              <w:rPr>
                <w:rFonts w:cs="Arial"/>
                <w:b/>
                <w:i/>
                <w:szCs w:val="22"/>
              </w:rPr>
              <w:t>IMPACT</w:t>
            </w:r>
          </w:p>
          <w:p w:rsidR="00052899" w:rsidRPr="00B40A7C" w:rsidRDefault="00052899" w:rsidP="00052899">
            <w:pPr>
              <w:spacing w:before="120" w:after="120"/>
              <w:jc w:val="both"/>
              <w:rPr>
                <w:rFonts w:cs="Arial"/>
                <w:b/>
                <w:i/>
                <w:szCs w:val="22"/>
              </w:rPr>
            </w:pPr>
            <w:r w:rsidRPr="00B40A7C">
              <w:rPr>
                <w:rFonts w:cs="Arial"/>
                <w:b/>
                <w:i/>
                <w:szCs w:val="22"/>
              </w:rPr>
              <w:t>(high, medium, low)</w:t>
            </w:r>
          </w:p>
        </w:tc>
        <w:tc>
          <w:tcPr>
            <w:tcW w:w="2162" w:type="pct"/>
            <w:gridSpan w:val="2"/>
            <w:shd w:val="clear" w:color="auto" w:fill="FFFFFF"/>
          </w:tcPr>
          <w:p w:rsidR="00052899" w:rsidRPr="00B40A7C" w:rsidRDefault="00052899" w:rsidP="00052899">
            <w:pPr>
              <w:spacing w:before="120" w:after="120"/>
              <w:jc w:val="both"/>
              <w:rPr>
                <w:rFonts w:cs="Arial"/>
                <w:b/>
                <w:i/>
                <w:szCs w:val="22"/>
              </w:rPr>
            </w:pPr>
            <w:r w:rsidRPr="00B40A7C">
              <w:rPr>
                <w:rFonts w:cs="Arial"/>
                <w:b/>
                <w:i/>
                <w:szCs w:val="22"/>
              </w:rPr>
              <w:t>Mitigation Measures</w:t>
            </w:r>
          </w:p>
        </w:tc>
      </w:tr>
      <w:tr w:rsidR="00052899" w:rsidRPr="00B40A7C">
        <w:trPr>
          <w:trHeight w:val="171"/>
        </w:trPr>
        <w:tc>
          <w:tcPr>
            <w:tcW w:w="5000" w:type="pct"/>
            <w:gridSpan w:val="7"/>
            <w:shd w:val="clear" w:color="auto" w:fill="FFFFFF"/>
          </w:tcPr>
          <w:p w:rsidR="00052899" w:rsidRPr="009E3797" w:rsidRDefault="00052899" w:rsidP="00052899">
            <w:pPr>
              <w:spacing w:before="120" w:after="120"/>
              <w:jc w:val="both"/>
              <w:rPr>
                <w:rFonts w:cs="Arial"/>
                <w:b/>
                <w:i/>
                <w:szCs w:val="22"/>
              </w:rPr>
            </w:pPr>
            <w:r w:rsidRPr="009E3797">
              <w:rPr>
                <w:rFonts w:cs="Arial"/>
                <w:b/>
                <w:i/>
                <w:szCs w:val="22"/>
              </w:rPr>
              <w:t xml:space="preserve">Objective 1: To strengthen and scale-up community health interventions aimed at improving the quality of primary health care services  </w:t>
            </w:r>
          </w:p>
        </w:tc>
      </w:tr>
      <w:tr w:rsidR="00052899" w:rsidRPr="00B40A7C">
        <w:trPr>
          <w:trHeight w:val="171"/>
        </w:trPr>
        <w:tc>
          <w:tcPr>
            <w:tcW w:w="1225" w:type="pct"/>
            <w:shd w:val="clear" w:color="auto" w:fill="FFFFFF"/>
          </w:tcPr>
          <w:p w:rsidR="00052899" w:rsidRDefault="00052899" w:rsidP="00052899">
            <w:pPr>
              <w:jc w:val="both"/>
              <w:rPr>
                <w:rFonts w:cs="Arial"/>
                <w:i/>
                <w:szCs w:val="22"/>
              </w:rPr>
            </w:pPr>
            <w:r w:rsidRPr="00B40A7C">
              <w:rPr>
                <w:rFonts w:cs="Arial"/>
                <w:i/>
                <w:szCs w:val="22"/>
              </w:rPr>
              <w:t>Fiduciary Risks:</w:t>
            </w:r>
          </w:p>
          <w:p w:rsidR="00052899" w:rsidRPr="00B40A7C" w:rsidRDefault="00052899" w:rsidP="00052899">
            <w:pPr>
              <w:jc w:val="both"/>
              <w:rPr>
                <w:rFonts w:cs="Arial"/>
                <w:i/>
                <w:szCs w:val="22"/>
              </w:rPr>
            </w:pPr>
          </w:p>
        </w:tc>
        <w:tc>
          <w:tcPr>
            <w:tcW w:w="860" w:type="pct"/>
            <w:gridSpan w:val="2"/>
            <w:shd w:val="clear" w:color="auto" w:fill="FFFFFF"/>
          </w:tcPr>
          <w:p w:rsidR="00052899" w:rsidRPr="00B40A7C" w:rsidRDefault="00052899" w:rsidP="00052899">
            <w:pPr>
              <w:jc w:val="both"/>
              <w:rPr>
                <w:rFonts w:cs="Arial"/>
                <w:b/>
                <w:i/>
                <w:szCs w:val="22"/>
              </w:rPr>
            </w:pPr>
            <w:r w:rsidRPr="00B40A7C">
              <w:rPr>
                <w:rFonts w:cs="Arial"/>
                <w:i/>
                <w:szCs w:val="22"/>
              </w:rPr>
              <w:t>Low</w:t>
            </w:r>
          </w:p>
        </w:tc>
        <w:tc>
          <w:tcPr>
            <w:tcW w:w="753" w:type="pct"/>
            <w:gridSpan w:val="2"/>
            <w:shd w:val="clear" w:color="auto" w:fill="FFFFFF"/>
          </w:tcPr>
          <w:p w:rsidR="00052899" w:rsidRPr="00B40A7C" w:rsidRDefault="0063262B" w:rsidP="00052899">
            <w:pPr>
              <w:jc w:val="both"/>
              <w:rPr>
                <w:rFonts w:cs="Arial"/>
                <w:b/>
                <w:i/>
                <w:szCs w:val="22"/>
              </w:rPr>
            </w:pPr>
            <w:r>
              <w:rPr>
                <w:rFonts w:cs="Arial"/>
                <w:i/>
                <w:szCs w:val="22"/>
              </w:rPr>
              <w:t>Low</w:t>
            </w:r>
          </w:p>
        </w:tc>
        <w:tc>
          <w:tcPr>
            <w:tcW w:w="2162" w:type="pct"/>
            <w:gridSpan w:val="2"/>
            <w:shd w:val="clear" w:color="auto" w:fill="FFFFFF"/>
          </w:tcPr>
          <w:p w:rsidR="00052899" w:rsidRDefault="00052899">
            <w:pPr>
              <w:jc w:val="both"/>
              <w:rPr>
                <w:rFonts w:cs="Arial"/>
                <w:b/>
                <w:i/>
                <w:szCs w:val="22"/>
              </w:rPr>
            </w:pPr>
            <w:r w:rsidRPr="00B40A7C">
              <w:rPr>
                <w:rFonts w:cs="Arial"/>
                <w:i/>
                <w:szCs w:val="22"/>
              </w:rPr>
              <w:t xml:space="preserve">The financial management system in place is able to track </w:t>
            </w:r>
            <w:r w:rsidRPr="009E3797">
              <w:rPr>
                <w:rFonts w:cs="Arial"/>
                <w:i/>
                <w:szCs w:val="22"/>
              </w:rPr>
              <w:t xml:space="preserve">funding. In addition this proposal includes support for the institutionalisation of health accounts which will enable the reporting of all funds by sources and beneficiaries. The </w:t>
            </w:r>
            <w:r w:rsidR="00472AFA">
              <w:rPr>
                <w:rFonts w:cs="Arial"/>
                <w:i/>
                <w:szCs w:val="22"/>
              </w:rPr>
              <w:t>MoH</w:t>
            </w:r>
            <w:r w:rsidR="000679E7">
              <w:rPr>
                <w:rFonts w:cs="Arial"/>
                <w:i/>
                <w:szCs w:val="22"/>
              </w:rPr>
              <w:t xml:space="preserve"> </w:t>
            </w:r>
            <w:r w:rsidRPr="009E3797">
              <w:rPr>
                <w:rFonts w:cs="Arial"/>
                <w:i/>
                <w:szCs w:val="22"/>
              </w:rPr>
              <w:t>will use the same system as in previous grants assuring timely availability of funds at sub national level.</w:t>
            </w:r>
            <w:r>
              <w:rPr>
                <w:rFonts w:cs="Arial"/>
                <w:i/>
                <w:szCs w:val="22"/>
              </w:rPr>
              <w:t xml:space="preserve"> The procurement of goods and services as well as the management of financial resources will be in accordance to the Government of Ghana Procurement rules and Accounting Treasury and Regulatory laws. There will also be independent financial auditing of implementation.</w:t>
            </w:r>
          </w:p>
        </w:tc>
      </w:tr>
      <w:tr w:rsidR="00052899" w:rsidRPr="00B40A7C">
        <w:trPr>
          <w:trHeight w:val="171"/>
        </w:trPr>
        <w:tc>
          <w:tcPr>
            <w:tcW w:w="1225" w:type="pct"/>
            <w:shd w:val="clear" w:color="auto" w:fill="FFFFFF"/>
          </w:tcPr>
          <w:p w:rsidR="00052899" w:rsidRDefault="00052899" w:rsidP="00052899">
            <w:pPr>
              <w:jc w:val="both"/>
              <w:rPr>
                <w:rFonts w:cs="Arial"/>
                <w:i/>
                <w:szCs w:val="22"/>
              </w:rPr>
            </w:pPr>
            <w:r w:rsidRPr="00B40A7C">
              <w:rPr>
                <w:rFonts w:cs="Arial"/>
                <w:i/>
                <w:szCs w:val="22"/>
              </w:rPr>
              <w:t>Institutional Risks:</w:t>
            </w:r>
          </w:p>
          <w:p w:rsidR="00052899" w:rsidRPr="00B40A7C" w:rsidRDefault="00052899" w:rsidP="00052899">
            <w:pPr>
              <w:jc w:val="both"/>
              <w:rPr>
                <w:rFonts w:cs="Arial"/>
                <w:i/>
                <w:szCs w:val="22"/>
              </w:rPr>
            </w:pPr>
            <w:r>
              <w:rPr>
                <w:rFonts w:cs="Arial"/>
                <w:i/>
                <w:szCs w:val="22"/>
              </w:rPr>
              <w:t>Proposed Decentralisation of the health sector</w:t>
            </w:r>
          </w:p>
        </w:tc>
        <w:tc>
          <w:tcPr>
            <w:tcW w:w="860" w:type="pct"/>
            <w:gridSpan w:val="2"/>
            <w:shd w:val="clear" w:color="auto" w:fill="FFFFFF"/>
          </w:tcPr>
          <w:p w:rsidR="00052899" w:rsidRPr="00B40A7C" w:rsidRDefault="00052899" w:rsidP="00052899">
            <w:pPr>
              <w:jc w:val="both"/>
              <w:rPr>
                <w:rFonts w:cs="Arial"/>
                <w:b/>
                <w:i/>
                <w:szCs w:val="22"/>
              </w:rPr>
            </w:pPr>
            <w:r>
              <w:rPr>
                <w:rFonts w:cs="Arial"/>
                <w:i/>
                <w:szCs w:val="22"/>
              </w:rPr>
              <w:t>Low</w:t>
            </w:r>
          </w:p>
        </w:tc>
        <w:tc>
          <w:tcPr>
            <w:tcW w:w="753" w:type="pct"/>
            <w:gridSpan w:val="2"/>
            <w:shd w:val="clear" w:color="auto" w:fill="FFFFFF"/>
          </w:tcPr>
          <w:p w:rsidR="00052899" w:rsidRPr="00B40A7C" w:rsidRDefault="00052899" w:rsidP="00052899">
            <w:pPr>
              <w:jc w:val="both"/>
              <w:rPr>
                <w:rFonts w:cs="Arial"/>
                <w:b/>
                <w:i/>
                <w:szCs w:val="22"/>
              </w:rPr>
            </w:pPr>
            <w:r>
              <w:rPr>
                <w:rFonts w:cs="Arial"/>
                <w:i/>
                <w:szCs w:val="22"/>
              </w:rPr>
              <w:t>Low</w:t>
            </w:r>
          </w:p>
        </w:tc>
        <w:tc>
          <w:tcPr>
            <w:tcW w:w="2162" w:type="pct"/>
            <w:gridSpan w:val="2"/>
            <w:shd w:val="clear" w:color="auto" w:fill="FFFFFF"/>
          </w:tcPr>
          <w:p w:rsidR="00052899" w:rsidRPr="00B40A7C" w:rsidRDefault="0063262B" w:rsidP="0063262B">
            <w:pPr>
              <w:jc w:val="both"/>
              <w:rPr>
                <w:rFonts w:cs="Arial"/>
                <w:b/>
                <w:i/>
                <w:szCs w:val="22"/>
              </w:rPr>
            </w:pPr>
            <w:r>
              <w:rPr>
                <w:rFonts w:cs="Arial"/>
                <w:i/>
                <w:szCs w:val="22"/>
              </w:rPr>
              <w:t xml:space="preserve">According to government’s decentralisation plan, DHMT will be a department under the district assembly. </w:t>
            </w:r>
            <w:r w:rsidR="00052899">
              <w:rPr>
                <w:rFonts w:cs="Arial"/>
                <w:i/>
                <w:szCs w:val="22"/>
              </w:rPr>
              <w:t>It</w:t>
            </w:r>
            <w:r>
              <w:rPr>
                <w:rFonts w:cs="Arial"/>
                <w:i/>
                <w:szCs w:val="22"/>
              </w:rPr>
              <w:t xml:space="preserve"> is not expected to take place within the medium since it </w:t>
            </w:r>
            <w:r>
              <w:rPr>
                <w:rFonts w:cs="Arial"/>
                <w:i/>
                <w:szCs w:val="22"/>
              </w:rPr>
              <w:lastRenderedPageBreak/>
              <w:t>requires change of a number of laws e.g. (Act 525)</w:t>
            </w:r>
            <w:r w:rsidR="00052899">
              <w:rPr>
                <w:rFonts w:cs="Arial"/>
                <w:i/>
                <w:szCs w:val="22"/>
              </w:rPr>
              <w:t xml:space="preserve"> </w:t>
            </w:r>
            <w:r>
              <w:rPr>
                <w:rFonts w:cs="Arial"/>
                <w:i/>
                <w:szCs w:val="22"/>
              </w:rPr>
              <w:t>The institutional risk is low since GAVI fund are managed centrally though disbursed to districts.</w:t>
            </w:r>
          </w:p>
        </w:tc>
      </w:tr>
      <w:tr w:rsidR="00052899" w:rsidRPr="00B40A7C">
        <w:trPr>
          <w:trHeight w:val="171"/>
        </w:trPr>
        <w:tc>
          <w:tcPr>
            <w:tcW w:w="1225" w:type="pct"/>
            <w:shd w:val="clear" w:color="auto" w:fill="FFFFFF"/>
          </w:tcPr>
          <w:p w:rsidR="00C5719A" w:rsidRDefault="00052899" w:rsidP="00052899">
            <w:pPr>
              <w:jc w:val="both"/>
              <w:rPr>
                <w:rFonts w:cs="Arial"/>
                <w:i/>
                <w:szCs w:val="22"/>
              </w:rPr>
            </w:pPr>
            <w:r w:rsidRPr="00B40A7C">
              <w:rPr>
                <w:rFonts w:cs="Arial"/>
                <w:i/>
                <w:szCs w:val="22"/>
              </w:rPr>
              <w:lastRenderedPageBreak/>
              <w:t>Operational Risks:</w:t>
            </w:r>
          </w:p>
          <w:p w:rsidR="00C5719A" w:rsidRPr="00B40A7C" w:rsidRDefault="006F62F1" w:rsidP="006F62F1">
            <w:pPr>
              <w:jc w:val="both"/>
              <w:rPr>
                <w:rFonts w:cs="Arial"/>
                <w:i/>
                <w:szCs w:val="22"/>
              </w:rPr>
            </w:pPr>
            <w:r>
              <w:rPr>
                <w:rFonts w:cs="Arial"/>
                <w:i/>
                <w:szCs w:val="22"/>
              </w:rPr>
              <w:t>Midwives and CHOs are core cadres for the attainment of objective</w:t>
            </w:r>
            <w:r w:rsidR="00D22BE9">
              <w:rPr>
                <w:rFonts w:cs="Arial"/>
                <w:i/>
                <w:szCs w:val="22"/>
              </w:rPr>
              <w:t xml:space="preserve"> 1.</w:t>
            </w:r>
          </w:p>
        </w:tc>
        <w:tc>
          <w:tcPr>
            <w:tcW w:w="860" w:type="pct"/>
            <w:gridSpan w:val="2"/>
            <w:shd w:val="clear" w:color="auto" w:fill="FFFFFF"/>
          </w:tcPr>
          <w:p w:rsidR="00052899" w:rsidRPr="00B40A7C" w:rsidRDefault="00052899" w:rsidP="00052899">
            <w:pPr>
              <w:jc w:val="both"/>
              <w:rPr>
                <w:rFonts w:cs="Arial"/>
                <w:b/>
                <w:i/>
                <w:szCs w:val="22"/>
              </w:rPr>
            </w:pPr>
            <w:r w:rsidRPr="00B40A7C">
              <w:rPr>
                <w:rFonts w:cs="Arial"/>
                <w:i/>
                <w:szCs w:val="22"/>
              </w:rPr>
              <w:t>Low</w:t>
            </w:r>
          </w:p>
        </w:tc>
        <w:tc>
          <w:tcPr>
            <w:tcW w:w="753" w:type="pct"/>
            <w:gridSpan w:val="2"/>
            <w:shd w:val="clear" w:color="auto" w:fill="FFFFFF"/>
          </w:tcPr>
          <w:p w:rsidR="00052899" w:rsidRPr="00B40A7C" w:rsidRDefault="00052899" w:rsidP="00052899">
            <w:pPr>
              <w:jc w:val="both"/>
              <w:rPr>
                <w:rFonts w:cs="Arial"/>
                <w:b/>
                <w:i/>
                <w:szCs w:val="22"/>
              </w:rPr>
            </w:pPr>
            <w:r w:rsidRPr="00B40A7C">
              <w:rPr>
                <w:rFonts w:cs="Arial"/>
                <w:i/>
                <w:szCs w:val="22"/>
              </w:rPr>
              <w:t>Low</w:t>
            </w:r>
          </w:p>
        </w:tc>
        <w:tc>
          <w:tcPr>
            <w:tcW w:w="2162" w:type="pct"/>
            <w:gridSpan w:val="2"/>
            <w:shd w:val="clear" w:color="auto" w:fill="FFFFFF"/>
          </w:tcPr>
          <w:p w:rsidR="00052899" w:rsidRDefault="00052899" w:rsidP="00C5719A">
            <w:pPr>
              <w:jc w:val="both"/>
              <w:rPr>
                <w:rFonts w:cs="Arial"/>
                <w:b/>
                <w:i/>
                <w:szCs w:val="22"/>
              </w:rPr>
            </w:pPr>
            <w:r>
              <w:rPr>
                <w:rFonts w:cs="Arial"/>
                <w:i/>
                <w:szCs w:val="22"/>
              </w:rPr>
              <w:t>The ex</w:t>
            </w:r>
            <w:r w:rsidR="00C5719A">
              <w:rPr>
                <w:rFonts w:cs="Arial"/>
                <w:i/>
                <w:szCs w:val="22"/>
              </w:rPr>
              <w:t xml:space="preserve">pansion of functional CHPS zone and the increase in the number s of midwives and CHOs </w:t>
            </w:r>
            <w:r>
              <w:rPr>
                <w:rFonts w:cs="Arial"/>
                <w:i/>
                <w:szCs w:val="22"/>
              </w:rPr>
              <w:t>is</w:t>
            </w:r>
            <w:r w:rsidR="00C5719A">
              <w:rPr>
                <w:rFonts w:cs="Arial"/>
                <w:i/>
                <w:szCs w:val="22"/>
              </w:rPr>
              <w:t xml:space="preserve"> expected to increase services at the community level.</w:t>
            </w:r>
            <w:r>
              <w:rPr>
                <w:rFonts w:cs="Arial"/>
                <w:i/>
                <w:szCs w:val="22"/>
              </w:rPr>
              <w:t xml:space="preserve">. </w:t>
            </w:r>
          </w:p>
        </w:tc>
      </w:tr>
      <w:tr w:rsidR="00052899" w:rsidRPr="00B40A7C">
        <w:trPr>
          <w:trHeight w:val="171"/>
        </w:trPr>
        <w:tc>
          <w:tcPr>
            <w:tcW w:w="1225" w:type="pct"/>
            <w:shd w:val="clear" w:color="auto" w:fill="FFFFFF"/>
          </w:tcPr>
          <w:p w:rsidR="00052899" w:rsidRPr="00B40A7C" w:rsidRDefault="00052899" w:rsidP="00052899">
            <w:pPr>
              <w:jc w:val="both"/>
              <w:rPr>
                <w:rFonts w:cs="Arial"/>
                <w:b/>
                <w:i/>
                <w:szCs w:val="22"/>
              </w:rPr>
            </w:pPr>
            <w:r w:rsidRPr="00B40A7C">
              <w:rPr>
                <w:rFonts w:cs="Arial"/>
                <w:b/>
                <w:i/>
                <w:szCs w:val="22"/>
              </w:rPr>
              <w:t>Overall Risk Rating for Objective 1</w:t>
            </w:r>
          </w:p>
          <w:p w:rsidR="00052899" w:rsidRPr="00B40A7C" w:rsidRDefault="00052899" w:rsidP="00052899">
            <w:pPr>
              <w:jc w:val="both"/>
              <w:rPr>
                <w:rFonts w:cs="Arial"/>
                <w:i/>
                <w:szCs w:val="22"/>
              </w:rPr>
            </w:pPr>
          </w:p>
        </w:tc>
        <w:tc>
          <w:tcPr>
            <w:tcW w:w="860" w:type="pct"/>
            <w:gridSpan w:val="2"/>
            <w:shd w:val="clear" w:color="auto" w:fill="FFFFFF"/>
          </w:tcPr>
          <w:p w:rsidR="00052899" w:rsidRPr="00B40A7C" w:rsidRDefault="00052899" w:rsidP="00052899">
            <w:pPr>
              <w:jc w:val="both"/>
              <w:rPr>
                <w:rFonts w:cs="Arial"/>
                <w:i/>
                <w:szCs w:val="22"/>
              </w:rPr>
            </w:pPr>
            <w:r w:rsidRPr="00B40A7C">
              <w:rPr>
                <w:rFonts w:cs="Arial"/>
                <w:i/>
                <w:szCs w:val="22"/>
              </w:rPr>
              <w:t>Low</w:t>
            </w:r>
          </w:p>
        </w:tc>
        <w:tc>
          <w:tcPr>
            <w:tcW w:w="753" w:type="pct"/>
            <w:gridSpan w:val="2"/>
            <w:shd w:val="clear" w:color="auto" w:fill="FFFFFF"/>
          </w:tcPr>
          <w:p w:rsidR="00052899" w:rsidRPr="00B40A7C" w:rsidRDefault="00052899" w:rsidP="00052899">
            <w:pPr>
              <w:jc w:val="both"/>
              <w:rPr>
                <w:rFonts w:cs="Arial"/>
                <w:i/>
                <w:szCs w:val="22"/>
              </w:rPr>
            </w:pPr>
            <w:r w:rsidRPr="00B40A7C">
              <w:rPr>
                <w:rFonts w:cs="Arial"/>
                <w:i/>
                <w:szCs w:val="22"/>
              </w:rPr>
              <w:t>Low</w:t>
            </w:r>
          </w:p>
        </w:tc>
        <w:tc>
          <w:tcPr>
            <w:tcW w:w="2162" w:type="pct"/>
            <w:gridSpan w:val="2"/>
            <w:shd w:val="clear" w:color="auto" w:fill="FFFFFF"/>
          </w:tcPr>
          <w:p w:rsidR="00052899" w:rsidRPr="00B40A7C" w:rsidRDefault="00052899" w:rsidP="00052899">
            <w:pPr>
              <w:jc w:val="both"/>
              <w:rPr>
                <w:rFonts w:cs="Arial"/>
                <w:i/>
                <w:szCs w:val="22"/>
              </w:rPr>
            </w:pPr>
          </w:p>
        </w:tc>
      </w:tr>
      <w:tr w:rsidR="00052899" w:rsidRPr="00B40A7C">
        <w:trPr>
          <w:trHeight w:val="171"/>
        </w:trPr>
        <w:tc>
          <w:tcPr>
            <w:tcW w:w="5000" w:type="pct"/>
            <w:gridSpan w:val="7"/>
            <w:shd w:val="clear" w:color="auto" w:fill="FFFFFF"/>
          </w:tcPr>
          <w:p w:rsidR="00052899" w:rsidRPr="001B73BB" w:rsidRDefault="00052899" w:rsidP="00052899">
            <w:pPr>
              <w:spacing w:before="120" w:after="120"/>
              <w:jc w:val="both"/>
              <w:rPr>
                <w:rFonts w:cs="Arial"/>
                <w:b/>
                <w:i/>
                <w:szCs w:val="22"/>
              </w:rPr>
            </w:pPr>
            <w:r w:rsidRPr="009E3797">
              <w:rPr>
                <w:rFonts w:cs="Arial"/>
                <w:b/>
                <w:i/>
                <w:szCs w:val="22"/>
              </w:rPr>
              <w:t xml:space="preserve">Objective 2. To strengthen health worker capacity and distribution </w:t>
            </w:r>
            <w:r w:rsidR="001629E4">
              <w:rPr>
                <w:rFonts w:cs="Arial"/>
                <w:b/>
                <w:i/>
                <w:szCs w:val="22"/>
              </w:rPr>
              <w:t>to</w:t>
            </w:r>
            <w:r w:rsidRPr="009E3797">
              <w:rPr>
                <w:rFonts w:cs="Arial"/>
                <w:b/>
                <w:i/>
                <w:szCs w:val="22"/>
              </w:rPr>
              <w:t xml:space="preserve"> address equity issues in districts levels. (Workforce and Human Resources)</w:t>
            </w:r>
          </w:p>
        </w:tc>
      </w:tr>
      <w:tr w:rsidR="00052899" w:rsidRPr="00B40A7C">
        <w:trPr>
          <w:trHeight w:val="171"/>
        </w:trPr>
        <w:tc>
          <w:tcPr>
            <w:tcW w:w="1802" w:type="pct"/>
            <w:gridSpan w:val="2"/>
            <w:shd w:val="clear" w:color="auto" w:fill="FFFFFF"/>
          </w:tcPr>
          <w:p w:rsidR="00052899" w:rsidRPr="00B40A7C" w:rsidRDefault="00052899" w:rsidP="00052899">
            <w:pPr>
              <w:jc w:val="both"/>
              <w:rPr>
                <w:rFonts w:cs="Arial"/>
                <w:i/>
                <w:szCs w:val="22"/>
              </w:rPr>
            </w:pPr>
            <w:r w:rsidRPr="00B40A7C">
              <w:rPr>
                <w:rFonts w:cs="Arial"/>
                <w:i/>
                <w:szCs w:val="22"/>
              </w:rPr>
              <w:t>Fiduciary Risks:</w:t>
            </w:r>
          </w:p>
        </w:tc>
        <w:tc>
          <w:tcPr>
            <w:tcW w:w="552" w:type="pct"/>
            <w:gridSpan w:val="2"/>
            <w:shd w:val="clear" w:color="auto" w:fill="FFFFFF"/>
          </w:tcPr>
          <w:p w:rsidR="00052899" w:rsidRPr="00B40A7C" w:rsidRDefault="00052899" w:rsidP="00052899">
            <w:pPr>
              <w:jc w:val="both"/>
              <w:rPr>
                <w:rFonts w:cs="Arial"/>
                <w:b/>
                <w:i/>
                <w:szCs w:val="22"/>
              </w:rPr>
            </w:pPr>
            <w:r w:rsidRPr="00B40A7C">
              <w:rPr>
                <w:rFonts w:cs="Arial"/>
                <w:i/>
                <w:szCs w:val="22"/>
              </w:rPr>
              <w:t>N/A</w:t>
            </w:r>
          </w:p>
        </w:tc>
        <w:tc>
          <w:tcPr>
            <w:tcW w:w="1275" w:type="pct"/>
            <w:gridSpan w:val="2"/>
            <w:shd w:val="clear" w:color="auto" w:fill="FFFFFF"/>
          </w:tcPr>
          <w:p w:rsidR="00052899" w:rsidRPr="00B40A7C" w:rsidRDefault="00052899" w:rsidP="00052899">
            <w:pPr>
              <w:jc w:val="both"/>
              <w:rPr>
                <w:rFonts w:cs="Arial"/>
                <w:b/>
                <w:i/>
                <w:szCs w:val="22"/>
              </w:rPr>
            </w:pPr>
            <w:r w:rsidRPr="00B40A7C">
              <w:rPr>
                <w:rFonts w:cs="Arial"/>
                <w:i/>
                <w:szCs w:val="22"/>
              </w:rPr>
              <w:t>N/A</w:t>
            </w:r>
          </w:p>
        </w:tc>
        <w:tc>
          <w:tcPr>
            <w:tcW w:w="1371" w:type="pct"/>
            <w:shd w:val="clear" w:color="auto" w:fill="FFFFFF"/>
          </w:tcPr>
          <w:p w:rsidR="00052899" w:rsidRPr="00B40A7C" w:rsidRDefault="00052899" w:rsidP="00052899">
            <w:pPr>
              <w:jc w:val="both"/>
              <w:rPr>
                <w:rFonts w:cs="Arial"/>
                <w:b/>
                <w:i/>
                <w:szCs w:val="22"/>
              </w:rPr>
            </w:pPr>
          </w:p>
        </w:tc>
      </w:tr>
      <w:tr w:rsidR="00052899" w:rsidRPr="00B40A7C">
        <w:trPr>
          <w:trHeight w:val="171"/>
        </w:trPr>
        <w:tc>
          <w:tcPr>
            <w:tcW w:w="1802" w:type="pct"/>
            <w:gridSpan w:val="2"/>
            <w:shd w:val="clear" w:color="auto" w:fill="FFFFFF"/>
          </w:tcPr>
          <w:p w:rsidR="00587844" w:rsidRPr="00B40A7C" w:rsidRDefault="00587844" w:rsidP="00052899">
            <w:pPr>
              <w:jc w:val="both"/>
              <w:rPr>
                <w:rFonts w:cs="Arial"/>
                <w:i/>
                <w:szCs w:val="22"/>
              </w:rPr>
            </w:pPr>
            <w:r>
              <w:rPr>
                <w:rFonts w:cs="Arial"/>
                <w:i/>
                <w:szCs w:val="22"/>
              </w:rPr>
              <w:t xml:space="preserve">The extent to which </w:t>
            </w:r>
            <w:r w:rsidR="00472AFA">
              <w:rPr>
                <w:rFonts w:cs="Arial"/>
                <w:i/>
                <w:szCs w:val="22"/>
              </w:rPr>
              <w:t>MOH</w:t>
            </w:r>
            <w:r w:rsidR="000679E7">
              <w:rPr>
                <w:rFonts w:cs="Arial"/>
                <w:i/>
                <w:szCs w:val="22"/>
              </w:rPr>
              <w:t xml:space="preserve"> </w:t>
            </w:r>
            <w:r>
              <w:rPr>
                <w:rFonts w:cs="Arial"/>
                <w:i/>
                <w:szCs w:val="22"/>
              </w:rPr>
              <w:t>can implement its policies and strategies on HRH</w:t>
            </w:r>
          </w:p>
        </w:tc>
        <w:tc>
          <w:tcPr>
            <w:tcW w:w="552" w:type="pct"/>
            <w:gridSpan w:val="2"/>
            <w:shd w:val="clear" w:color="auto" w:fill="FFFFFF"/>
          </w:tcPr>
          <w:p w:rsidR="00052899" w:rsidRPr="00B40A7C" w:rsidRDefault="00587844" w:rsidP="00052899">
            <w:pPr>
              <w:jc w:val="both"/>
              <w:rPr>
                <w:rFonts w:cs="Arial"/>
                <w:b/>
                <w:i/>
                <w:szCs w:val="22"/>
              </w:rPr>
            </w:pPr>
            <w:r>
              <w:rPr>
                <w:rFonts w:cs="Arial"/>
                <w:i/>
                <w:szCs w:val="22"/>
              </w:rPr>
              <w:t>Middle</w:t>
            </w:r>
          </w:p>
        </w:tc>
        <w:tc>
          <w:tcPr>
            <w:tcW w:w="1275" w:type="pct"/>
            <w:gridSpan w:val="2"/>
            <w:shd w:val="clear" w:color="auto" w:fill="FFFFFF"/>
          </w:tcPr>
          <w:p w:rsidR="00052899" w:rsidRPr="00B40A7C" w:rsidRDefault="00587844" w:rsidP="00052899">
            <w:pPr>
              <w:jc w:val="both"/>
              <w:rPr>
                <w:rFonts w:cs="Arial"/>
                <w:b/>
                <w:i/>
                <w:szCs w:val="22"/>
              </w:rPr>
            </w:pPr>
            <w:r>
              <w:rPr>
                <w:rFonts w:cs="Arial"/>
                <w:i/>
                <w:szCs w:val="22"/>
              </w:rPr>
              <w:t>Low</w:t>
            </w:r>
          </w:p>
        </w:tc>
        <w:tc>
          <w:tcPr>
            <w:tcW w:w="1371" w:type="pct"/>
            <w:shd w:val="clear" w:color="auto" w:fill="FFFFFF"/>
          </w:tcPr>
          <w:p w:rsidR="00052899" w:rsidRPr="00B40A7C" w:rsidRDefault="00587844" w:rsidP="00587844">
            <w:pPr>
              <w:jc w:val="both"/>
              <w:rPr>
                <w:rFonts w:cs="Arial"/>
                <w:b/>
                <w:i/>
                <w:szCs w:val="22"/>
              </w:rPr>
            </w:pPr>
            <w:r>
              <w:rPr>
                <w:rFonts w:cs="Arial"/>
                <w:i/>
                <w:szCs w:val="22"/>
              </w:rPr>
              <w:t xml:space="preserve">There is an ongoing institutional reform in the </w:t>
            </w:r>
            <w:r w:rsidR="00472AFA">
              <w:rPr>
                <w:rFonts w:cs="Arial"/>
                <w:i/>
                <w:szCs w:val="22"/>
              </w:rPr>
              <w:t>MOH</w:t>
            </w:r>
            <w:r w:rsidR="000679E7">
              <w:rPr>
                <w:rFonts w:cs="Arial"/>
                <w:i/>
                <w:szCs w:val="22"/>
              </w:rPr>
              <w:t xml:space="preserve"> </w:t>
            </w:r>
            <w:r>
              <w:rPr>
                <w:rFonts w:cs="Arial"/>
                <w:i/>
                <w:szCs w:val="22"/>
              </w:rPr>
              <w:t xml:space="preserve">focussing on performance. </w:t>
            </w:r>
            <w:r w:rsidR="00052899">
              <w:rPr>
                <w:rFonts w:cs="Arial"/>
                <w:i/>
                <w:szCs w:val="22"/>
              </w:rPr>
              <w:t>The Ministry is currently implementing a policy that ensures regionally localised production and retention of staff. Steps are also in place to finalise the staff</w:t>
            </w:r>
            <w:r>
              <w:rPr>
                <w:rFonts w:cs="Arial"/>
                <w:i/>
                <w:szCs w:val="22"/>
              </w:rPr>
              <w:t>ing</w:t>
            </w:r>
            <w:r w:rsidR="00052899">
              <w:rPr>
                <w:rFonts w:cs="Arial"/>
                <w:i/>
                <w:szCs w:val="22"/>
              </w:rPr>
              <w:t xml:space="preserve"> norms which when implemented will address distributional challenges. </w:t>
            </w:r>
          </w:p>
        </w:tc>
      </w:tr>
      <w:tr w:rsidR="00052899" w:rsidRPr="00B40A7C">
        <w:trPr>
          <w:trHeight w:val="171"/>
        </w:trPr>
        <w:tc>
          <w:tcPr>
            <w:tcW w:w="1802" w:type="pct"/>
            <w:gridSpan w:val="2"/>
            <w:shd w:val="clear" w:color="auto" w:fill="FFFFFF"/>
          </w:tcPr>
          <w:p w:rsidR="00052899" w:rsidRPr="00B40A7C" w:rsidRDefault="00052899" w:rsidP="00052899">
            <w:pPr>
              <w:jc w:val="both"/>
              <w:rPr>
                <w:rFonts w:cs="Arial"/>
                <w:i/>
                <w:szCs w:val="22"/>
              </w:rPr>
            </w:pPr>
            <w:r w:rsidRPr="00B40A7C">
              <w:rPr>
                <w:rFonts w:cs="Arial"/>
                <w:i/>
                <w:szCs w:val="22"/>
              </w:rPr>
              <w:t>Operational Risks:</w:t>
            </w:r>
          </w:p>
        </w:tc>
        <w:tc>
          <w:tcPr>
            <w:tcW w:w="552" w:type="pct"/>
            <w:gridSpan w:val="2"/>
            <w:shd w:val="clear" w:color="auto" w:fill="FFFFFF"/>
          </w:tcPr>
          <w:p w:rsidR="00052899" w:rsidRPr="00B40A7C" w:rsidRDefault="00052899" w:rsidP="00052899">
            <w:pPr>
              <w:jc w:val="both"/>
              <w:rPr>
                <w:rFonts w:cs="Arial"/>
                <w:b/>
                <w:i/>
                <w:szCs w:val="22"/>
              </w:rPr>
            </w:pPr>
            <w:r w:rsidRPr="00B40A7C">
              <w:rPr>
                <w:rFonts w:cs="Arial"/>
                <w:i/>
                <w:szCs w:val="22"/>
              </w:rPr>
              <w:t>Low</w:t>
            </w:r>
          </w:p>
        </w:tc>
        <w:tc>
          <w:tcPr>
            <w:tcW w:w="1275" w:type="pct"/>
            <w:gridSpan w:val="2"/>
            <w:shd w:val="clear" w:color="auto" w:fill="FFFFFF"/>
          </w:tcPr>
          <w:p w:rsidR="00052899" w:rsidRPr="00B40A7C" w:rsidRDefault="00052899" w:rsidP="00052899">
            <w:pPr>
              <w:jc w:val="both"/>
              <w:rPr>
                <w:rFonts w:cs="Arial"/>
                <w:b/>
                <w:i/>
                <w:szCs w:val="22"/>
              </w:rPr>
            </w:pPr>
            <w:r w:rsidRPr="00B40A7C">
              <w:rPr>
                <w:rFonts w:cs="Arial"/>
                <w:i/>
                <w:szCs w:val="22"/>
              </w:rPr>
              <w:t>Low</w:t>
            </w:r>
          </w:p>
        </w:tc>
        <w:tc>
          <w:tcPr>
            <w:tcW w:w="1371" w:type="pct"/>
            <w:shd w:val="clear" w:color="auto" w:fill="FFFFFF"/>
          </w:tcPr>
          <w:p w:rsidR="00052899" w:rsidRPr="00B40A7C" w:rsidRDefault="00052899" w:rsidP="00052899">
            <w:pPr>
              <w:jc w:val="both"/>
              <w:rPr>
                <w:rFonts w:cs="Arial"/>
                <w:b/>
                <w:i/>
                <w:szCs w:val="22"/>
              </w:rPr>
            </w:pPr>
          </w:p>
        </w:tc>
      </w:tr>
      <w:tr w:rsidR="00052899" w:rsidRPr="00B40A7C">
        <w:trPr>
          <w:trHeight w:val="171"/>
        </w:trPr>
        <w:tc>
          <w:tcPr>
            <w:tcW w:w="1802" w:type="pct"/>
            <w:gridSpan w:val="2"/>
            <w:shd w:val="clear" w:color="auto" w:fill="FFFFFF"/>
          </w:tcPr>
          <w:p w:rsidR="00052899" w:rsidRPr="00B40A7C" w:rsidRDefault="00052899" w:rsidP="00052899">
            <w:pPr>
              <w:jc w:val="both"/>
              <w:rPr>
                <w:rFonts w:cs="Arial"/>
                <w:b/>
                <w:i/>
                <w:szCs w:val="22"/>
              </w:rPr>
            </w:pPr>
            <w:r w:rsidRPr="00B40A7C">
              <w:rPr>
                <w:rFonts w:cs="Arial"/>
                <w:b/>
                <w:i/>
                <w:szCs w:val="22"/>
              </w:rPr>
              <w:t>Overall Risk Rating for Objective 2</w:t>
            </w:r>
          </w:p>
        </w:tc>
        <w:tc>
          <w:tcPr>
            <w:tcW w:w="552" w:type="pct"/>
            <w:gridSpan w:val="2"/>
            <w:shd w:val="clear" w:color="auto" w:fill="FFFFFF"/>
          </w:tcPr>
          <w:p w:rsidR="00052899" w:rsidRPr="00B40A7C" w:rsidRDefault="00052899" w:rsidP="00052899">
            <w:pPr>
              <w:jc w:val="both"/>
              <w:rPr>
                <w:rFonts w:cs="Arial"/>
                <w:b/>
                <w:i/>
                <w:szCs w:val="22"/>
              </w:rPr>
            </w:pPr>
            <w:r w:rsidRPr="00B40A7C">
              <w:rPr>
                <w:rFonts w:cs="Arial"/>
                <w:b/>
                <w:i/>
                <w:szCs w:val="22"/>
              </w:rPr>
              <w:t>Low</w:t>
            </w:r>
          </w:p>
        </w:tc>
        <w:tc>
          <w:tcPr>
            <w:tcW w:w="1275" w:type="pct"/>
            <w:gridSpan w:val="2"/>
            <w:shd w:val="clear" w:color="auto" w:fill="FFFFFF"/>
          </w:tcPr>
          <w:p w:rsidR="00052899" w:rsidRPr="00B40A7C" w:rsidRDefault="00052899" w:rsidP="00052899">
            <w:pPr>
              <w:jc w:val="both"/>
              <w:rPr>
                <w:rFonts w:cs="Arial"/>
                <w:b/>
                <w:i/>
                <w:szCs w:val="22"/>
              </w:rPr>
            </w:pPr>
            <w:r w:rsidRPr="00B40A7C">
              <w:rPr>
                <w:rFonts w:cs="Arial"/>
                <w:b/>
                <w:i/>
                <w:szCs w:val="22"/>
              </w:rPr>
              <w:t>Medium</w:t>
            </w:r>
          </w:p>
        </w:tc>
        <w:tc>
          <w:tcPr>
            <w:tcW w:w="1371" w:type="pct"/>
            <w:shd w:val="clear" w:color="auto" w:fill="FFFFFF"/>
          </w:tcPr>
          <w:p w:rsidR="00052899" w:rsidRPr="00B40A7C" w:rsidRDefault="00052899" w:rsidP="00052899">
            <w:pPr>
              <w:jc w:val="both"/>
              <w:rPr>
                <w:rFonts w:cs="Arial"/>
                <w:b/>
                <w:i/>
                <w:szCs w:val="22"/>
              </w:rPr>
            </w:pPr>
          </w:p>
        </w:tc>
      </w:tr>
      <w:tr w:rsidR="00052899" w:rsidRPr="00B40A7C">
        <w:trPr>
          <w:trHeight w:val="171"/>
        </w:trPr>
        <w:tc>
          <w:tcPr>
            <w:tcW w:w="5000" w:type="pct"/>
            <w:gridSpan w:val="7"/>
            <w:shd w:val="clear" w:color="auto" w:fill="FFFFFF"/>
          </w:tcPr>
          <w:p w:rsidR="00052899" w:rsidRPr="00B40A7C" w:rsidRDefault="00052899" w:rsidP="00052899">
            <w:pPr>
              <w:jc w:val="both"/>
              <w:rPr>
                <w:rFonts w:cs="Arial"/>
                <w:b/>
                <w:i/>
                <w:szCs w:val="22"/>
              </w:rPr>
            </w:pPr>
            <w:r w:rsidRPr="009E3797">
              <w:rPr>
                <w:rFonts w:cs="Arial"/>
                <w:b/>
                <w:i/>
                <w:szCs w:val="22"/>
              </w:rPr>
              <w:t>Objective 3. To improve storage, distribution and management of logistics and ensure the availability of potent, quality and safe vaccines, medicines and devices</w:t>
            </w:r>
          </w:p>
        </w:tc>
      </w:tr>
      <w:tr w:rsidR="00052899" w:rsidRPr="00B40A7C">
        <w:trPr>
          <w:trHeight w:val="171"/>
        </w:trPr>
        <w:tc>
          <w:tcPr>
            <w:tcW w:w="1802" w:type="pct"/>
            <w:gridSpan w:val="2"/>
            <w:shd w:val="clear" w:color="auto" w:fill="FFFFFF"/>
            <w:vAlign w:val="center"/>
          </w:tcPr>
          <w:p w:rsidR="000848A8" w:rsidRDefault="00052899" w:rsidP="000848A8">
            <w:pPr>
              <w:jc w:val="both"/>
              <w:rPr>
                <w:rFonts w:cs="Arial"/>
                <w:i/>
                <w:szCs w:val="22"/>
              </w:rPr>
            </w:pPr>
            <w:r w:rsidRPr="00B40A7C">
              <w:rPr>
                <w:rFonts w:cs="Arial"/>
                <w:i/>
                <w:szCs w:val="22"/>
              </w:rPr>
              <w:t>Fiduciary Risks:</w:t>
            </w:r>
            <w:r w:rsidR="00EA4BB7">
              <w:rPr>
                <w:rFonts w:cs="Arial"/>
                <w:i/>
                <w:szCs w:val="22"/>
              </w:rPr>
              <w:t xml:space="preserve"> </w:t>
            </w:r>
            <w:r w:rsidR="000848A8">
              <w:rPr>
                <w:rFonts w:cs="Arial"/>
                <w:i/>
                <w:szCs w:val="22"/>
              </w:rPr>
              <w:t>challenges in the management of logistics at central medical stores</w:t>
            </w:r>
          </w:p>
          <w:p w:rsidR="00052899" w:rsidRPr="00B40A7C" w:rsidRDefault="00052899" w:rsidP="00797418">
            <w:pPr>
              <w:jc w:val="both"/>
              <w:rPr>
                <w:rFonts w:cs="Arial"/>
                <w:b/>
                <w:i/>
                <w:szCs w:val="22"/>
              </w:rPr>
            </w:pPr>
          </w:p>
        </w:tc>
        <w:tc>
          <w:tcPr>
            <w:tcW w:w="552" w:type="pct"/>
            <w:gridSpan w:val="2"/>
            <w:shd w:val="clear" w:color="auto" w:fill="FFFFFF"/>
            <w:vAlign w:val="center"/>
          </w:tcPr>
          <w:p w:rsidR="00052899" w:rsidRPr="00B40A7C" w:rsidRDefault="00052899" w:rsidP="00052899">
            <w:pPr>
              <w:jc w:val="both"/>
              <w:rPr>
                <w:rFonts w:cs="Arial"/>
                <w:b/>
                <w:i/>
                <w:szCs w:val="22"/>
              </w:rPr>
            </w:pPr>
            <w:r w:rsidRPr="00B40A7C">
              <w:rPr>
                <w:rFonts w:cs="Arial"/>
                <w:i/>
                <w:szCs w:val="22"/>
              </w:rPr>
              <w:t>Low</w:t>
            </w:r>
          </w:p>
        </w:tc>
        <w:tc>
          <w:tcPr>
            <w:tcW w:w="1275" w:type="pct"/>
            <w:gridSpan w:val="2"/>
            <w:shd w:val="clear" w:color="auto" w:fill="FFFFFF"/>
            <w:vAlign w:val="center"/>
          </w:tcPr>
          <w:p w:rsidR="00052899" w:rsidRPr="00B40A7C" w:rsidRDefault="00EA4BB7" w:rsidP="00052899">
            <w:pPr>
              <w:jc w:val="both"/>
              <w:rPr>
                <w:rFonts w:cs="Arial"/>
                <w:b/>
                <w:i/>
                <w:szCs w:val="22"/>
              </w:rPr>
            </w:pPr>
            <w:r>
              <w:rPr>
                <w:rFonts w:cs="Arial"/>
                <w:i/>
                <w:szCs w:val="22"/>
              </w:rPr>
              <w:t>Low</w:t>
            </w:r>
          </w:p>
        </w:tc>
        <w:tc>
          <w:tcPr>
            <w:tcW w:w="1371" w:type="pct"/>
            <w:shd w:val="clear" w:color="auto" w:fill="FFFFFF"/>
            <w:vAlign w:val="center"/>
          </w:tcPr>
          <w:p w:rsidR="00052899" w:rsidRPr="000848A8" w:rsidRDefault="00472AFA" w:rsidP="000848A8">
            <w:pPr>
              <w:jc w:val="both"/>
              <w:rPr>
                <w:rFonts w:cs="Arial"/>
                <w:i/>
                <w:szCs w:val="22"/>
              </w:rPr>
            </w:pPr>
            <w:r>
              <w:rPr>
                <w:rFonts w:cs="Arial"/>
                <w:i/>
                <w:szCs w:val="22"/>
              </w:rPr>
              <w:t>MOH</w:t>
            </w:r>
            <w:r w:rsidR="000679E7">
              <w:rPr>
                <w:rFonts w:cs="Arial"/>
                <w:i/>
                <w:szCs w:val="22"/>
              </w:rPr>
              <w:t xml:space="preserve"> </w:t>
            </w:r>
            <w:r w:rsidR="000848A8">
              <w:rPr>
                <w:rFonts w:cs="Arial"/>
                <w:i/>
                <w:szCs w:val="22"/>
              </w:rPr>
              <w:t>has set up an interim management committee to review and make recommendations for implementation</w:t>
            </w:r>
          </w:p>
        </w:tc>
      </w:tr>
      <w:tr w:rsidR="00052899" w:rsidRPr="00B40A7C">
        <w:trPr>
          <w:trHeight w:val="171"/>
        </w:trPr>
        <w:tc>
          <w:tcPr>
            <w:tcW w:w="1802" w:type="pct"/>
            <w:gridSpan w:val="2"/>
            <w:shd w:val="clear" w:color="auto" w:fill="FFFFFF"/>
            <w:vAlign w:val="center"/>
          </w:tcPr>
          <w:p w:rsidR="00797418" w:rsidRDefault="00052899" w:rsidP="000848A8">
            <w:pPr>
              <w:jc w:val="both"/>
              <w:rPr>
                <w:rFonts w:cs="Arial"/>
                <w:i/>
                <w:szCs w:val="22"/>
              </w:rPr>
            </w:pPr>
            <w:r w:rsidRPr="00B40A7C">
              <w:rPr>
                <w:rFonts w:cs="Arial"/>
                <w:i/>
                <w:szCs w:val="22"/>
              </w:rPr>
              <w:t>Institutional Risks:</w:t>
            </w:r>
            <w:r w:rsidR="00797418">
              <w:rPr>
                <w:rFonts w:cs="Arial"/>
                <w:i/>
                <w:szCs w:val="22"/>
              </w:rPr>
              <w:t xml:space="preserve"> </w:t>
            </w:r>
            <w:r w:rsidR="000848A8">
              <w:rPr>
                <w:rFonts w:cs="Arial"/>
                <w:i/>
                <w:szCs w:val="22"/>
              </w:rPr>
              <w:t xml:space="preserve">challenges in the </w:t>
            </w:r>
            <w:r w:rsidR="00797418">
              <w:rPr>
                <w:rFonts w:cs="Arial"/>
                <w:i/>
                <w:szCs w:val="22"/>
              </w:rPr>
              <w:t>management of logistics at central medical stores</w:t>
            </w:r>
          </w:p>
          <w:p w:rsidR="00052899" w:rsidRPr="00B40A7C" w:rsidRDefault="00052899" w:rsidP="00052899">
            <w:pPr>
              <w:jc w:val="both"/>
              <w:rPr>
                <w:rFonts w:cs="Arial"/>
                <w:b/>
                <w:i/>
                <w:szCs w:val="22"/>
              </w:rPr>
            </w:pPr>
          </w:p>
        </w:tc>
        <w:tc>
          <w:tcPr>
            <w:tcW w:w="552" w:type="pct"/>
            <w:gridSpan w:val="2"/>
            <w:shd w:val="clear" w:color="auto" w:fill="FFFFFF"/>
            <w:vAlign w:val="center"/>
          </w:tcPr>
          <w:p w:rsidR="00052899" w:rsidRPr="00B40A7C" w:rsidRDefault="00052899" w:rsidP="00052899">
            <w:pPr>
              <w:jc w:val="both"/>
              <w:rPr>
                <w:rFonts w:cs="Arial"/>
                <w:b/>
                <w:i/>
                <w:szCs w:val="22"/>
              </w:rPr>
            </w:pPr>
            <w:r w:rsidRPr="00B40A7C">
              <w:rPr>
                <w:rFonts w:cs="Arial"/>
                <w:i/>
                <w:szCs w:val="22"/>
              </w:rPr>
              <w:t>Low</w:t>
            </w:r>
          </w:p>
        </w:tc>
        <w:tc>
          <w:tcPr>
            <w:tcW w:w="1275" w:type="pct"/>
            <w:gridSpan w:val="2"/>
            <w:shd w:val="clear" w:color="auto" w:fill="FFFFFF"/>
            <w:vAlign w:val="center"/>
          </w:tcPr>
          <w:p w:rsidR="00052899" w:rsidRPr="00B40A7C" w:rsidRDefault="00052899" w:rsidP="00052899">
            <w:pPr>
              <w:jc w:val="both"/>
              <w:rPr>
                <w:rFonts w:cs="Arial"/>
                <w:b/>
                <w:i/>
                <w:szCs w:val="22"/>
              </w:rPr>
            </w:pPr>
            <w:r w:rsidRPr="00B40A7C">
              <w:rPr>
                <w:rFonts w:cs="Arial"/>
                <w:i/>
                <w:szCs w:val="22"/>
              </w:rPr>
              <w:t>Low</w:t>
            </w:r>
          </w:p>
        </w:tc>
        <w:tc>
          <w:tcPr>
            <w:tcW w:w="1371" w:type="pct"/>
            <w:shd w:val="clear" w:color="auto" w:fill="FFFFFF"/>
            <w:vAlign w:val="center"/>
          </w:tcPr>
          <w:p w:rsidR="00797418" w:rsidRDefault="00472AFA" w:rsidP="00052899">
            <w:pPr>
              <w:jc w:val="both"/>
              <w:rPr>
                <w:rFonts w:cs="Arial"/>
                <w:i/>
                <w:szCs w:val="22"/>
              </w:rPr>
            </w:pPr>
            <w:r>
              <w:rPr>
                <w:rFonts w:cs="Arial"/>
                <w:i/>
                <w:szCs w:val="22"/>
              </w:rPr>
              <w:t>MOH</w:t>
            </w:r>
            <w:r w:rsidR="000679E7">
              <w:rPr>
                <w:rFonts w:cs="Arial"/>
                <w:i/>
                <w:szCs w:val="22"/>
              </w:rPr>
              <w:t xml:space="preserve"> </w:t>
            </w:r>
            <w:r w:rsidR="00797418">
              <w:rPr>
                <w:rFonts w:cs="Arial"/>
                <w:i/>
                <w:szCs w:val="22"/>
              </w:rPr>
              <w:t>has set up an interim management committee to review and make recommendations for implementation</w:t>
            </w:r>
          </w:p>
          <w:p w:rsidR="00052899" w:rsidRPr="00B40A7C" w:rsidRDefault="00052899" w:rsidP="00052899">
            <w:pPr>
              <w:jc w:val="both"/>
              <w:rPr>
                <w:rFonts w:cs="Arial"/>
                <w:b/>
                <w:i/>
                <w:szCs w:val="22"/>
              </w:rPr>
            </w:pPr>
          </w:p>
        </w:tc>
      </w:tr>
      <w:tr w:rsidR="00052899" w:rsidRPr="00B40A7C">
        <w:trPr>
          <w:trHeight w:val="171"/>
        </w:trPr>
        <w:tc>
          <w:tcPr>
            <w:tcW w:w="1802" w:type="pct"/>
            <w:gridSpan w:val="2"/>
            <w:shd w:val="clear" w:color="auto" w:fill="FFFFFF"/>
            <w:vAlign w:val="center"/>
          </w:tcPr>
          <w:p w:rsidR="00052899" w:rsidRPr="00B40A7C" w:rsidRDefault="00052899" w:rsidP="00052899">
            <w:pPr>
              <w:jc w:val="both"/>
              <w:rPr>
                <w:rFonts w:cs="Arial"/>
                <w:b/>
                <w:i/>
                <w:szCs w:val="22"/>
              </w:rPr>
            </w:pPr>
            <w:r w:rsidRPr="00B40A7C">
              <w:rPr>
                <w:rFonts w:cs="Arial"/>
                <w:i/>
                <w:szCs w:val="22"/>
              </w:rPr>
              <w:lastRenderedPageBreak/>
              <w:t>Operational Risks:</w:t>
            </w:r>
          </w:p>
        </w:tc>
        <w:tc>
          <w:tcPr>
            <w:tcW w:w="552" w:type="pct"/>
            <w:gridSpan w:val="2"/>
            <w:shd w:val="clear" w:color="auto" w:fill="FFFFFF"/>
            <w:vAlign w:val="center"/>
          </w:tcPr>
          <w:p w:rsidR="00052899" w:rsidRPr="00B40A7C" w:rsidRDefault="00052899" w:rsidP="00052899">
            <w:pPr>
              <w:jc w:val="both"/>
              <w:rPr>
                <w:rFonts w:cs="Arial"/>
                <w:b/>
                <w:i/>
                <w:szCs w:val="22"/>
              </w:rPr>
            </w:pPr>
            <w:r w:rsidRPr="00B40A7C">
              <w:rPr>
                <w:rFonts w:cs="Arial"/>
                <w:i/>
                <w:szCs w:val="22"/>
              </w:rPr>
              <w:t>Low</w:t>
            </w:r>
          </w:p>
        </w:tc>
        <w:tc>
          <w:tcPr>
            <w:tcW w:w="1275" w:type="pct"/>
            <w:gridSpan w:val="2"/>
            <w:shd w:val="clear" w:color="auto" w:fill="FFFFFF"/>
            <w:vAlign w:val="center"/>
          </w:tcPr>
          <w:p w:rsidR="00052899" w:rsidRPr="00B40A7C" w:rsidRDefault="00052899" w:rsidP="00052899">
            <w:pPr>
              <w:jc w:val="both"/>
              <w:rPr>
                <w:rFonts w:cs="Arial"/>
                <w:b/>
                <w:i/>
                <w:szCs w:val="22"/>
              </w:rPr>
            </w:pPr>
            <w:r w:rsidRPr="00B40A7C">
              <w:rPr>
                <w:rFonts w:cs="Arial"/>
                <w:i/>
                <w:szCs w:val="22"/>
              </w:rPr>
              <w:t>Low</w:t>
            </w:r>
          </w:p>
        </w:tc>
        <w:tc>
          <w:tcPr>
            <w:tcW w:w="1371" w:type="pct"/>
            <w:shd w:val="clear" w:color="auto" w:fill="FFFFFF"/>
            <w:vAlign w:val="center"/>
          </w:tcPr>
          <w:p w:rsidR="00052899" w:rsidRPr="00B40A7C" w:rsidRDefault="00052899" w:rsidP="00052899">
            <w:pPr>
              <w:jc w:val="both"/>
              <w:rPr>
                <w:rFonts w:cs="Arial"/>
                <w:b/>
                <w:i/>
                <w:szCs w:val="22"/>
              </w:rPr>
            </w:pPr>
          </w:p>
        </w:tc>
      </w:tr>
      <w:tr w:rsidR="00052899" w:rsidRPr="00B40A7C">
        <w:trPr>
          <w:trHeight w:val="171"/>
        </w:trPr>
        <w:tc>
          <w:tcPr>
            <w:tcW w:w="1802" w:type="pct"/>
            <w:gridSpan w:val="2"/>
            <w:shd w:val="clear" w:color="auto" w:fill="FFFFFF"/>
            <w:vAlign w:val="center"/>
          </w:tcPr>
          <w:p w:rsidR="00052899" w:rsidRPr="00B40A7C" w:rsidRDefault="00052899" w:rsidP="00052899">
            <w:pPr>
              <w:jc w:val="both"/>
              <w:rPr>
                <w:rFonts w:cs="Arial"/>
                <w:b/>
                <w:i/>
                <w:szCs w:val="22"/>
              </w:rPr>
            </w:pPr>
            <w:r w:rsidRPr="00B40A7C">
              <w:rPr>
                <w:rFonts w:cs="Arial"/>
                <w:b/>
                <w:i/>
                <w:szCs w:val="22"/>
              </w:rPr>
              <w:t>Overall Risk Rating for Objective 3</w:t>
            </w:r>
          </w:p>
        </w:tc>
        <w:tc>
          <w:tcPr>
            <w:tcW w:w="552" w:type="pct"/>
            <w:gridSpan w:val="2"/>
            <w:shd w:val="clear" w:color="auto" w:fill="FFFFFF"/>
            <w:vAlign w:val="center"/>
          </w:tcPr>
          <w:p w:rsidR="00052899" w:rsidRPr="00B40A7C" w:rsidRDefault="00052899" w:rsidP="00052899">
            <w:pPr>
              <w:jc w:val="both"/>
              <w:rPr>
                <w:rFonts w:cs="Arial"/>
                <w:b/>
                <w:i/>
                <w:szCs w:val="22"/>
              </w:rPr>
            </w:pPr>
            <w:r w:rsidRPr="00B40A7C">
              <w:rPr>
                <w:rFonts w:cs="Arial"/>
                <w:b/>
                <w:i/>
                <w:szCs w:val="22"/>
              </w:rPr>
              <w:t>Low</w:t>
            </w:r>
          </w:p>
        </w:tc>
        <w:tc>
          <w:tcPr>
            <w:tcW w:w="1275" w:type="pct"/>
            <w:gridSpan w:val="2"/>
            <w:shd w:val="clear" w:color="auto" w:fill="FFFFFF"/>
            <w:vAlign w:val="center"/>
          </w:tcPr>
          <w:p w:rsidR="00052899" w:rsidRPr="00B40A7C" w:rsidRDefault="00052899" w:rsidP="00052899">
            <w:pPr>
              <w:jc w:val="both"/>
              <w:rPr>
                <w:rFonts w:cs="Arial"/>
                <w:b/>
                <w:i/>
                <w:szCs w:val="22"/>
              </w:rPr>
            </w:pPr>
            <w:r>
              <w:rPr>
                <w:rFonts w:cs="Arial"/>
                <w:b/>
                <w:i/>
                <w:szCs w:val="22"/>
              </w:rPr>
              <w:t>Low</w:t>
            </w:r>
          </w:p>
        </w:tc>
        <w:tc>
          <w:tcPr>
            <w:tcW w:w="1371" w:type="pct"/>
            <w:shd w:val="clear" w:color="auto" w:fill="FFFFFF"/>
            <w:vAlign w:val="center"/>
          </w:tcPr>
          <w:p w:rsidR="00052899" w:rsidRPr="00B40A7C" w:rsidRDefault="00052899" w:rsidP="00052899">
            <w:pPr>
              <w:jc w:val="both"/>
              <w:rPr>
                <w:rFonts w:cs="Arial"/>
                <w:b/>
                <w:i/>
                <w:szCs w:val="22"/>
              </w:rPr>
            </w:pPr>
          </w:p>
        </w:tc>
      </w:tr>
      <w:tr w:rsidR="00052899" w:rsidRPr="00B40A7C">
        <w:trPr>
          <w:trHeight w:val="171"/>
        </w:trPr>
        <w:tc>
          <w:tcPr>
            <w:tcW w:w="5000" w:type="pct"/>
            <w:gridSpan w:val="7"/>
            <w:shd w:val="clear" w:color="auto" w:fill="FFFFFF"/>
          </w:tcPr>
          <w:p w:rsidR="00052899" w:rsidRPr="00B40A7C" w:rsidRDefault="00052899" w:rsidP="00052899">
            <w:pPr>
              <w:jc w:val="both"/>
              <w:rPr>
                <w:rFonts w:cs="Arial"/>
                <w:b/>
                <w:i/>
                <w:szCs w:val="22"/>
              </w:rPr>
            </w:pPr>
            <w:r w:rsidRPr="009E3797">
              <w:rPr>
                <w:rFonts w:cs="Arial"/>
                <w:b/>
                <w:i/>
                <w:szCs w:val="22"/>
              </w:rPr>
              <w:t xml:space="preserve">Objective 4: To empower civil society for increased demand for health services at the community  </w:t>
            </w:r>
          </w:p>
        </w:tc>
      </w:tr>
      <w:tr w:rsidR="00052899" w:rsidRPr="00B40A7C">
        <w:trPr>
          <w:trHeight w:val="171"/>
        </w:trPr>
        <w:tc>
          <w:tcPr>
            <w:tcW w:w="1802" w:type="pct"/>
            <w:gridSpan w:val="2"/>
            <w:shd w:val="clear" w:color="auto" w:fill="FFFFFF"/>
          </w:tcPr>
          <w:p w:rsidR="00052899" w:rsidRPr="00B40A7C" w:rsidRDefault="00052899" w:rsidP="000848A8">
            <w:pPr>
              <w:jc w:val="both"/>
              <w:rPr>
                <w:rFonts w:cs="Arial"/>
                <w:b/>
                <w:i/>
                <w:szCs w:val="22"/>
              </w:rPr>
            </w:pPr>
            <w:r w:rsidRPr="00B40A7C">
              <w:rPr>
                <w:rFonts w:cs="Arial"/>
                <w:i/>
                <w:szCs w:val="22"/>
              </w:rPr>
              <w:t>Fiduciary Risks:</w:t>
            </w:r>
          </w:p>
        </w:tc>
        <w:tc>
          <w:tcPr>
            <w:tcW w:w="552" w:type="pct"/>
            <w:gridSpan w:val="2"/>
            <w:shd w:val="clear" w:color="auto" w:fill="FFFFFF"/>
          </w:tcPr>
          <w:p w:rsidR="00052899" w:rsidRPr="00B40A7C" w:rsidRDefault="00052899" w:rsidP="00052899">
            <w:pPr>
              <w:jc w:val="both"/>
              <w:rPr>
                <w:rFonts w:cs="Arial"/>
                <w:b/>
                <w:i/>
                <w:szCs w:val="22"/>
              </w:rPr>
            </w:pPr>
          </w:p>
        </w:tc>
        <w:tc>
          <w:tcPr>
            <w:tcW w:w="1275" w:type="pct"/>
            <w:gridSpan w:val="2"/>
            <w:shd w:val="clear" w:color="auto" w:fill="FFFFFF"/>
          </w:tcPr>
          <w:p w:rsidR="00052899" w:rsidRPr="00B40A7C" w:rsidRDefault="00052899" w:rsidP="00052899">
            <w:pPr>
              <w:jc w:val="both"/>
              <w:rPr>
                <w:rFonts w:cs="Arial"/>
                <w:b/>
                <w:i/>
                <w:szCs w:val="22"/>
              </w:rPr>
            </w:pPr>
          </w:p>
        </w:tc>
        <w:tc>
          <w:tcPr>
            <w:tcW w:w="1371" w:type="pct"/>
            <w:shd w:val="clear" w:color="auto" w:fill="FFFFFF"/>
          </w:tcPr>
          <w:p w:rsidR="00052899" w:rsidRPr="00B40A7C" w:rsidRDefault="00052899" w:rsidP="00052899">
            <w:pPr>
              <w:jc w:val="both"/>
              <w:rPr>
                <w:rFonts w:cs="Arial"/>
                <w:b/>
                <w:i/>
                <w:szCs w:val="22"/>
              </w:rPr>
            </w:pPr>
          </w:p>
        </w:tc>
      </w:tr>
      <w:tr w:rsidR="00052899" w:rsidRPr="00B40A7C">
        <w:trPr>
          <w:trHeight w:val="171"/>
        </w:trPr>
        <w:tc>
          <w:tcPr>
            <w:tcW w:w="1802" w:type="pct"/>
            <w:gridSpan w:val="2"/>
            <w:shd w:val="clear" w:color="auto" w:fill="FFFFFF"/>
          </w:tcPr>
          <w:p w:rsidR="00052899" w:rsidRPr="0018121B" w:rsidRDefault="00052899" w:rsidP="0018121B">
            <w:pPr>
              <w:autoSpaceDE w:val="0"/>
              <w:autoSpaceDN w:val="0"/>
              <w:adjustRightInd w:val="0"/>
              <w:jc w:val="both"/>
              <w:rPr>
                <w:rFonts w:cs="Arial"/>
                <w:szCs w:val="22"/>
                <w:lang w:eastAsia="en-CA"/>
              </w:rPr>
            </w:pPr>
            <w:r w:rsidRPr="0018121B">
              <w:rPr>
                <w:rFonts w:cs="Arial"/>
                <w:i/>
                <w:szCs w:val="22"/>
              </w:rPr>
              <w:t>Institutional Risks:</w:t>
            </w:r>
            <w:r w:rsidRPr="0018121B">
              <w:rPr>
                <w:rFonts w:cs="Arial"/>
                <w:i/>
                <w:szCs w:val="22"/>
                <w:lang w:eastAsia="en-CA"/>
              </w:rPr>
              <w:t xml:space="preserve"> </w:t>
            </w:r>
          </w:p>
          <w:p w:rsidR="00052899" w:rsidRPr="0018121B" w:rsidRDefault="000848A8" w:rsidP="00052899">
            <w:pPr>
              <w:jc w:val="both"/>
              <w:rPr>
                <w:rFonts w:cs="Arial"/>
                <w:i/>
                <w:szCs w:val="22"/>
              </w:rPr>
            </w:pPr>
            <w:r w:rsidRPr="0018121B">
              <w:rPr>
                <w:rFonts w:cs="Arial"/>
                <w:i/>
                <w:szCs w:val="22"/>
              </w:rPr>
              <w:t>Challenged capacity of CSO in their expanding roles in this proposal</w:t>
            </w:r>
          </w:p>
        </w:tc>
        <w:tc>
          <w:tcPr>
            <w:tcW w:w="552" w:type="pct"/>
            <w:gridSpan w:val="2"/>
            <w:shd w:val="clear" w:color="auto" w:fill="FFFFFF"/>
          </w:tcPr>
          <w:p w:rsidR="00052899" w:rsidRPr="00B40A7C" w:rsidRDefault="00052899" w:rsidP="00052899">
            <w:pPr>
              <w:jc w:val="both"/>
              <w:rPr>
                <w:rFonts w:cs="Arial"/>
                <w:b/>
                <w:i/>
                <w:szCs w:val="22"/>
              </w:rPr>
            </w:pPr>
            <w:r w:rsidRPr="00B40A7C">
              <w:rPr>
                <w:rFonts w:cs="Arial"/>
                <w:i/>
                <w:szCs w:val="22"/>
              </w:rPr>
              <w:t>Medium</w:t>
            </w:r>
          </w:p>
        </w:tc>
        <w:tc>
          <w:tcPr>
            <w:tcW w:w="1275" w:type="pct"/>
            <w:gridSpan w:val="2"/>
            <w:shd w:val="clear" w:color="auto" w:fill="FFFFFF"/>
          </w:tcPr>
          <w:p w:rsidR="00052899" w:rsidRPr="00B40A7C" w:rsidRDefault="0018121B" w:rsidP="00052899">
            <w:pPr>
              <w:jc w:val="both"/>
              <w:rPr>
                <w:rFonts w:cs="Arial"/>
                <w:b/>
                <w:i/>
                <w:szCs w:val="22"/>
              </w:rPr>
            </w:pPr>
            <w:r>
              <w:rPr>
                <w:rFonts w:cs="Arial"/>
                <w:i/>
                <w:szCs w:val="22"/>
              </w:rPr>
              <w:t>Low</w:t>
            </w:r>
          </w:p>
        </w:tc>
        <w:tc>
          <w:tcPr>
            <w:tcW w:w="1371" w:type="pct"/>
            <w:shd w:val="clear" w:color="auto" w:fill="FFFFFF"/>
          </w:tcPr>
          <w:p w:rsidR="00052899" w:rsidRPr="00B40A7C" w:rsidRDefault="000848A8" w:rsidP="000679E7">
            <w:pPr>
              <w:rPr>
                <w:rFonts w:cs="Arial"/>
                <w:b/>
                <w:i/>
                <w:szCs w:val="22"/>
              </w:rPr>
            </w:pPr>
            <w:r>
              <w:rPr>
                <w:rFonts w:cs="Arial"/>
                <w:i/>
                <w:szCs w:val="22"/>
              </w:rPr>
              <w:t xml:space="preserve">Capacities of CSOs being strengthened in project/ programme management and provision of vehicles. </w:t>
            </w:r>
          </w:p>
        </w:tc>
      </w:tr>
      <w:tr w:rsidR="00052899" w:rsidRPr="00B40A7C">
        <w:trPr>
          <w:trHeight w:val="171"/>
        </w:trPr>
        <w:tc>
          <w:tcPr>
            <w:tcW w:w="1802" w:type="pct"/>
            <w:gridSpan w:val="2"/>
            <w:shd w:val="clear" w:color="auto" w:fill="FFFFFF"/>
          </w:tcPr>
          <w:p w:rsidR="00052899" w:rsidRPr="00B40A7C" w:rsidRDefault="00052899" w:rsidP="00052899">
            <w:pPr>
              <w:jc w:val="both"/>
              <w:rPr>
                <w:rFonts w:cs="Arial"/>
                <w:b/>
                <w:i/>
                <w:szCs w:val="22"/>
              </w:rPr>
            </w:pPr>
            <w:r w:rsidRPr="00B40A7C">
              <w:rPr>
                <w:rFonts w:cs="Arial"/>
                <w:i/>
                <w:szCs w:val="22"/>
              </w:rPr>
              <w:t>Operational Risks:</w:t>
            </w:r>
          </w:p>
        </w:tc>
        <w:tc>
          <w:tcPr>
            <w:tcW w:w="552" w:type="pct"/>
            <w:gridSpan w:val="2"/>
            <w:shd w:val="clear" w:color="auto" w:fill="FFFFFF"/>
          </w:tcPr>
          <w:p w:rsidR="00052899" w:rsidRPr="00B40A7C" w:rsidRDefault="0018121B" w:rsidP="0018121B">
            <w:pPr>
              <w:jc w:val="both"/>
              <w:rPr>
                <w:rFonts w:cs="Arial"/>
                <w:b/>
                <w:i/>
                <w:szCs w:val="22"/>
              </w:rPr>
            </w:pPr>
            <w:r>
              <w:rPr>
                <w:rFonts w:cs="Arial"/>
                <w:i/>
                <w:szCs w:val="22"/>
              </w:rPr>
              <w:t>Low</w:t>
            </w:r>
          </w:p>
        </w:tc>
        <w:tc>
          <w:tcPr>
            <w:tcW w:w="1275" w:type="pct"/>
            <w:gridSpan w:val="2"/>
            <w:shd w:val="clear" w:color="auto" w:fill="FFFFFF"/>
          </w:tcPr>
          <w:p w:rsidR="00052899" w:rsidRPr="00B40A7C" w:rsidRDefault="0018121B" w:rsidP="00052899">
            <w:pPr>
              <w:jc w:val="both"/>
              <w:rPr>
                <w:rFonts w:cs="Arial"/>
                <w:b/>
                <w:i/>
                <w:szCs w:val="22"/>
              </w:rPr>
            </w:pPr>
            <w:r>
              <w:rPr>
                <w:rFonts w:cs="Arial"/>
                <w:i/>
                <w:szCs w:val="22"/>
              </w:rPr>
              <w:t>Low</w:t>
            </w:r>
          </w:p>
        </w:tc>
        <w:tc>
          <w:tcPr>
            <w:tcW w:w="1371" w:type="pct"/>
            <w:shd w:val="clear" w:color="auto" w:fill="FFFFFF"/>
          </w:tcPr>
          <w:p w:rsidR="00052899" w:rsidRPr="00B40A7C" w:rsidRDefault="00052899" w:rsidP="00052899">
            <w:pPr>
              <w:jc w:val="both"/>
              <w:rPr>
                <w:rFonts w:cs="Arial"/>
                <w:b/>
                <w:i/>
                <w:szCs w:val="22"/>
              </w:rPr>
            </w:pPr>
          </w:p>
        </w:tc>
      </w:tr>
      <w:tr w:rsidR="00052899" w:rsidRPr="00B40A7C">
        <w:trPr>
          <w:trHeight w:val="171"/>
        </w:trPr>
        <w:tc>
          <w:tcPr>
            <w:tcW w:w="1802" w:type="pct"/>
            <w:gridSpan w:val="2"/>
            <w:shd w:val="clear" w:color="auto" w:fill="FFFFFF"/>
          </w:tcPr>
          <w:p w:rsidR="00052899" w:rsidRPr="00B40A7C" w:rsidRDefault="00052899" w:rsidP="00052899">
            <w:pPr>
              <w:jc w:val="both"/>
              <w:rPr>
                <w:rFonts w:cs="Arial"/>
                <w:b/>
                <w:i/>
                <w:szCs w:val="22"/>
              </w:rPr>
            </w:pPr>
            <w:r w:rsidRPr="00B40A7C">
              <w:rPr>
                <w:rFonts w:cs="Arial"/>
                <w:b/>
                <w:i/>
                <w:szCs w:val="22"/>
              </w:rPr>
              <w:t xml:space="preserve">Overall Risk Rating for Objective </w:t>
            </w:r>
            <w:r>
              <w:rPr>
                <w:rFonts w:cs="Arial"/>
                <w:b/>
                <w:i/>
                <w:szCs w:val="22"/>
              </w:rPr>
              <w:t>4</w:t>
            </w:r>
          </w:p>
        </w:tc>
        <w:tc>
          <w:tcPr>
            <w:tcW w:w="552" w:type="pct"/>
            <w:gridSpan w:val="2"/>
            <w:shd w:val="clear" w:color="auto" w:fill="FFFFFF"/>
          </w:tcPr>
          <w:p w:rsidR="00052899" w:rsidRPr="00B40A7C" w:rsidRDefault="00052899" w:rsidP="00052899">
            <w:pPr>
              <w:jc w:val="both"/>
              <w:rPr>
                <w:rFonts w:cs="Arial"/>
                <w:b/>
                <w:i/>
                <w:szCs w:val="22"/>
              </w:rPr>
            </w:pPr>
            <w:r w:rsidRPr="00B40A7C">
              <w:rPr>
                <w:rFonts w:cs="Arial"/>
                <w:b/>
                <w:i/>
                <w:szCs w:val="22"/>
              </w:rPr>
              <w:t>Medium</w:t>
            </w:r>
          </w:p>
        </w:tc>
        <w:tc>
          <w:tcPr>
            <w:tcW w:w="1275" w:type="pct"/>
            <w:gridSpan w:val="2"/>
            <w:shd w:val="clear" w:color="auto" w:fill="FFFFFF"/>
          </w:tcPr>
          <w:p w:rsidR="00052899" w:rsidRPr="00B40A7C" w:rsidRDefault="0018121B" w:rsidP="0018121B">
            <w:pPr>
              <w:jc w:val="both"/>
              <w:rPr>
                <w:rFonts w:cs="Arial"/>
                <w:b/>
                <w:i/>
                <w:szCs w:val="22"/>
              </w:rPr>
            </w:pPr>
            <w:r>
              <w:rPr>
                <w:rFonts w:cs="Arial"/>
                <w:b/>
                <w:i/>
                <w:szCs w:val="22"/>
              </w:rPr>
              <w:t>Low</w:t>
            </w:r>
          </w:p>
        </w:tc>
        <w:tc>
          <w:tcPr>
            <w:tcW w:w="1371" w:type="pct"/>
            <w:shd w:val="clear" w:color="auto" w:fill="FFFFFF"/>
          </w:tcPr>
          <w:p w:rsidR="00052899" w:rsidRPr="00B40A7C" w:rsidRDefault="00052899" w:rsidP="00052899">
            <w:pPr>
              <w:jc w:val="both"/>
              <w:rPr>
                <w:rFonts w:cs="Arial"/>
                <w:b/>
                <w:i/>
                <w:szCs w:val="22"/>
              </w:rPr>
            </w:pPr>
          </w:p>
        </w:tc>
      </w:tr>
      <w:tr w:rsidR="00052899" w:rsidRPr="00B40A7C">
        <w:trPr>
          <w:trHeight w:val="171"/>
        </w:trPr>
        <w:tc>
          <w:tcPr>
            <w:tcW w:w="5000" w:type="pct"/>
            <w:gridSpan w:val="7"/>
            <w:shd w:val="clear" w:color="auto" w:fill="FFFFFF"/>
          </w:tcPr>
          <w:p w:rsidR="00052899" w:rsidRPr="00B40A7C" w:rsidRDefault="00052899" w:rsidP="00052899">
            <w:pPr>
              <w:jc w:val="both"/>
              <w:rPr>
                <w:rFonts w:cs="Arial"/>
                <w:b/>
                <w:i/>
                <w:szCs w:val="22"/>
              </w:rPr>
            </w:pPr>
            <w:r w:rsidRPr="009E3797">
              <w:rPr>
                <w:rFonts w:cs="Arial"/>
                <w:b/>
                <w:i/>
                <w:szCs w:val="22"/>
              </w:rPr>
              <w:t>Objective 5: To strengthen governance and health information management for improved health service delivery</w:t>
            </w:r>
          </w:p>
        </w:tc>
      </w:tr>
      <w:tr w:rsidR="00052899" w:rsidRPr="00B40A7C">
        <w:trPr>
          <w:trHeight w:val="171"/>
        </w:trPr>
        <w:tc>
          <w:tcPr>
            <w:tcW w:w="1802" w:type="pct"/>
            <w:gridSpan w:val="2"/>
            <w:shd w:val="clear" w:color="auto" w:fill="FFFFFF"/>
          </w:tcPr>
          <w:p w:rsidR="00052899" w:rsidRPr="00B40A7C" w:rsidRDefault="00052899" w:rsidP="009D1319">
            <w:pPr>
              <w:jc w:val="both"/>
              <w:rPr>
                <w:rFonts w:cs="Arial"/>
                <w:b/>
                <w:i/>
                <w:szCs w:val="22"/>
              </w:rPr>
            </w:pPr>
            <w:r w:rsidRPr="00B40A7C">
              <w:rPr>
                <w:rFonts w:cs="Arial"/>
                <w:i/>
                <w:szCs w:val="22"/>
              </w:rPr>
              <w:t xml:space="preserve">Fiduciary Risks:  </w:t>
            </w:r>
          </w:p>
        </w:tc>
        <w:tc>
          <w:tcPr>
            <w:tcW w:w="552" w:type="pct"/>
            <w:gridSpan w:val="2"/>
            <w:shd w:val="clear" w:color="auto" w:fill="FFFFFF"/>
          </w:tcPr>
          <w:p w:rsidR="00052899" w:rsidRPr="00B40A7C" w:rsidRDefault="009D1319" w:rsidP="00052899">
            <w:pPr>
              <w:jc w:val="both"/>
              <w:rPr>
                <w:rFonts w:cs="Arial"/>
                <w:b/>
                <w:i/>
                <w:szCs w:val="22"/>
              </w:rPr>
            </w:pPr>
            <w:r>
              <w:rPr>
                <w:rFonts w:cs="Arial"/>
                <w:i/>
                <w:szCs w:val="22"/>
              </w:rPr>
              <w:t>Low</w:t>
            </w:r>
          </w:p>
        </w:tc>
        <w:tc>
          <w:tcPr>
            <w:tcW w:w="1275" w:type="pct"/>
            <w:gridSpan w:val="2"/>
            <w:shd w:val="clear" w:color="auto" w:fill="FFFFFF"/>
          </w:tcPr>
          <w:p w:rsidR="00052899" w:rsidRPr="00B40A7C" w:rsidRDefault="009D1319" w:rsidP="00052899">
            <w:pPr>
              <w:jc w:val="both"/>
              <w:rPr>
                <w:rFonts w:cs="Arial"/>
                <w:b/>
                <w:i/>
                <w:szCs w:val="22"/>
              </w:rPr>
            </w:pPr>
            <w:r>
              <w:rPr>
                <w:rFonts w:cs="Arial"/>
                <w:i/>
                <w:szCs w:val="22"/>
              </w:rPr>
              <w:t>Low</w:t>
            </w:r>
          </w:p>
        </w:tc>
        <w:tc>
          <w:tcPr>
            <w:tcW w:w="1371" w:type="pct"/>
            <w:shd w:val="clear" w:color="auto" w:fill="FFFFFF"/>
          </w:tcPr>
          <w:p w:rsidR="00052899" w:rsidRPr="00B40A7C" w:rsidRDefault="00052899" w:rsidP="009D1319">
            <w:pPr>
              <w:jc w:val="both"/>
              <w:rPr>
                <w:rFonts w:cs="Arial"/>
                <w:b/>
                <w:i/>
                <w:szCs w:val="22"/>
              </w:rPr>
            </w:pPr>
            <w:r w:rsidRPr="00B40A7C">
              <w:rPr>
                <w:rFonts w:cs="Arial"/>
                <w:i/>
                <w:szCs w:val="22"/>
              </w:rPr>
              <w:t xml:space="preserve">- </w:t>
            </w:r>
          </w:p>
        </w:tc>
      </w:tr>
      <w:tr w:rsidR="00052899" w:rsidRPr="00B40A7C">
        <w:trPr>
          <w:trHeight w:val="171"/>
        </w:trPr>
        <w:tc>
          <w:tcPr>
            <w:tcW w:w="1802" w:type="pct"/>
            <w:gridSpan w:val="2"/>
            <w:shd w:val="clear" w:color="auto" w:fill="FFFFFF"/>
          </w:tcPr>
          <w:p w:rsidR="00052899" w:rsidRPr="00B40A7C" w:rsidRDefault="00052899" w:rsidP="009D1319">
            <w:pPr>
              <w:jc w:val="both"/>
              <w:rPr>
                <w:rFonts w:cs="Arial"/>
                <w:b/>
                <w:i/>
                <w:szCs w:val="22"/>
              </w:rPr>
            </w:pPr>
            <w:r w:rsidRPr="00B40A7C">
              <w:rPr>
                <w:rFonts w:cs="Arial"/>
                <w:i/>
                <w:szCs w:val="22"/>
              </w:rPr>
              <w:t>Institutional Risks:</w:t>
            </w:r>
            <w:r w:rsidR="009D1319">
              <w:rPr>
                <w:rFonts w:cs="Arial"/>
                <w:i/>
                <w:szCs w:val="22"/>
              </w:rPr>
              <w:t xml:space="preserve"> Proposed</w:t>
            </w:r>
            <w:r w:rsidRPr="00B40A7C">
              <w:rPr>
                <w:rFonts w:cs="Arial"/>
                <w:i/>
                <w:szCs w:val="22"/>
              </w:rPr>
              <w:t xml:space="preserve"> </w:t>
            </w:r>
            <w:r w:rsidR="009D1319">
              <w:rPr>
                <w:rFonts w:cs="Arial"/>
                <w:i/>
                <w:szCs w:val="22"/>
              </w:rPr>
              <w:t>Government decentralisation programme</w:t>
            </w:r>
          </w:p>
        </w:tc>
        <w:tc>
          <w:tcPr>
            <w:tcW w:w="552" w:type="pct"/>
            <w:gridSpan w:val="2"/>
            <w:shd w:val="clear" w:color="auto" w:fill="FFFFFF"/>
          </w:tcPr>
          <w:p w:rsidR="00052899" w:rsidRPr="00B40A7C" w:rsidRDefault="009D1319" w:rsidP="00052899">
            <w:pPr>
              <w:jc w:val="both"/>
              <w:rPr>
                <w:rFonts w:cs="Arial"/>
                <w:b/>
                <w:i/>
                <w:szCs w:val="22"/>
              </w:rPr>
            </w:pPr>
            <w:r>
              <w:rPr>
                <w:rFonts w:cs="Arial"/>
                <w:i/>
                <w:szCs w:val="22"/>
              </w:rPr>
              <w:t>Low</w:t>
            </w:r>
          </w:p>
        </w:tc>
        <w:tc>
          <w:tcPr>
            <w:tcW w:w="1275" w:type="pct"/>
            <w:gridSpan w:val="2"/>
            <w:shd w:val="clear" w:color="auto" w:fill="FFFFFF"/>
          </w:tcPr>
          <w:p w:rsidR="00052899" w:rsidRPr="00B40A7C" w:rsidRDefault="009D1319" w:rsidP="009D1319">
            <w:pPr>
              <w:jc w:val="both"/>
              <w:rPr>
                <w:rFonts w:cs="Arial"/>
                <w:b/>
                <w:i/>
                <w:szCs w:val="22"/>
              </w:rPr>
            </w:pPr>
            <w:r>
              <w:rPr>
                <w:rFonts w:cs="Arial"/>
                <w:i/>
                <w:szCs w:val="22"/>
              </w:rPr>
              <w:t>Low</w:t>
            </w:r>
          </w:p>
        </w:tc>
        <w:tc>
          <w:tcPr>
            <w:tcW w:w="1371" w:type="pct"/>
            <w:shd w:val="clear" w:color="auto" w:fill="FFFFFF"/>
          </w:tcPr>
          <w:p w:rsidR="00052899" w:rsidRPr="00B40A7C" w:rsidRDefault="00472AFA" w:rsidP="009D1319">
            <w:pPr>
              <w:jc w:val="both"/>
              <w:rPr>
                <w:rFonts w:cs="Arial"/>
                <w:b/>
                <w:i/>
                <w:szCs w:val="22"/>
              </w:rPr>
            </w:pPr>
            <w:r>
              <w:rPr>
                <w:rFonts w:cs="Arial"/>
                <w:i/>
                <w:szCs w:val="22"/>
              </w:rPr>
              <w:t>MOH</w:t>
            </w:r>
            <w:r w:rsidR="009D1319">
              <w:rPr>
                <w:rFonts w:cs="Arial"/>
                <w:i/>
                <w:szCs w:val="22"/>
              </w:rPr>
              <w:t>HQ will still be in charge of the health sector within government’s decentralised programme.</w:t>
            </w:r>
          </w:p>
        </w:tc>
      </w:tr>
      <w:tr w:rsidR="00052899" w:rsidRPr="00B40A7C">
        <w:trPr>
          <w:trHeight w:val="171"/>
        </w:trPr>
        <w:tc>
          <w:tcPr>
            <w:tcW w:w="1802" w:type="pct"/>
            <w:gridSpan w:val="2"/>
            <w:shd w:val="clear" w:color="auto" w:fill="FFFFFF"/>
          </w:tcPr>
          <w:p w:rsidR="00052899" w:rsidRPr="00B40A7C" w:rsidRDefault="00052899" w:rsidP="00052899">
            <w:pPr>
              <w:jc w:val="both"/>
              <w:rPr>
                <w:rFonts w:cs="Arial"/>
                <w:b/>
                <w:i/>
                <w:szCs w:val="22"/>
              </w:rPr>
            </w:pPr>
            <w:r w:rsidRPr="00B40A7C">
              <w:rPr>
                <w:rFonts w:cs="Arial"/>
                <w:i/>
                <w:szCs w:val="22"/>
              </w:rPr>
              <w:t>Operational Risks:</w:t>
            </w:r>
          </w:p>
        </w:tc>
        <w:tc>
          <w:tcPr>
            <w:tcW w:w="552" w:type="pct"/>
            <w:gridSpan w:val="2"/>
            <w:shd w:val="clear" w:color="auto" w:fill="FFFFFF"/>
          </w:tcPr>
          <w:p w:rsidR="00052899" w:rsidRPr="00B40A7C" w:rsidRDefault="009D1319" w:rsidP="00052899">
            <w:pPr>
              <w:jc w:val="both"/>
              <w:rPr>
                <w:rFonts w:cs="Arial"/>
                <w:b/>
                <w:i/>
                <w:szCs w:val="22"/>
              </w:rPr>
            </w:pPr>
            <w:r>
              <w:rPr>
                <w:rFonts w:cs="Arial"/>
                <w:i/>
                <w:szCs w:val="22"/>
              </w:rPr>
              <w:t>Low</w:t>
            </w:r>
          </w:p>
        </w:tc>
        <w:tc>
          <w:tcPr>
            <w:tcW w:w="1275" w:type="pct"/>
            <w:gridSpan w:val="2"/>
            <w:shd w:val="clear" w:color="auto" w:fill="FFFFFF"/>
          </w:tcPr>
          <w:p w:rsidR="00052899" w:rsidRPr="00B40A7C" w:rsidRDefault="009D1319" w:rsidP="00052899">
            <w:pPr>
              <w:jc w:val="both"/>
              <w:rPr>
                <w:rFonts w:cs="Arial"/>
                <w:b/>
                <w:i/>
                <w:szCs w:val="22"/>
              </w:rPr>
            </w:pPr>
            <w:r>
              <w:rPr>
                <w:rFonts w:cs="Arial"/>
                <w:i/>
                <w:szCs w:val="22"/>
              </w:rPr>
              <w:t>Low</w:t>
            </w:r>
          </w:p>
        </w:tc>
        <w:tc>
          <w:tcPr>
            <w:tcW w:w="1371" w:type="pct"/>
            <w:shd w:val="clear" w:color="auto" w:fill="FFFFFF"/>
          </w:tcPr>
          <w:p w:rsidR="00052899" w:rsidRPr="00B40A7C" w:rsidRDefault="00052899" w:rsidP="00052899">
            <w:pPr>
              <w:jc w:val="both"/>
              <w:rPr>
                <w:rFonts w:cs="Arial"/>
                <w:b/>
                <w:i/>
                <w:szCs w:val="22"/>
              </w:rPr>
            </w:pPr>
          </w:p>
        </w:tc>
      </w:tr>
    </w:tbl>
    <w:p w:rsidR="00052899" w:rsidRPr="00B40A7C" w:rsidRDefault="00052899" w:rsidP="00052899">
      <w:pPr>
        <w:jc w:val="both"/>
        <w:rPr>
          <w:rFonts w:cs="Arial"/>
          <w:szCs w:val="22"/>
        </w:rPr>
      </w:pPr>
    </w:p>
    <w:p w:rsidR="00052899" w:rsidRPr="00B40A7C" w:rsidRDefault="00052899" w:rsidP="00052899">
      <w:pPr>
        <w:spacing w:after="200" w:line="276" w:lineRule="auto"/>
        <w:jc w:val="both"/>
        <w:rPr>
          <w:rFonts w:cs="Arial"/>
          <w:szCs w:val="22"/>
        </w:rPr>
        <w:sectPr w:rsidR="00052899" w:rsidRPr="00B40A7C">
          <w:pgSz w:w="15840" w:h="12240" w:orient="landscape"/>
          <w:pgMar w:top="1440" w:right="1440" w:bottom="1440" w:left="1440" w:header="709" w:footer="709" w:gutter="0"/>
          <w:cols w:space="708"/>
          <w:docGrid w:linePitch="360"/>
        </w:sectPr>
      </w:pPr>
    </w:p>
    <w:tbl>
      <w:tblPr>
        <w:tblW w:w="5000" w:type="pct"/>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tblPr>
      <w:tblGrid>
        <w:gridCol w:w="4131"/>
        <w:gridCol w:w="67"/>
        <w:gridCol w:w="5378"/>
      </w:tblGrid>
      <w:tr w:rsidR="00052899" w:rsidRPr="00B40A7C">
        <w:tc>
          <w:tcPr>
            <w:tcW w:w="5000" w:type="pct"/>
            <w:gridSpan w:val="3"/>
            <w:tcBorders>
              <w:bottom w:val="single" w:sz="6" w:space="0" w:color="215868"/>
            </w:tcBorders>
            <w:shd w:val="clear" w:color="auto" w:fill="006460"/>
          </w:tcPr>
          <w:p w:rsidR="00052899" w:rsidRDefault="00052899" w:rsidP="00052899">
            <w:pPr>
              <w:pStyle w:val="Heading1"/>
              <w:rPr>
                <w:rFonts w:cs="Arial"/>
                <w:szCs w:val="22"/>
              </w:rPr>
            </w:pPr>
            <w:bookmarkStart w:id="663" w:name="_Toc346116655"/>
            <w:bookmarkStart w:id="664" w:name="_Toc357677803"/>
            <w:bookmarkStart w:id="665" w:name="_Toc369498577"/>
            <w:bookmarkStart w:id="666" w:name="_Toc377545412"/>
            <w:r w:rsidRPr="00291E76">
              <w:lastRenderedPageBreak/>
              <w:t>22. Financial Management and Procurement Arrangements</w:t>
            </w:r>
            <w:bookmarkEnd w:id="663"/>
            <w:bookmarkEnd w:id="664"/>
            <w:bookmarkEnd w:id="665"/>
            <w:bookmarkEnd w:id="666"/>
            <w:r>
              <w:rPr>
                <w:rFonts w:cs="Arial"/>
                <w:szCs w:val="22"/>
              </w:rPr>
              <w:t xml:space="preserve"> </w:t>
            </w:r>
          </w:p>
        </w:tc>
      </w:tr>
      <w:tr w:rsidR="00052899" w:rsidRPr="00B40A7C">
        <w:tc>
          <w:tcPr>
            <w:tcW w:w="2192" w:type="pct"/>
            <w:gridSpan w:val="2"/>
            <w:shd w:val="clear" w:color="auto" w:fill="auto"/>
          </w:tcPr>
          <w:p w:rsidR="00052899" w:rsidRPr="00B40A7C" w:rsidRDefault="00052899" w:rsidP="00052899">
            <w:pPr>
              <w:spacing w:before="120" w:after="120"/>
              <w:jc w:val="both"/>
              <w:rPr>
                <w:rFonts w:cs="Arial"/>
                <w:color w:val="173E49"/>
                <w:szCs w:val="22"/>
              </w:rPr>
            </w:pPr>
            <w:r w:rsidRPr="00B40A7C">
              <w:rPr>
                <w:rFonts w:cs="Arial"/>
                <w:i/>
                <w:color w:val="173E49"/>
                <w:szCs w:val="22"/>
              </w:rPr>
              <w:t>Question (a):  applicants should indicate whether an existing financial management mechanism or modality will be employed (pooled funding, joint financing arrangements or other), or if a new approach is proposed.  If an agency-specific financial arrangement will be used, specify which one. A rationale for this choice should be provided.</w:t>
            </w:r>
          </w:p>
        </w:tc>
        <w:tc>
          <w:tcPr>
            <w:tcW w:w="2808" w:type="pct"/>
            <w:shd w:val="clear" w:color="auto" w:fill="auto"/>
          </w:tcPr>
          <w:p w:rsidR="00052899" w:rsidRPr="00B40A7C" w:rsidRDefault="00052899" w:rsidP="00052899">
            <w:pPr>
              <w:spacing w:before="120" w:after="120"/>
              <w:jc w:val="both"/>
              <w:rPr>
                <w:rFonts w:cs="Arial"/>
                <w:color w:val="173E49"/>
                <w:szCs w:val="22"/>
              </w:rPr>
            </w:pPr>
            <w:r w:rsidRPr="00B40A7C">
              <w:rPr>
                <w:rFonts w:cs="Arial"/>
                <w:color w:val="173E49"/>
                <w:szCs w:val="22"/>
              </w:rPr>
              <w:t xml:space="preserve">The existing accounting system will be used in managing GAVI funds. With this new proposal funds will be channelled to the </w:t>
            </w:r>
            <w:r w:rsidR="00472AFA">
              <w:rPr>
                <w:rFonts w:cs="Arial"/>
                <w:color w:val="173E49"/>
                <w:szCs w:val="22"/>
              </w:rPr>
              <w:t>MoH</w:t>
            </w:r>
            <w:r w:rsidR="000679E7">
              <w:rPr>
                <w:rFonts w:cs="Arial"/>
                <w:color w:val="173E49"/>
                <w:szCs w:val="22"/>
              </w:rPr>
              <w:t xml:space="preserve"> </w:t>
            </w:r>
            <w:r w:rsidRPr="00B40A7C">
              <w:rPr>
                <w:rFonts w:cs="Arial"/>
                <w:color w:val="173E49"/>
                <w:szCs w:val="22"/>
              </w:rPr>
              <w:t xml:space="preserve">from GAVI. This is a change from the previous arrangements where funds are sent directly to GHS. </w:t>
            </w:r>
            <w:r w:rsidR="00472AFA">
              <w:rPr>
                <w:rFonts w:cs="Arial"/>
                <w:color w:val="173E49"/>
                <w:szCs w:val="22"/>
              </w:rPr>
              <w:t>MoH</w:t>
            </w:r>
            <w:r w:rsidR="000679E7">
              <w:rPr>
                <w:rFonts w:cs="Arial"/>
                <w:color w:val="173E49"/>
                <w:szCs w:val="22"/>
              </w:rPr>
              <w:t xml:space="preserve"> </w:t>
            </w:r>
            <w:r w:rsidRPr="00B40A7C">
              <w:rPr>
                <w:rFonts w:cs="Arial"/>
                <w:color w:val="173E49"/>
                <w:szCs w:val="22"/>
              </w:rPr>
              <w:t xml:space="preserve">will then disburse to GHS and CSOs. This arrangement has been necessary since the </w:t>
            </w:r>
            <w:r w:rsidR="00472AFA">
              <w:rPr>
                <w:rFonts w:cs="Arial"/>
                <w:color w:val="173E49"/>
                <w:szCs w:val="22"/>
              </w:rPr>
              <w:t>MoH</w:t>
            </w:r>
            <w:r w:rsidR="000679E7">
              <w:rPr>
                <w:rFonts w:cs="Arial"/>
                <w:color w:val="173E49"/>
                <w:szCs w:val="22"/>
              </w:rPr>
              <w:t xml:space="preserve"> </w:t>
            </w:r>
            <w:r w:rsidRPr="00B40A7C">
              <w:rPr>
                <w:rFonts w:cs="Arial"/>
                <w:color w:val="173E49"/>
                <w:szCs w:val="22"/>
              </w:rPr>
              <w:t>plays a key oversight role in this proposal.</w:t>
            </w:r>
          </w:p>
        </w:tc>
      </w:tr>
      <w:tr w:rsidR="00052899" w:rsidRPr="00B40A7C">
        <w:tc>
          <w:tcPr>
            <w:tcW w:w="5000" w:type="pct"/>
            <w:gridSpan w:val="3"/>
            <w:shd w:val="clear" w:color="auto" w:fill="99CCCC"/>
          </w:tcPr>
          <w:p w:rsidR="00052899" w:rsidRPr="00B40A7C" w:rsidRDefault="00052899" w:rsidP="00052899">
            <w:pPr>
              <w:spacing w:before="120" w:after="120"/>
              <w:jc w:val="both"/>
              <w:rPr>
                <w:rFonts w:cs="Arial"/>
                <w:i/>
                <w:color w:val="173E49"/>
                <w:szCs w:val="22"/>
              </w:rPr>
            </w:pPr>
            <w:r w:rsidRPr="00B40A7C">
              <w:rPr>
                <w:rFonts w:cs="Arial"/>
                <w:b/>
                <w:color w:val="173E49"/>
                <w:szCs w:val="22"/>
              </w:rPr>
              <w:t>Question (b):Financial Management Arrangements Data Sheet</w:t>
            </w:r>
          </w:p>
        </w:tc>
      </w:tr>
      <w:tr w:rsidR="00052899" w:rsidRPr="00B40A7C">
        <w:trPr>
          <w:trHeight w:val="278"/>
        </w:trPr>
        <w:tc>
          <w:tcPr>
            <w:tcW w:w="5000" w:type="pct"/>
            <w:gridSpan w:val="3"/>
            <w:shd w:val="clear" w:color="auto" w:fill="FFFFFF"/>
          </w:tcPr>
          <w:p w:rsidR="00052899" w:rsidRPr="00B40A7C" w:rsidRDefault="00052899" w:rsidP="00052899">
            <w:pPr>
              <w:spacing w:before="120" w:after="120"/>
              <w:jc w:val="both"/>
              <w:rPr>
                <w:rFonts w:cs="Arial"/>
                <w:b/>
                <w:szCs w:val="22"/>
              </w:rPr>
            </w:pPr>
            <w:r w:rsidRPr="00B40A7C">
              <w:rPr>
                <w:rFonts w:cs="Arial"/>
                <w:b/>
                <w:szCs w:val="22"/>
              </w:rPr>
              <w:t xml:space="preserve">Any recipient organization/country proposed to receive direct funding from GAVI must complete this Data Sheet (for example, </w:t>
            </w:r>
            <w:r w:rsidR="00472AFA">
              <w:rPr>
                <w:rFonts w:cs="Arial"/>
                <w:b/>
                <w:szCs w:val="22"/>
              </w:rPr>
              <w:t>MOH</w:t>
            </w:r>
            <w:r w:rsidR="000679E7">
              <w:rPr>
                <w:rFonts w:cs="Arial"/>
                <w:b/>
                <w:szCs w:val="22"/>
              </w:rPr>
              <w:t xml:space="preserve"> </w:t>
            </w:r>
            <w:r w:rsidRPr="00B40A7C">
              <w:rPr>
                <w:rFonts w:cs="Arial"/>
                <w:b/>
                <w:szCs w:val="22"/>
              </w:rPr>
              <w:t xml:space="preserve">and/or CSO receiving direct funding). </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459" w:hanging="425"/>
              <w:jc w:val="both"/>
              <w:rPr>
                <w:rFonts w:ascii="Arial" w:hAnsi="Arial" w:cs="Arial"/>
                <w:sz w:val="22"/>
                <w:szCs w:val="22"/>
                <w:lang w:eastAsia="en-US"/>
              </w:rPr>
            </w:pPr>
            <w:r w:rsidRPr="00B40A7C">
              <w:rPr>
                <w:rFonts w:ascii="Arial" w:hAnsi="Arial" w:cs="Arial"/>
                <w:sz w:val="22"/>
                <w:szCs w:val="22"/>
                <w:lang w:eastAsia="en-US"/>
              </w:rPr>
              <w:t>Name and contact information of Focal Point at the Finance Department of the recipient organization</w:t>
            </w:r>
          </w:p>
        </w:tc>
        <w:tc>
          <w:tcPr>
            <w:tcW w:w="2843" w:type="pct"/>
            <w:gridSpan w:val="2"/>
            <w:shd w:val="clear" w:color="auto" w:fill="FFFFFF"/>
          </w:tcPr>
          <w:p w:rsidR="00052899" w:rsidRPr="00B40A7C" w:rsidRDefault="00052899" w:rsidP="00286A22">
            <w:pPr>
              <w:spacing w:before="120" w:after="120"/>
              <w:jc w:val="both"/>
              <w:rPr>
                <w:rFonts w:cs="Arial"/>
                <w:szCs w:val="22"/>
              </w:rPr>
            </w:pPr>
            <w:r w:rsidRPr="00B40A7C">
              <w:rPr>
                <w:rFonts w:cs="Arial"/>
                <w:szCs w:val="22"/>
              </w:rPr>
              <w:t>Mr</w:t>
            </w:r>
            <w:r w:rsidR="00286A22">
              <w:rPr>
                <w:rFonts w:cs="Arial"/>
                <w:szCs w:val="22"/>
              </w:rPr>
              <w:t>s. Ramatu Ude Umanta</w:t>
            </w:r>
            <w:r w:rsidRPr="00B40A7C">
              <w:rPr>
                <w:rFonts w:cs="Arial"/>
                <w:szCs w:val="22"/>
              </w:rPr>
              <w:t xml:space="preserve"> </w:t>
            </w:r>
          </w:p>
          <w:p w:rsidR="00052899" w:rsidRPr="00B40A7C" w:rsidRDefault="00286A22" w:rsidP="00286A22">
            <w:pPr>
              <w:spacing w:before="120" w:after="120"/>
              <w:jc w:val="both"/>
              <w:rPr>
                <w:rFonts w:cs="Arial"/>
                <w:szCs w:val="22"/>
              </w:rPr>
            </w:pPr>
            <w:r>
              <w:rPr>
                <w:rFonts w:cs="Arial"/>
                <w:szCs w:val="22"/>
              </w:rPr>
              <w:t xml:space="preserve">Director of </w:t>
            </w:r>
            <w:r w:rsidR="00052899" w:rsidRPr="00B40A7C">
              <w:rPr>
                <w:rFonts w:cs="Arial"/>
                <w:szCs w:val="22"/>
              </w:rPr>
              <w:t>Financ</w:t>
            </w:r>
            <w:r>
              <w:rPr>
                <w:rFonts w:cs="Arial"/>
                <w:szCs w:val="22"/>
              </w:rPr>
              <w:t>e</w:t>
            </w:r>
          </w:p>
          <w:p w:rsidR="00052899" w:rsidRPr="00B40A7C" w:rsidRDefault="00286A22" w:rsidP="00286A22">
            <w:pPr>
              <w:spacing w:before="120" w:after="120"/>
              <w:jc w:val="both"/>
              <w:rPr>
                <w:rFonts w:cs="Arial"/>
                <w:szCs w:val="22"/>
              </w:rPr>
            </w:pPr>
            <w:r>
              <w:rPr>
                <w:rFonts w:cs="Arial"/>
                <w:szCs w:val="22"/>
              </w:rPr>
              <w:t>Ghana H</w:t>
            </w:r>
            <w:r w:rsidR="00052899" w:rsidRPr="00B40A7C">
              <w:rPr>
                <w:rFonts w:cs="Arial"/>
                <w:szCs w:val="22"/>
              </w:rPr>
              <w:t>ealth</w:t>
            </w:r>
            <w:r>
              <w:rPr>
                <w:rFonts w:cs="Arial"/>
                <w:szCs w:val="22"/>
              </w:rPr>
              <w:t xml:space="preserve"> Service</w:t>
            </w:r>
          </w:p>
        </w:tc>
      </w:tr>
      <w:tr w:rsidR="00052899" w:rsidRPr="00B40A7C">
        <w:trPr>
          <w:trHeight w:val="1024"/>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459" w:hanging="425"/>
              <w:jc w:val="both"/>
              <w:rPr>
                <w:rFonts w:ascii="Arial" w:hAnsi="Arial" w:cs="Arial"/>
                <w:sz w:val="22"/>
                <w:szCs w:val="22"/>
                <w:lang w:eastAsia="en-US"/>
              </w:rPr>
            </w:pPr>
            <w:r w:rsidRPr="00B40A7C">
              <w:rPr>
                <w:rFonts w:ascii="Arial" w:hAnsi="Arial" w:cs="Arial"/>
                <w:sz w:val="22"/>
                <w:szCs w:val="22"/>
                <w:lang w:val="en-US" w:eastAsia="en-US"/>
              </w:rPr>
              <w:t>Does the recipient organization have experience with GAVI, World Bank, WHO, UNICEF, GFATM or other Development Partners (e.g. receipt of previous grants)?</w:t>
            </w:r>
          </w:p>
        </w:tc>
        <w:tc>
          <w:tcPr>
            <w:tcW w:w="2843" w:type="pct"/>
            <w:gridSpan w:val="2"/>
            <w:shd w:val="clear" w:color="auto" w:fill="FFFFFF"/>
          </w:tcPr>
          <w:p w:rsidR="00052899" w:rsidRPr="00B40A7C" w:rsidRDefault="00052899" w:rsidP="00052899">
            <w:pPr>
              <w:spacing w:after="200" w:line="276" w:lineRule="auto"/>
              <w:ind w:left="360" w:right="120"/>
              <w:contextualSpacing/>
              <w:jc w:val="both"/>
              <w:rPr>
                <w:rFonts w:eastAsia="Calibri" w:cs="Arial"/>
                <w:b/>
                <w:szCs w:val="22"/>
              </w:rPr>
            </w:pPr>
            <w:r w:rsidRPr="00B40A7C">
              <w:rPr>
                <w:rFonts w:cs="Arial"/>
                <w:szCs w:val="22"/>
              </w:rPr>
              <w:t>YES</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743" w:right="120"/>
              <w:jc w:val="both"/>
              <w:rPr>
                <w:rFonts w:ascii="Arial" w:hAnsi="Arial" w:cs="Arial"/>
                <w:b/>
                <w:sz w:val="22"/>
                <w:szCs w:val="22"/>
                <w:lang w:val="en-US" w:eastAsia="en-US"/>
              </w:rPr>
            </w:pPr>
            <w:r w:rsidRPr="00B40A7C">
              <w:rPr>
                <w:rFonts w:ascii="Arial" w:hAnsi="Arial" w:cs="Arial"/>
                <w:b/>
                <w:sz w:val="22"/>
                <w:szCs w:val="22"/>
                <w:lang w:val="en-US" w:eastAsia="en-US"/>
              </w:rPr>
              <w:t>If YES</w:t>
            </w:r>
          </w:p>
          <w:p w:rsidR="00052899" w:rsidRPr="00B40A7C" w:rsidRDefault="00052899" w:rsidP="00052899">
            <w:pPr>
              <w:pStyle w:val="ColorfulList-Accent11"/>
              <w:widowControl/>
              <w:numPr>
                <w:ilvl w:val="0"/>
                <w:numId w:val="17"/>
              </w:numPr>
              <w:spacing w:after="120" w:line="240" w:lineRule="auto"/>
              <w:ind w:left="743" w:right="120"/>
              <w:jc w:val="both"/>
              <w:rPr>
                <w:rFonts w:ascii="Arial" w:hAnsi="Arial" w:cs="Arial"/>
                <w:b/>
                <w:sz w:val="22"/>
                <w:szCs w:val="22"/>
                <w:lang w:val="en-US" w:eastAsia="en-US"/>
              </w:rPr>
            </w:pPr>
            <w:r w:rsidRPr="00B40A7C">
              <w:rPr>
                <w:rFonts w:ascii="Arial" w:hAnsi="Arial" w:cs="Arial"/>
                <w:sz w:val="22"/>
                <w:szCs w:val="22"/>
                <w:lang w:val="en-US" w:eastAsia="en-US"/>
              </w:rPr>
              <w:t>Please state the name of the grant, years and grant amount.</w:t>
            </w:r>
          </w:p>
          <w:p w:rsidR="00052899" w:rsidRPr="00B40A7C" w:rsidRDefault="00052899" w:rsidP="00052899">
            <w:pPr>
              <w:pStyle w:val="ColorfulList-Accent11"/>
              <w:widowControl/>
              <w:numPr>
                <w:ilvl w:val="0"/>
                <w:numId w:val="17"/>
              </w:numPr>
              <w:spacing w:after="120" w:line="240" w:lineRule="auto"/>
              <w:ind w:left="743" w:right="120"/>
              <w:jc w:val="both"/>
              <w:rPr>
                <w:rFonts w:ascii="Arial" w:hAnsi="Arial" w:cs="Arial"/>
                <w:sz w:val="22"/>
                <w:szCs w:val="22"/>
                <w:lang w:val="en-US" w:eastAsia="en-US"/>
              </w:rPr>
            </w:pPr>
            <w:r w:rsidRPr="00B40A7C">
              <w:rPr>
                <w:rFonts w:ascii="Arial" w:hAnsi="Arial" w:cs="Arial"/>
                <w:b/>
                <w:sz w:val="22"/>
                <w:szCs w:val="22"/>
                <w:lang w:val="en-US" w:eastAsia="en-US"/>
              </w:rPr>
              <w:t xml:space="preserve">For completed or closed Grants of GAVI and other Development Partners: </w:t>
            </w:r>
            <w:r w:rsidRPr="00B40A7C">
              <w:rPr>
                <w:rFonts w:ascii="Arial" w:hAnsi="Arial" w:cs="Arial"/>
                <w:sz w:val="22"/>
                <w:szCs w:val="22"/>
                <w:lang w:val="en-US" w:eastAsia="en-US"/>
              </w:rPr>
              <w:t>Please provide a brief description of the main conclusions with regard to use of funds in terms of financial management performance.</w:t>
            </w:r>
          </w:p>
          <w:p w:rsidR="00052899" w:rsidRPr="00B40A7C" w:rsidDel="00E800C7" w:rsidRDefault="00052899" w:rsidP="00052899">
            <w:pPr>
              <w:pStyle w:val="ColorfulList-Accent11"/>
              <w:widowControl/>
              <w:numPr>
                <w:ilvl w:val="0"/>
                <w:numId w:val="17"/>
              </w:numPr>
              <w:spacing w:after="120" w:line="240" w:lineRule="auto"/>
              <w:ind w:left="743" w:right="120"/>
              <w:jc w:val="both"/>
              <w:rPr>
                <w:rFonts w:ascii="Arial" w:hAnsi="Arial" w:cs="Arial"/>
                <w:sz w:val="22"/>
                <w:szCs w:val="22"/>
                <w:lang w:val="en-US" w:eastAsia="en-US"/>
              </w:rPr>
            </w:pPr>
            <w:r w:rsidRPr="00B40A7C">
              <w:rPr>
                <w:rFonts w:ascii="Arial" w:hAnsi="Arial" w:cs="Arial"/>
                <w:b/>
                <w:sz w:val="22"/>
                <w:szCs w:val="22"/>
                <w:lang w:val="en-US" w:eastAsia="en-US"/>
              </w:rPr>
              <w:t xml:space="preserve">For on-going Grants of GAVI and other Development Partners: </w:t>
            </w:r>
            <w:r w:rsidRPr="00B40A7C">
              <w:rPr>
                <w:rFonts w:ascii="Arial" w:hAnsi="Arial" w:cs="Arial"/>
                <w:sz w:val="22"/>
                <w:szCs w:val="22"/>
                <w:lang w:val="en-US" w:eastAsia="en-US"/>
              </w:rPr>
              <w:t xml:space="preserve">Please provide a brief description of any financial management (FM) and procurement implementation issues (e.g. ineligible expenditures, mis-procurement, misuses of funds, overdue / delayed audit </w:t>
            </w:r>
            <w:r w:rsidRPr="00B40A7C">
              <w:rPr>
                <w:rFonts w:ascii="Arial" w:hAnsi="Arial" w:cs="Arial"/>
                <w:sz w:val="22"/>
                <w:szCs w:val="22"/>
                <w:lang w:val="en-US" w:eastAsia="en-US"/>
              </w:rPr>
              <w:lastRenderedPageBreak/>
              <w:t>reports, and qualified audit opinion).</w:t>
            </w:r>
          </w:p>
        </w:tc>
        <w:tc>
          <w:tcPr>
            <w:tcW w:w="2843" w:type="pct"/>
            <w:gridSpan w:val="2"/>
            <w:shd w:val="clear" w:color="auto" w:fill="FFFFFF"/>
          </w:tcPr>
          <w:p w:rsidR="00052899" w:rsidRPr="00B40A7C" w:rsidRDefault="00052899" w:rsidP="00052899">
            <w:pPr>
              <w:spacing w:after="200" w:line="276" w:lineRule="auto"/>
              <w:ind w:right="120"/>
              <w:contextualSpacing/>
              <w:jc w:val="both"/>
              <w:rPr>
                <w:rFonts w:cs="Arial"/>
                <w:szCs w:val="22"/>
              </w:rPr>
            </w:pPr>
            <w:r w:rsidRPr="00B40A7C">
              <w:rPr>
                <w:rFonts w:cs="Arial"/>
                <w:szCs w:val="22"/>
              </w:rPr>
              <w:lastRenderedPageBreak/>
              <w:t xml:space="preserve">The </w:t>
            </w:r>
            <w:r w:rsidR="00472AFA">
              <w:rPr>
                <w:rFonts w:cs="Arial"/>
                <w:szCs w:val="22"/>
              </w:rPr>
              <w:t>MoH</w:t>
            </w:r>
            <w:r w:rsidR="000679E7">
              <w:rPr>
                <w:rFonts w:cs="Arial"/>
                <w:szCs w:val="22"/>
              </w:rPr>
              <w:t xml:space="preserve"> </w:t>
            </w:r>
            <w:r w:rsidRPr="00B40A7C">
              <w:rPr>
                <w:rFonts w:cs="Arial"/>
                <w:szCs w:val="22"/>
              </w:rPr>
              <w:t xml:space="preserve">under the Swap has experience in managing all the funds coming to the health sector. Currently all budget support funding are channelled through the </w:t>
            </w:r>
            <w:r w:rsidR="00472AFA">
              <w:rPr>
                <w:rFonts w:cs="Arial"/>
                <w:szCs w:val="22"/>
              </w:rPr>
              <w:t>MoH</w:t>
            </w:r>
            <w:r w:rsidR="000679E7">
              <w:rPr>
                <w:rFonts w:cs="Arial"/>
                <w:szCs w:val="22"/>
              </w:rPr>
              <w:t xml:space="preserve"> </w:t>
            </w:r>
            <w:r w:rsidRPr="00B40A7C">
              <w:rPr>
                <w:rFonts w:cs="Arial"/>
                <w:szCs w:val="22"/>
              </w:rPr>
              <w:t>before disbursing to implementing agencies.</w:t>
            </w:r>
          </w:p>
          <w:p w:rsidR="00052899" w:rsidRPr="00B40A7C" w:rsidRDefault="00052899" w:rsidP="00052899">
            <w:pPr>
              <w:spacing w:after="200" w:line="276" w:lineRule="auto"/>
              <w:ind w:right="120"/>
              <w:contextualSpacing/>
              <w:jc w:val="both"/>
              <w:rPr>
                <w:rFonts w:cs="Arial"/>
                <w:szCs w:val="22"/>
              </w:rPr>
            </w:pPr>
          </w:p>
          <w:p w:rsidR="00052899" w:rsidRPr="00B40A7C" w:rsidRDefault="00052899" w:rsidP="00052899">
            <w:pPr>
              <w:jc w:val="both"/>
              <w:rPr>
                <w:rFonts w:cs="Arial"/>
                <w:szCs w:val="22"/>
              </w:rPr>
            </w:pPr>
            <w:r w:rsidRPr="00B40A7C">
              <w:rPr>
                <w:rFonts w:cs="Arial"/>
                <w:szCs w:val="22"/>
              </w:rPr>
              <w:t xml:space="preserve">Overall, the legal and institutional framework for a performing PFM system for the Health Sector has been put in place. There has been some improvement in the PFM accountability of the </w:t>
            </w:r>
            <w:r w:rsidR="00472AFA">
              <w:rPr>
                <w:rFonts w:cs="Arial"/>
                <w:szCs w:val="22"/>
              </w:rPr>
              <w:t>MoH</w:t>
            </w:r>
            <w:r w:rsidR="000679E7">
              <w:rPr>
                <w:rFonts w:cs="Arial"/>
                <w:szCs w:val="22"/>
              </w:rPr>
              <w:t xml:space="preserve"> </w:t>
            </w:r>
            <w:r w:rsidRPr="00B40A7C">
              <w:rPr>
                <w:rFonts w:cs="Arial"/>
                <w:szCs w:val="22"/>
              </w:rPr>
              <w:t xml:space="preserve">with the completion of the revised ATF and DPs’ interest in the internal audit function, external audits and reporting have resulted to these elements performing very well.  However, planning and budget execution is weak especially at sub-national levels partly as a result of lack of automation and partly because of the erratic nature of cash releases to BMCs.  </w:t>
            </w:r>
          </w:p>
          <w:p w:rsidR="00052899" w:rsidRPr="00B40A7C" w:rsidRDefault="00052899" w:rsidP="00052899">
            <w:pPr>
              <w:jc w:val="both"/>
              <w:rPr>
                <w:rFonts w:cs="Arial"/>
                <w:b/>
                <w:szCs w:val="22"/>
              </w:rPr>
            </w:pPr>
          </w:p>
          <w:p w:rsidR="00052899" w:rsidRPr="00B40A7C" w:rsidRDefault="00052899" w:rsidP="00052899">
            <w:pPr>
              <w:spacing w:after="200" w:line="276" w:lineRule="auto"/>
              <w:ind w:right="120"/>
              <w:contextualSpacing/>
              <w:jc w:val="both"/>
              <w:rPr>
                <w:rFonts w:cs="Arial"/>
                <w:szCs w:val="22"/>
              </w:rPr>
            </w:pPr>
            <w:r w:rsidRPr="00B40A7C">
              <w:rPr>
                <w:rFonts w:cs="Arial"/>
                <w:szCs w:val="22"/>
              </w:rPr>
              <w:t xml:space="preserve">3.3There was no mis-procurement or misuses of </w:t>
            </w:r>
            <w:r w:rsidRPr="00B40A7C">
              <w:rPr>
                <w:rFonts w:cs="Arial"/>
                <w:szCs w:val="22"/>
              </w:rPr>
              <w:lastRenderedPageBreak/>
              <w:t xml:space="preserve">funds. Two accounts are used to manage the GAVI HSS funds- a cedi and a dollar account at </w:t>
            </w:r>
            <w:r w:rsidR="00286A22">
              <w:rPr>
                <w:rFonts w:cs="Arial"/>
                <w:szCs w:val="22"/>
              </w:rPr>
              <w:t>UNI</w:t>
            </w:r>
            <w:r w:rsidRPr="00B40A7C">
              <w:rPr>
                <w:rFonts w:cs="Arial"/>
                <w:szCs w:val="22"/>
              </w:rPr>
              <w:t>BANK Ghana LTD.  The dollar account is a receiving account in which the funds are lodged. The Cedi account is the operational account. Funds are transferred from the dollar account to the cedi account for transactions.</w:t>
            </w:r>
          </w:p>
        </w:tc>
      </w:tr>
      <w:tr w:rsidR="00052899" w:rsidRPr="00B40A7C">
        <w:trPr>
          <w:trHeight w:val="412"/>
        </w:trPr>
        <w:tc>
          <w:tcPr>
            <w:tcW w:w="5000" w:type="pct"/>
            <w:gridSpan w:val="3"/>
            <w:shd w:val="clear" w:color="auto" w:fill="FFFFFF"/>
          </w:tcPr>
          <w:p w:rsidR="00052899" w:rsidRPr="00B40A7C" w:rsidRDefault="00052899" w:rsidP="00052899">
            <w:pPr>
              <w:spacing w:before="120" w:after="120"/>
              <w:jc w:val="both"/>
              <w:rPr>
                <w:rFonts w:cs="Arial"/>
                <w:b/>
                <w:szCs w:val="22"/>
              </w:rPr>
            </w:pPr>
            <w:r w:rsidRPr="00B40A7C">
              <w:rPr>
                <w:rFonts w:cs="Arial"/>
                <w:b/>
                <w:szCs w:val="22"/>
              </w:rPr>
              <w:lastRenderedPageBreak/>
              <w:t>Oversight, Planning and Budgeting</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459" w:hanging="425"/>
              <w:jc w:val="both"/>
              <w:rPr>
                <w:rFonts w:ascii="Arial" w:hAnsi="Arial" w:cs="Arial"/>
                <w:sz w:val="22"/>
                <w:szCs w:val="22"/>
                <w:lang w:eastAsia="en-US"/>
              </w:rPr>
            </w:pPr>
            <w:r w:rsidRPr="00B40A7C">
              <w:rPr>
                <w:rFonts w:ascii="Arial" w:hAnsi="Arial" w:cs="Arial"/>
                <w:sz w:val="22"/>
                <w:szCs w:val="22"/>
                <w:lang w:eastAsia="en-US"/>
              </w:rPr>
              <w:t>Which body will be responsible for the in-country oversight of the programme? Please briefly describe membership, meeting frequency as well as decision making process.</w:t>
            </w:r>
          </w:p>
        </w:tc>
        <w:tc>
          <w:tcPr>
            <w:tcW w:w="2843" w:type="pct"/>
            <w:gridSpan w:val="2"/>
            <w:shd w:val="clear" w:color="auto" w:fill="FFFFFF"/>
          </w:tcPr>
          <w:p w:rsidR="00052899" w:rsidRPr="00B40A7C" w:rsidRDefault="00052899" w:rsidP="00052899">
            <w:pPr>
              <w:spacing w:before="120" w:after="120"/>
              <w:jc w:val="both"/>
              <w:rPr>
                <w:rFonts w:cs="Arial"/>
                <w:szCs w:val="22"/>
              </w:rPr>
            </w:pPr>
            <w:r w:rsidRPr="00B40A7C">
              <w:rPr>
                <w:rFonts w:cs="Arial"/>
                <w:szCs w:val="22"/>
              </w:rPr>
              <w:t xml:space="preserve">The </w:t>
            </w:r>
            <w:r w:rsidR="00472AFA">
              <w:rPr>
                <w:rFonts w:cs="Arial"/>
                <w:szCs w:val="22"/>
              </w:rPr>
              <w:t>MoH</w:t>
            </w:r>
            <w:r w:rsidR="000679E7">
              <w:rPr>
                <w:rFonts w:cs="Arial"/>
                <w:szCs w:val="22"/>
              </w:rPr>
              <w:t xml:space="preserve"> </w:t>
            </w:r>
            <w:r w:rsidRPr="00B40A7C">
              <w:rPr>
                <w:rFonts w:cs="Arial"/>
                <w:szCs w:val="22"/>
              </w:rPr>
              <w:t xml:space="preserve">will be responsible for the overall oversight of the programme. The </w:t>
            </w:r>
            <w:r w:rsidR="00472AFA">
              <w:rPr>
                <w:rFonts w:cs="Arial"/>
                <w:szCs w:val="22"/>
              </w:rPr>
              <w:t>MoH</w:t>
            </w:r>
            <w:r w:rsidR="000679E7">
              <w:rPr>
                <w:rFonts w:cs="Arial"/>
                <w:szCs w:val="22"/>
              </w:rPr>
              <w:t xml:space="preserve"> </w:t>
            </w:r>
            <w:r w:rsidRPr="00B40A7C">
              <w:rPr>
                <w:rFonts w:cs="Arial"/>
                <w:szCs w:val="22"/>
              </w:rPr>
              <w:t>coordinates the HSCC and will discuss the GAVI HSS progress during the quarterly HSCC meetings.</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459" w:hanging="425"/>
              <w:jc w:val="both"/>
              <w:rPr>
                <w:rFonts w:ascii="Arial" w:hAnsi="Arial" w:cs="Arial"/>
                <w:sz w:val="22"/>
                <w:szCs w:val="22"/>
                <w:lang w:eastAsia="en-US"/>
              </w:rPr>
            </w:pPr>
            <w:r w:rsidRPr="00B40A7C">
              <w:rPr>
                <w:rFonts w:ascii="Arial" w:hAnsi="Arial" w:cs="Arial"/>
                <w:sz w:val="22"/>
                <w:szCs w:val="22"/>
                <w:lang w:eastAsia="en-US"/>
              </w:rPr>
              <w:t>Who will be responsible for the annual planning and budgeting in relation to GAVI HSS?</w:t>
            </w:r>
          </w:p>
        </w:tc>
        <w:tc>
          <w:tcPr>
            <w:tcW w:w="2843" w:type="pct"/>
            <w:gridSpan w:val="2"/>
            <w:shd w:val="clear" w:color="auto" w:fill="FFFFFF"/>
          </w:tcPr>
          <w:p w:rsidR="00052899" w:rsidRPr="00B40A7C" w:rsidRDefault="00052899" w:rsidP="00052899">
            <w:pPr>
              <w:spacing w:before="120" w:after="120"/>
              <w:jc w:val="both"/>
              <w:rPr>
                <w:rFonts w:cs="Arial"/>
                <w:szCs w:val="22"/>
              </w:rPr>
            </w:pPr>
            <w:r w:rsidRPr="00B40A7C">
              <w:rPr>
                <w:rFonts w:cs="Arial"/>
                <w:szCs w:val="22"/>
              </w:rPr>
              <w:t>The Director Policy Planning Monitoring and Evaluation of the MoH</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459" w:hanging="425"/>
              <w:jc w:val="both"/>
              <w:rPr>
                <w:rFonts w:ascii="Arial" w:hAnsi="Arial" w:cs="Arial"/>
                <w:sz w:val="22"/>
                <w:szCs w:val="22"/>
                <w:lang w:eastAsia="en-US"/>
              </w:rPr>
            </w:pPr>
            <w:r w:rsidRPr="00B40A7C">
              <w:rPr>
                <w:rFonts w:ascii="Arial" w:hAnsi="Arial" w:cs="Arial"/>
                <w:sz w:val="22"/>
                <w:szCs w:val="22"/>
                <w:lang w:eastAsia="en-US"/>
              </w:rPr>
              <w:t>What is the planning &amp; budgeting process and who has the responsibility to approve GAVI HSS annual work plan and budget?</w:t>
            </w:r>
          </w:p>
        </w:tc>
        <w:tc>
          <w:tcPr>
            <w:tcW w:w="2843" w:type="pct"/>
            <w:gridSpan w:val="2"/>
            <w:shd w:val="clear" w:color="auto" w:fill="FFFFFF"/>
          </w:tcPr>
          <w:p w:rsidR="00052899" w:rsidRPr="00B40A7C" w:rsidRDefault="00052899" w:rsidP="00052899">
            <w:pPr>
              <w:spacing w:before="120" w:after="120"/>
              <w:jc w:val="both"/>
              <w:rPr>
                <w:rFonts w:cs="Arial"/>
                <w:szCs w:val="22"/>
              </w:rPr>
            </w:pPr>
            <w:r w:rsidRPr="00B40A7C">
              <w:rPr>
                <w:rFonts w:cs="Arial"/>
                <w:szCs w:val="22"/>
              </w:rPr>
              <w:t>Beyond the proposal approval, annual plans and budget for the GAVI HSS will be incorporated in the annual MTEF process. All GAVI HSS annual work programme will be approved by the Chief Director of MoH.</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0" w:line="240" w:lineRule="auto"/>
              <w:ind w:left="459" w:hanging="425"/>
              <w:jc w:val="both"/>
              <w:rPr>
                <w:rFonts w:ascii="Arial" w:hAnsi="Arial" w:cs="Arial"/>
                <w:sz w:val="22"/>
                <w:szCs w:val="22"/>
                <w:lang w:eastAsia="en-US"/>
              </w:rPr>
            </w:pPr>
            <w:r w:rsidRPr="00B40A7C">
              <w:rPr>
                <w:rFonts w:ascii="Arial" w:hAnsi="Arial" w:cs="Arial"/>
                <w:sz w:val="22"/>
                <w:szCs w:val="22"/>
                <w:lang w:eastAsia="en-US"/>
              </w:rPr>
              <w:t>Will the GAVI HSS programme be reflected in the budget of the Ministry of Health submitted every year to the Parliament for approval?</w:t>
            </w:r>
          </w:p>
        </w:tc>
        <w:tc>
          <w:tcPr>
            <w:tcW w:w="2843" w:type="pct"/>
            <w:gridSpan w:val="2"/>
            <w:shd w:val="clear" w:color="auto" w:fill="FFFFFF"/>
          </w:tcPr>
          <w:p w:rsidR="00052899" w:rsidRPr="00B40A7C" w:rsidRDefault="00052899" w:rsidP="00052899">
            <w:pPr>
              <w:spacing w:before="120" w:after="120"/>
              <w:jc w:val="both"/>
              <w:rPr>
                <w:rFonts w:cs="Arial"/>
                <w:szCs w:val="22"/>
              </w:rPr>
            </w:pPr>
            <w:r w:rsidRPr="00B40A7C">
              <w:rPr>
                <w:rFonts w:cs="Arial"/>
                <w:szCs w:val="22"/>
              </w:rPr>
              <w:t>YES</w:t>
            </w:r>
          </w:p>
        </w:tc>
      </w:tr>
      <w:tr w:rsidR="00052899" w:rsidRPr="00B40A7C">
        <w:trPr>
          <w:trHeight w:val="278"/>
        </w:trPr>
        <w:tc>
          <w:tcPr>
            <w:tcW w:w="5000" w:type="pct"/>
            <w:gridSpan w:val="3"/>
            <w:shd w:val="clear" w:color="auto" w:fill="FFFFFF"/>
          </w:tcPr>
          <w:p w:rsidR="00052899" w:rsidRPr="00B40A7C" w:rsidRDefault="00052899" w:rsidP="00052899">
            <w:pPr>
              <w:spacing w:before="120" w:after="120"/>
              <w:jc w:val="both"/>
              <w:rPr>
                <w:rFonts w:cs="Arial"/>
                <w:b/>
                <w:szCs w:val="22"/>
              </w:rPr>
            </w:pPr>
            <w:r w:rsidRPr="00B40A7C">
              <w:rPr>
                <w:rFonts w:cs="Arial"/>
                <w:b/>
                <w:szCs w:val="22"/>
              </w:rPr>
              <w:t>Budget Execution (incl. treasury management and funds flow)</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0" w:line="240" w:lineRule="auto"/>
              <w:ind w:left="459" w:hanging="425"/>
              <w:jc w:val="both"/>
              <w:rPr>
                <w:rFonts w:ascii="Arial" w:hAnsi="Arial" w:cs="Arial"/>
                <w:sz w:val="22"/>
                <w:szCs w:val="22"/>
                <w:lang w:eastAsia="en-US"/>
              </w:rPr>
            </w:pPr>
            <w:r w:rsidRPr="00B40A7C">
              <w:rPr>
                <w:rFonts w:ascii="Arial" w:hAnsi="Arial" w:cs="Arial"/>
                <w:sz w:val="22"/>
                <w:szCs w:val="22"/>
                <w:lang w:eastAsia="en-US"/>
              </w:rPr>
              <w:t xml:space="preserve">What is the suggested banking arrangement? (i.e. account currency, funds flow to programme)  Please list the titles of authorised signatories for payment release and funds replenishment request. </w:t>
            </w:r>
          </w:p>
        </w:tc>
        <w:tc>
          <w:tcPr>
            <w:tcW w:w="2843" w:type="pct"/>
            <w:gridSpan w:val="2"/>
            <w:shd w:val="clear" w:color="auto" w:fill="FFFFFF"/>
          </w:tcPr>
          <w:p w:rsidR="00052899" w:rsidRPr="00B40A7C" w:rsidRDefault="00052899" w:rsidP="00052899">
            <w:pPr>
              <w:spacing w:before="120" w:after="120"/>
              <w:jc w:val="both"/>
              <w:rPr>
                <w:rFonts w:cs="Arial"/>
                <w:szCs w:val="22"/>
              </w:rPr>
            </w:pPr>
            <w:r w:rsidRPr="00B40A7C">
              <w:rPr>
                <w:rFonts w:cs="Arial"/>
                <w:szCs w:val="22"/>
              </w:rPr>
              <w:t>Funds will be transferred to the earmarked dollar account of the MoH. The Chief Director and the Financial Controller sign the account and the financial controller will be responsible for the replenishment of request</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0" w:line="240" w:lineRule="auto"/>
              <w:ind w:left="459" w:hanging="425"/>
              <w:jc w:val="both"/>
              <w:rPr>
                <w:rFonts w:ascii="Arial" w:hAnsi="Arial" w:cs="Arial"/>
                <w:sz w:val="22"/>
                <w:szCs w:val="22"/>
                <w:lang w:eastAsia="en-US"/>
              </w:rPr>
            </w:pPr>
            <w:r w:rsidRPr="00B40A7C">
              <w:rPr>
                <w:rFonts w:ascii="Arial" w:hAnsi="Arial" w:cs="Arial"/>
                <w:sz w:val="22"/>
                <w:szCs w:val="22"/>
                <w:lang w:eastAsia="en-US"/>
              </w:rPr>
              <w:t xml:space="preserve">Will GAVI HSS funds be transferred to a bank account opened at the Central Bank or at a commercial bank in the name of the Ministry of Health or the Implementing Entity? </w:t>
            </w:r>
          </w:p>
        </w:tc>
        <w:tc>
          <w:tcPr>
            <w:tcW w:w="2843" w:type="pct"/>
            <w:gridSpan w:val="2"/>
            <w:shd w:val="clear" w:color="auto" w:fill="FFFFFF"/>
          </w:tcPr>
          <w:p w:rsidR="00052899" w:rsidRPr="00B40A7C" w:rsidRDefault="00052899" w:rsidP="00286A22">
            <w:pPr>
              <w:spacing w:before="120" w:after="120"/>
              <w:jc w:val="both"/>
              <w:rPr>
                <w:rFonts w:cs="Arial"/>
                <w:szCs w:val="22"/>
              </w:rPr>
            </w:pPr>
            <w:r w:rsidRPr="00B40A7C">
              <w:rPr>
                <w:rFonts w:cs="Arial"/>
                <w:szCs w:val="22"/>
              </w:rPr>
              <w:t xml:space="preserve">The GAVI HSS will be transferred to an existing commercial bank account in the name of the </w:t>
            </w:r>
            <w:r w:rsidR="00286A22">
              <w:rPr>
                <w:rFonts w:cs="Arial"/>
                <w:szCs w:val="22"/>
              </w:rPr>
              <w:t>Ghana Health Service (implementing Entity)</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459" w:hanging="425"/>
              <w:jc w:val="both"/>
              <w:rPr>
                <w:rFonts w:ascii="Arial" w:hAnsi="Arial" w:cs="Arial"/>
                <w:sz w:val="22"/>
                <w:szCs w:val="22"/>
                <w:lang w:eastAsia="en-US"/>
              </w:rPr>
            </w:pPr>
            <w:r w:rsidRPr="00B40A7C">
              <w:rPr>
                <w:rFonts w:ascii="Arial" w:hAnsi="Arial" w:cs="Arial"/>
                <w:sz w:val="22"/>
                <w:szCs w:val="22"/>
                <w:lang w:eastAsia="en-US"/>
              </w:rPr>
              <w:t xml:space="preserve">Would this bank account hold only GAVI funds or also funds from other sources (government and/or </w:t>
            </w:r>
            <w:r w:rsidRPr="00B40A7C">
              <w:rPr>
                <w:rFonts w:ascii="Arial" w:hAnsi="Arial" w:cs="Arial"/>
                <w:sz w:val="22"/>
                <w:szCs w:val="22"/>
                <w:lang w:eastAsia="en-US"/>
              </w:rPr>
              <w:lastRenderedPageBreak/>
              <w:t>donors- “pooled account”)?</w:t>
            </w:r>
          </w:p>
        </w:tc>
        <w:tc>
          <w:tcPr>
            <w:tcW w:w="2843" w:type="pct"/>
            <w:gridSpan w:val="2"/>
            <w:shd w:val="clear" w:color="auto" w:fill="FFFFFF"/>
          </w:tcPr>
          <w:p w:rsidR="00052899" w:rsidRPr="00B40A7C" w:rsidRDefault="00052899" w:rsidP="00286A22">
            <w:pPr>
              <w:spacing w:before="120" w:after="120"/>
              <w:jc w:val="both"/>
              <w:rPr>
                <w:rFonts w:cs="Arial"/>
                <w:szCs w:val="22"/>
              </w:rPr>
            </w:pPr>
            <w:r w:rsidRPr="00B40A7C">
              <w:rPr>
                <w:rFonts w:cs="Arial"/>
                <w:szCs w:val="22"/>
              </w:rPr>
              <w:lastRenderedPageBreak/>
              <w:t>This account is an earmarked pool account used for only projects and programmes</w:t>
            </w:r>
            <w:r w:rsidR="00286A22">
              <w:rPr>
                <w:rFonts w:cs="Arial"/>
                <w:szCs w:val="22"/>
              </w:rPr>
              <w:t xml:space="preserve"> funded from external sources. </w:t>
            </w:r>
            <w:r w:rsidRPr="00B40A7C">
              <w:rPr>
                <w:rFonts w:cs="Arial"/>
                <w:szCs w:val="22"/>
              </w:rPr>
              <w:t xml:space="preserve">This is different from the account for budget </w:t>
            </w:r>
            <w:r w:rsidRPr="00B40A7C">
              <w:rPr>
                <w:rFonts w:cs="Arial"/>
                <w:szCs w:val="22"/>
              </w:rPr>
              <w:lastRenderedPageBreak/>
              <w:t>support.</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459" w:hanging="425"/>
              <w:jc w:val="both"/>
              <w:rPr>
                <w:rFonts w:ascii="Arial" w:hAnsi="Arial" w:cs="Arial"/>
                <w:sz w:val="22"/>
                <w:szCs w:val="22"/>
                <w:lang w:eastAsia="en-US"/>
              </w:rPr>
            </w:pPr>
            <w:r w:rsidRPr="00B40A7C">
              <w:rPr>
                <w:rFonts w:ascii="Arial" w:hAnsi="Arial" w:cs="Arial"/>
                <w:sz w:val="22"/>
                <w:szCs w:val="22"/>
                <w:lang w:eastAsia="en-US"/>
              </w:rPr>
              <w:lastRenderedPageBreak/>
              <w:t xml:space="preserve">Within the HSS programme, are funds planned to be transferred from central to decentralized levels (provinces, districts etc.)? </w:t>
            </w:r>
            <w:r w:rsidRPr="00B40A7C">
              <w:rPr>
                <w:rFonts w:ascii="Arial" w:hAnsi="Arial" w:cs="Arial"/>
                <w:b/>
                <w:sz w:val="22"/>
                <w:szCs w:val="22"/>
                <w:lang w:eastAsia="en-US"/>
              </w:rPr>
              <w:t>If YES</w:t>
            </w:r>
            <w:r w:rsidRPr="00B40A7C">
              <w:rPr>
                <w:rFonts w:ascii="Arial" w:hAnsi="Arial" w:cs="Arial"/>
                <w:sz w:val="22"/>
                <w:szCs w:val="22"/>
                <w:lang w:eastAsia="en-US"/>
              </w:rPr>
              <w:t>, please describe how fund transfers will be executed and controlled.</w:t>
            </w:r>
          </w:p>
        </w:tc>
        <w:tc>
          <w:tcPr>
            <w:tcW w:w="2843" w:type="pct"/>
            <w:gridSpan w:val="2"/>
            <w:shd w:val="clear" w:color="auto" w:fill="FFFFFF"/>
          </w:tcPr>
          <w:p w:rsidR="00052899" w:rsidRPr="00B40A7C" w:rsidRDefault="00052899" w:rsidP="00052899">
            <w:pPr>
              <w:spacing w:before="120" w:after="120"/>
              <w:jc w:val="both"/>
              <w:rPr>
                <w:rFonts w:cs="Arial"/>
                <w:szCs w:val="22"/>
              </w:rPr>
            </w:pPr>
            <w:r w:rsidRPr="00B40A7C">
              <w:rPr>
                <w:rFonts w:cs="Arial"/>
                <w:szCs w:val="22"/>
              </w:rPr>
              <w:t>YES</w:t>
            </w:r>
          </w:p>
          <w:p w:rsidR="00052899" w:rsidRPr="00B40A7C" w:rsidRDefault="00052899" w:rsidP="00052899">
            <w:pPr>
              <w:spacing w:before="120" w:after="120"/>
              <w:jc w:val="both"/>
              <w:rPr>
                <w:rFonts w:cs="Arial"/>
                <w:szCs w:val="22"/>
              </w:rPr>
            </w:pPr>
            <w:r w:rsidRPr="00B40A7C">
              <w:rPr>
                <w:rFonts w:cs="Arial"/>
                <w:szCs w:val="22"/>
              </w:rPr>
              <w:t>Funds will be transferred to decentralised levels and will be managed by the same existing financial management and accounting arrangements.</w:t>
            </w:r>
          </w:p>
        </w:tc>
      </w:tr>
      <w:tr w:rsidR="00052899" w:rsidRPr="00B40A7C">
        <w:trPr>
          <w:trHeight w:val="278"/>
        </w:trPr>
        <w:tc>
          <w:tcPr>
            <w:tcW w:w="5000" w:type="pct"/>
            <w:gridSpan w:val="3"/>
            <w:shd w:val="clear" w:color="auto" w:fill="FFFFFF"/>
          </w:tcPr>
          <w:p w:rsidR="00052899" w:rsidRPr="00B40A7C" w:rsidRDefault="00052899" w:rsidP="00052899">
            <w:pPr>
              <w:spacing w:before="120" w:after="120"/>
              <w:ind w:left="360"/>
              <w:jc w:val="both"/>
              <w:rPr>
                <w:rFonts w:cs="Arial"/>
                <w:b/>
                <w:szCs w:val="22"/>
              </w:rPr>
            </w:pPr>
            <w:r w:rsidRPr="00B40A7C">
              <w:rPr>
                <w:rFonts w:cs="Arial"/>
                <w:b/>
                <w:szCs w:val="22"/>
              </w:rPr>
              <w:t>Procurement</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459" w:right="120" w:hanging="425"/>
              <w:jc w:val="both"/>
              <w:rPr>
                <w:rFonts w:ascii="Arial" w:hAnsi="Arial" w:cs="Arial"/>
                <w:sz w:val="22"/>
                <w:szCs w:val="22"/>
                <w:lang w:eastAsia="en-US"/>
              </w:rPr>
            </w:pPr>
            <w:r w:rsidRPr="00B40A7C">
              <w:rPr>
                <w:rFonts w:ascii="Arial" w:hAnsi="Arial" w:cs="Arial"/>
                <w:sz w:val="22"/>
                <w:szCs w:val="22"/>
                <w:lang w:eastAsia="en-US"/>
              </w:rPr>
              <w:t xml:space="preserve">What procurement system will be used for the GAVI HSS Programme? (e.g. National Procurement Code/Act or WB/UNICEF/WHO and other Development Partners’ procurement procedures)  </w:t>
            </w:r>
          </w:p>
        </w:tc>
        <w:tc>
          <w:tcPr>
            <w:tcW w:w="2843" w:type="pct"/>
            <w:gridSpan w:val="2"/>
            <w:shd w:val="clear" w:color="auto" w:fill="FFFFFF"/>
          </w:tcPr>
          <w:p w:rsidR="00052899" w:rsidRPr="00B40A7C" w:rsidRDefault="00052899" w:rsidP="0063418C">
            <w:pPr>
              <w:spacing w:before="120" w:after="120"/>
              <w:jc w:val="both"/>
              <w:rPr>
                <w:rFonts w:cs="Arial"/>
                <w:szCs w:val="22"/>
              </w:rPr>
            </w:pPr>
            <w:r w:rsidRPr="00B40A7C">
              <w:rPr>
                <w:rFonts w:cs="Arial"/>
                <w:szCs w:val="22"/>
              </w:rPr>
              <w:t xml:space="preserve">The </w:t>
            </w:r>
            <w:r w:rsidR="004C5394">
              <w:rPr>
                <w:rFonts w:cs="Arial"/>
                <w:szCs w:val="22"/>
              </w:rPr>
              <w:t xml:space="preserve">Public </w:t>
            </w:r>
            <w:r w:rsidR="004C5394" w:rsidRPr="00B40A7C">
              <w:rPr>
                <w:rFonts w:cs="Arial"/>
                <w:szCs w:val="22"/>
              </w:rPr>
              <w:t>Procurement</w:t>
            </w:r>
            <w:r w:rsidRPr="00B40A7C">
              <w:rPr>
                <w:rFonts w:cs="Arial"/>
                <w:szCs w:val="22"/>
              </w:rPr>
              <w:t xml:space="preserve"> Act</w:t>
            </w:r>
            <w:r w:rsidR="0063418C">
              <w:rPr>
                <w:rFonts w:cs="Arial"/>
                <w:szCs w:val="22"/>
              </w:rPr>
              <w:t xml:space="preserve"> (Act 663)</w:t>
            </w:r>
            <w:r w:rsidRPr="00B40A7C">
              <w:rPr>
                <w:rFonts w:cs="Arial"/>
                <w:szCs w:val="22"/>
              </w:rPr>
              <w:t xml:space="preserve"> will guide all procurement funded by the GAVI HSS.</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459" w:right="120" w:hanging="425"/>
              <w:jc w:val="both"/>
              <w:rPr>
                <w:rFonts w:ascii="Arial" w:hAnsi="Arial" w:cs="Arial"/>
                <w:sz w:val="22"/>
                <w:szCs w:val="22"/>
                <w:lang w:eastAsia="en-US"/>
              </w:rPr>
            </w:pPr>
            <w:r w:rsidRPr="00B40A7C">
              <w:rPr>
                <w:rFonts w:ascii="Arial" w:hAnsi="Arial" w:cs="Arial"/>
                <w:sz w:val="22"/>
                <w:szCs w:val="22"/>
                <w:lang w:eastAsia="en-US"/>
              </w:rPr>
              <w:t>Are all or certain items planned to be procured through the systems of GAVI’s in-country partners (UNICEF, WHO)?</w:t>
            </w:r>
          </w:p>
        </w:tc>
        <w:tc>
          <w:tcPr>
            <w:tcW w:w="2843" w:type="pct"/>
            <w:gridSpan w:val="2"/>
            <w:shd w:val="clear" w:color="auto" w:fill="FFFFFF"/>
          </w:tcPr>
          <w:p w:rsidR="00052899" w:rsidRPr="00B40A7C" w:rsidRDefault="00052899" w:rsidP="00052899">
            <w:pPr>
              <w:spacing w:before="120" w:after="120"/>
              <w:jc w:val="both"/>
              <w:rPr>
                <w:rFonts w:cs="Arial"/>
                <w:szCs w:val="22"/>
              </w:rPr>
            </w:pPr>
            <w:r w:rsidRPr="00B40A7C">
              <w:rPr>
                <w:rFonts w:cs="Arial"/>
                <w:szCs w:val="22"/>
              </w:rPr>
              <w:t xml:space="preserve">All procurement in this proposal will be procured using the </w:t>
            </w:r>
            <w:r w:rsidR="00472AFA">
              <w:rPr>
                <w:rFonts w:cs="Arial"/>
                <w:szCs w:val="22"/>
              </w:rPr>
              <w:t>MoH</w:t>
            </w:r>
            <w:r w:rsidR="004C5394">
              <w:rPr>
                <w:rFonts w:cs="Arial"/>
                <w:szCs w:val="22"/>
              </w:rPr>
              <w:t xml:space="preserve"> </w:t>
            </w:r>
            <w:r w:rsidRPr="00B40A7C">
              <w:rPr>
                <w:rFonts w:cs="Arial"/>
                <w:szCs w:val="22"/>
              </w:rPr>
              <w:t xml:space="preserve">procurement </w:t>
            </w:r>
            <w:r w:rsidR="0063418C">
              <w:rPr>
                <w:rFonts w:cs="Arial"/>
                <w:szCs w:val="22"/>
              </w:rPr>
              <w:t>unit</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459" w:right="120" w:hanging="425"/>
              <w:jc w:val="both"/>
              <w:rPr>
                <w:rFonts w:ascii="Arial" w:hAnsi="Arial" w:cs="Arial"/>
                <w:sz w:val="22"/>
                <w:szCs w:val="22"/>
                <w:lang w:eastAsia="en-US"/>
              </w:rPr>
            </w:pPr>
            <w:r w:rsidRPr="00B40A7C">
              <w:rPr>
                <w:rFonts w:ascii="Arial" w:hAnsi="Arial" w:cs="Arial"/>
                <w:sz w:val="22"/>
                <w:szCs w:val="22"/>
                <w:lang w:eastAsia="en-US"/>
              </w:rPr>
              <w:t xml:space="preserve">What is the staffing arrangement of the organization in procurement?  </w:t>
            </w:r>
          </w:p>
        </w:tc>
        <w:tc>
          <w:tcPr>
            <w:tcW w:w="2843" w:type="pct"/>
            <w:gridSpan w:val="2"/>
            <w:shd w:val="clear" w:color="auto" w:fill="FFFFFF"/>
          </w:tcPr>
          <w:p w:rsidR="00052899" w:rsidRPr="00B40A7C" w:rsidRDefault="00052899" w:rsidP="00052899">
            <w:pPr>
              <w:spacing w:before="120" w:after="120"/>
              <w:jc w:val="both"/>
              <w:rPr>
                <w:rFonts w:cs="Arial"/>
                <w:szCs w:val="22"/>
              </w:rPr>
            </w:pPr>
            <w:r w:rsidRPr="00B40A7C">
              <w:rPr>
                <w:rFonts w:cs="Arial"/>
                <w:szCs w:val="22"/>
              </w:rPr>
              <w:t xml:space="preserve">The </w:t>
            </w:r>
            <w:r w:rsidR="00472AFA">
              <w:rPr>
                <w:rFonts w:cs="Arial"/>
                <w:szCs w:val="22"/>
              </w:rPr>
              <w:t>MoH</w:t>
            </w:r>
            <w:r w:rsidR="004C5394">
              <w:rPr>
                <w:rFonts w:cs="Arial"/>
                <w:szCs w:val="22"/>
              </w:rPr>
              <w:t xml:space="preserve"> </w:t>
            </w:r>
            <w:r w:rsidRPr="00B40A7C">
              <w:rPr>
                <w:rFonts w:cs="Arial"/>
                <w:szCs w:val="22"/>
              </w:rPr>
              <w:t xml:space="preserve">procurement unit is well staffed and have the capacity for undertaking high level procurement activities. </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459" w:right="120" w:hanging="425"/>
              <w:jc w:val="both"/>
              <w:rPr>
                <w:rFonts w:ascii="Arial" w:hAnsi="Arial" w:cs="Arial"/>
                <w:sz w:val="22"/>
                <w:szCs w:val="22"/>
                <w:lang w:eastAsia="en-US"/>
              </w:rPr>
            </w:pPr>
            <w:r w:rsidRPr="00B40A7C">
              <w:rPr>
                <w:rFonts w:ascii="Arial" w:hAnsi="Arial" w:cs="Arial"/>
                <w:sz w:val="22"/>
                <w:szCs w:val="22"/>
                <w:lang w:eastAsia="en-US"/>
              </w:rPr>
              <w:t>Are there procedures in place for physical inspection and quality control of goods, works, or services delivered?</w:t>
            </w:r>
          </w:p>
        </w:tc>
        <w:tc>
          <w:tcPr>
            <w:tcW w:w="2843" w:type="pct"/>
            <w:gridSpan w:val="2"/>
            <w:shd w:val="clear" w:color="auto" w:fill="FFFFFF"/>
          </w:tcPr>
          <w:p w:rsidR="00052899" w:rsidRPr="00B40A7C" w:rsidRDefault="00052899" w:rsidP="00052899">
            <w:pPr>
              <w:spacing w:before="120" w:after="120"/>
              <w:jc w:val="both"/>
              <w:rPr>
                <w:rFonts w:cs="Arial"/>
                <w:szCs w:val="22"/>
              </w:rPr>
            </w:pPr>
            <w:r w:rsidRPr="00B40A7C">
              <w:rPr>
                <w:rFonts w:cs="Arial"/>
                <w:szCs w:val="22"/>
              </w:rPr>
              <w:t>YES</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459" w:right="120" w:hanging="425"/>
              <w:jc w:val="both"/>
              <w:rPr>
                <w:rFonts w:ascii="Arial" w:hAnsi="Arial" w:cs="Arial"/>
                <w:sz w:val="22"/>
                <w:szCs w:val="22"/>
                <w:lang w:eastAsia="en-US"/>
              </w:rPr>
            </w:pPr>
            <w:r w:rsidRPr="00B40A7C">
              <w:rPr>
                <w:rFonts w:ascii="Arial" w:hAnsi="Arial" w:cs="Arial"/>
                <w:sz w:val="22"/>
                <w:szCs w:val="22"/>
                <w:lang w:eastAsia="en-US"/>
              </w:rPr>
              <w:t xml:space="preserve">Is there a functioning complaint mechanism? Please provide a brief description. </w:t>
            </w:r>
          </w:p>
        </w:tc>
        <w:tc>
          <w:tcPr>
            <w:tcW w:w="2843" w:type="pct"/>
            <w:gridSpan w:val="2"/>
            <w:shd w:val="clear" w:color="auto" w:fill="FFFFFF"/>
          </w:tcPr>
          <w:p w:rsidR="00052899" w:rsidRPr="00B40A7C" w:rsidRDefault="00052899" w:rsidP="00052899">
            <w:pPr>
              <w:spacing w:before="120" w:after="120"/>
              <w:jc w:val="both"/>
              <w:rPr>
                <w:rFonts w:cs="Arial"/>
                <w:szCs w:val="22"/>
              </w:rPr>
            </w:pPr>
            <w:r w:rsidRPr="00B40A7C">
              <w:rPr>
                <w:rFonts w:cs="Arial"/>
                <w:szCs w:val="22"/>
              </w:rPr>
              <w:t>YES</w:t>
            </w:r>
          </w:p>
          <w:p w:rsidR="00052899" w:rsidRPr="00B40A7C" w:rsidRDefault="00052899" w:rsidP="0063418C">
            <w:pPr>
              <w:spacing w:before="120" w:after="120"/>
              <w:jc w:val="both"/>
              <w:rPr>
                <w:rFonts w:cs="Arial"/>
                <w:szCs w:val="22"/>
              </w:rPr>
            </w:pPr>
            <w:r w:rsidRPr="00B40A7C">
              <w:rPr>
                <w:rFonts w:cs="Arial"/>
                <w:szCs w:val="22"/>
              </w:rPr>
              <w:t xml:space="preserve">The </w:t>
            </w:r>
            <w:r w:rsidR="0063418C">
              <w:rPr>
                <w:rFonts w:cs="Arial"/>
                <w:szCs w:val="22"/>
              </w:rPr>
              <w:t>PPA (</w:t>
            </w:r>
            <w:r w:rsidRPr="00B40A7C">
              <w:rPr>
                <w:rFonts w:cs="Arial"/>
                <w:szCs w:val="22"/>
              </w:rPr>
              <w:t>Act</w:t>
            </w:r>
            <w:r w:rsidR="0063418C">
              <w:rPr>
                <w:rFonts w:cs="Arial"/>
                <w:szCs w:val="22"/>
              </w:rPr>
              <w:t xml:space="preserve"> 663)</w:t>
            </w:r>
            <w:r w:rsidRPr="00B40A7C">
              <w:rPr>
                <w:rFonts w:cs="Arial"/>
                <w:szCs w:val="22"/>
              </w:rPr>
              <w:t xml:space="preserve"> allows for dissatisfied contractors to lodge their complaint with the national Procurement Agency.</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459" w:right="120" w:hanging="425"/>
              <w:jc w:val="both"/>
              <w:rPr>
                <w:rFonts w:ascii="Arial" w:hAnsi="Arial" w:cs="Arial"/>
                <w:sz w:val="22"/>
                <w:szCs w:val="22"/>
                <w:lang w:eastAsia="en-US"/>
              </w:rPr>
            </w:pPr>
            <w:r w:rsidRPr="00B40A7C">
              <w:rPr>
                <w:rFonts w:ascii="Arial" w:hAnsi="Arial" w:cs="Arial"/>
                <w:sz w:val="22"/>
                <w:szCs w:val="22"/>
                <w:lang w:eastAsia="en-US"/>
              </w:rPr>
              <w:t xml:space="preserve">Are efficient contractual dispute resolution procedures in place? Please provide a brief description. </w:t>
            </w:r>
          </w:p>
        </w:tc>
        <w:tc>
          <w:tcPr>
            <w:tcW w:w="2843" w:type="pct"/>
            <w:gridSpan w:val="2"/>
            <w:shd w:val="clear" w:color="auto" w:fill="FFFFFF"/>
          </w:tcPr>
          <w:p w:rsidR="00052899" w:rsidRPr="00B40A7C" w:rsidRDefault="00052899" w:rsidP="00052899">
            <w:pPr>
              <w:spacing w:before="120" w:after="120"/>
              <w:jc w:val="both"/>
              <w:rPr>
                <w:rFonts w:cs="Arial"/>
                <w:szCs w:val="22"/>
              </w:rPr>
            </w:pPr>
            <w:r w:rsidRPr="00B40A7C">
              <w:rPr>
                <w:rFonts w:cs="Arial"/>
                <w:szCs w:val="22"/>
              </w:rPr>
              <w:t>YES</w:t>
            </w:r>
          </w:p>
          <w:p w:rsidR="00052899" w:rsidRPr="00B40A7C" w:rsidRDefault="00052899" w:rsidP="00052899">
            <w:pPr>
              <w:spacing w:before="120" w:after="120"/>
              <w:jc w:val="both"/>
              <w:rPr>
                <w:rFonts w:cs="Arial"/>
                <w:szCs w:val="22"/>
              </w:rPr>
            </w:pPr>
            <w:r w:rsidRPr="00B40A7C">
              <w:rPr>
                <w:rFonts w:cs="Arial"/>
                <w:szCs w:val="22"/>
              </w:rPr>
              <w:t>(If YES, please describe)</w:t>
            </w:r>
          </w:p>
        </w:tc>
      </w:tr>
      <w:tr w:rsidR="00052899" w:rsidRPr="00B40A7C">
        <w:trPr>
          <w:trHeight w:val="278"/>
        </w:trPr>
        <w:tc>
          <w:tcPr>
            <w:tcW w:w="5000" w:type="pct"/>
            <w:gridSpan w:val="3"/>
            <w:shd w:val="clear" w:color="auto" w:fill="FFFFFF"/>
          </w:tcPr>
          <w:p w:rsidR="00052899" w:rsidRPr="00B40A7C" w:rsidRDefault="00052899" w:rsidP="00052899">
            <w:pPr>
              <w:spacing w:before="120" w:after="120"/>
              <w:ind w:left="360"/>
              <w:jc w:val="both"/>
              <w:rPr>
                <w:rFonts w:cs="Arial"/>
                <w:b/>
                <w:szCs w:val="22"/>
              </w:rPr>
            </w:pPr>
            <w:r w:rsidRPr="00B40A7C">
              <w:rPr>
                <w:rFonts w:cs="Arial"/>
                <w:b/>
                <w:szCs w:val="22"/>
              </w:rPr>
              <w:t>Accounting and financial reporting (incl. fixed asset management)</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459" w:hanging="425"/>
              <w:jc w:val="both"/>
              <w:rPr>
                <w:rFonts w:ascii="Arial" w:hAnsi="Arial" w:cs="Arial"/>
                <w:sz w:val="22"/>
                <w:szCs w:val="22"/>
                <w:lang w:eastAsia="en-US"/>
              </w:rPr>
            </w:pPr>
            <w:r w:rsidRPr="00B40A7C">
              <w:rPr>
                <w:rFonts w:ascii="Arial" w:hAnsi="Arial" w:cs="Arial"/>
                <w:sz w:val="22"/>
                <w:szCs w:val="22"/>
                <w:lang w:eastAsia="en-US"/>
              </w:rPr>
              <w:t>What is the staffing arrangement of the organization in accounting, and reporting?</w:t>
            </w:r>
          </w:p>
        </w:tc>
        <w:tc>
          <w:tcPr>
            <w:tcW w:w="2843" w:type="pct"/>
            <w:gridSpan w:val="2"/>
            <w:shd w:val="clear" w:color="auto" w:fill="FFFFFF"/>
          </w:tcPr>
          <w:p w:rsidR="00052899" w:rsidRPr="00B40A7C" w:rsidRDefault="00052899" w:rsidP="00052899">
            <w:pPr>
              <w:spacing w:before="120" w:after="120"/>
              <w:jc w:val="both"/>
              <w:rPr>
                <w:rFonts w:cs="Arial"/>
                <w:szCs w:val="22"/>
              </w:rPr>
            </w:pPr>
            <w:r w:rsidRPr="00B40A7C">
              <w:rPr>
                <w:rFonts w:cs="Arial"/>
                <w:szCs w:val="22"/>
              </w:rPr>
              <w:t xml:space="preserve">The office of the financial controller at the </w:t>
            </w:r>
            <w:r w:rsidR="00472AFA">
              <w:rPr>
                <w:rFonts w:cs="Arial"/>
                <w:szCs w:val="22"/>
              </w:rPr>
              <w:t>MoH</w:t>
            </w:r>
            <w:r w:rsidR="004C5394">
              <w:rPr>
                <w:rFonts w:cs="Arial"/>
                <w:szCs w:val="22"/>
              </w:rPr>
              <w:t xml:space="preserve"> </w:t>
            </w:r>
            <w:r w:rsidRPr="00B40A7C">
              <w:rPr>
                <w:rFonts w:cs="Arial"/>
                <w:szCs w:val="22"/>
              </w:rPr>
              <w:t xml:space="preserve">and the GHS has qualified personnel handling financial issues of the </w:t>
            </w:r>
            <w:r w:rsidR="00472AFA">
              <w:rPr>
                <w:rFonts w:cs="Arial"/>
                <w:szCs w:val="22"/>
              </w:rPr>
              <w:t>MoH</w:t>
            </w:r>
            <w:r w:rsidR="004C5394">
              <w:rPr>
                <w:rFonts w:cs="Arial"/>
                <w:szCs w:val="22"/>
              </w:rPr>
              <w:t xml:space="preserve"> </w:t>
            </w:r>
            <w:r w:rsidRPr="00B40A7C">
              <w:rPr>
                <w:rFonts w:cs="Arial"/>
                <w:szCs w:val="22"/>
              </w:rPr>
              <w:t>and GHS</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459" w:hanging="425"/>
              <w:jc w:val="both"/>
              <w:rPr>
                <w:rFonts w:ascii="Arial" w:hAnsi="Arial" w:cs="Arial"/>
                <w:sz w:val="22"/>
                <w:szCs w:val="22"/>
                <w:lang w:eastAsia="en-US"/>
              </w:rPr>
            </w:pPr>
            <w:r w:rsidRPr="00B40A7C">
              <w:rPr>
                <w:rFonts w:ascii="Arial" w:hAnsi="Arial" w:cs="Arial"/>
                <w:sz w:val="22"/>
                <w:szCs w:val="22"/>
                <w:lang w:eastAsia="en-US"/>
              </w:rPr>
              <w:t xml:space="preserve">What accounting system is used or will be used for the GAVI HSS Programme? (i.e. Is it a specific accounting software or a manual </w:t>
            </w:r>
            <w:r w:rsidRPr="00B40A7C">
              <w:rPr>
                <w:rFonts w:ascii="Arial" w:hAnsi="Arial" w:cs="Arial"/>
                <w:sz w:val="22"/>
                <w:szCs w:val="22"/>
                <w:lang w:eastAsia="en-US"/>
              </w:rPr>
              <w:lastRenderedPageBreak/>
              <w:t>accounting system?)</w:t>
            </w:r>
          </w:p>
        </w:tc>
        <w:tc>
          <w:tcPr>
            <w:tcW w:w="2843" w:type="pct"/>
            <w:gridSpan w:val="2"/>
            <w:shd w:val="clear" w:color="auto" w:fill="FFFFFF"/>
          </w:tcPr>
          <w:p w:rsidR="00052899" w:rsidRPr="00B40A7C" w:rsidRDefault="00052899" w:rsidP="00052899">
            <w:pPr>
              <w:spacing w:before="120" w:after="120"/>
              <w:jc w:val="both"/>
              <w:rPr>
                <w:rFonts w:cs="Arial"/>
                <w:szCs w:val="22"/>
              </w:rPr>
            </w:pPr>
            <w:r w:rsidRPr="00B40A7C">
              <w:rPr>
                <w:rFonts w:cs="Arial"/>
                <w:szCs w:val="22"/>
              </w:rPr>
              <w:lastRenderedPageBreak/>
              <w:t>The Government is deploying the Government Integrated Financial Management Information</w:t>
            </w:r>
            <w:r w:rsidR="0063418C">
              <w:rPr>
                <w:rFonts w:cs="Arial"/>
                <w:szCs w:val="22"/>
              </w:rPr>
              <w:t xml:space="preserve"> </w:t>
            </w:r>
            <w:r w:rsidRPr="00B40A7C">
              <w:rPr>
                <w:rFonts w:cs="Arial"/>
                <w:szCs w:val="22"/>
              </w:rPr>
              <w:t xml:space="preserve">System (GIFMIS) in MDAs and this will be in place by the middle of the proposal period. However GHS is </w:t>
            </w:r>
            <w:r w:rsidRPr="00B40A7C">
              <w:rPr>
                <w:rFonts w:cs="Arial"/>
                <w:szCs w:val="22"/>
              </w:rPr>
              <w:lastRenderedPageBreak/>
              <w:t>using the AccPac software at national and regional level.</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459" w:hanging="425"/>
              <w:jc w:val="both"/>
              <w:rPr>
                <w:rFonts w:ascii="Arial" w:hAnsi="Arial" w:cs="Arial"/>
                <w:sz w:val="22"/>
                <w:szCs w:val="22"/>
                <w:lang w:eastAsia="en-US"/>
              </w:rPr>
            </w:pPr>
            <w:r w:rsidRPr="00B40A7C">
              <w:rPr>
                <w:rFonts w:ascii="Arial" w:hAnsi="Arial" w:cs="Arial"/>
                <w:sz w:val="22"/>
                <w:szCs w:val="22"/>
                <w:lang w:eastAsia="en-US"/>
              </w:rPr>
              <w:lastRenderedPageBreak/>
              <w:t xml:space="preserve">How often does the implementing entity produce interim financial reports and to whom are those submitted?  </w:t>
            </w:r>
          </w:p>
        </w:tc>
        <w:tc>
          <w:tcPr>
            <w:tcW w:w="2843" w:type="pct"/>
            <w:gridSpan w:val="2"/>
            <w:shd w:val="clear" w:color="auto" w:fill="FFFFFF"/>
          </w:tcPr>
          <w:p w:rsidR="00052899" w:rsidRPr="00B40A7C" w:rsidRDefault="00052899" w:rsidP="00052899">
            <w:pPr>
              <w:spacing w:before="120" w:after="120"/>
              <w:jc w:val="both"/>
              <w:rPr>
                <w:rFonts w:cs="Arial"/>
                <w:szCs w:val="22"/>
              </w:rPr>
            </w:pPr>
            <w:r w:rsidRPr="00B40A7C">
              <w:rPr>
                <w:rFonts w:cs="Arial"/>
                <w:szCs w:val="22"/>
              </w:rPr>
              <w:t>Interim financial reports are produced quarterly</w:t>
            </w:r>
            <w:r w:rsidR="0063418C">
              <w:rPr>
                <w:rFonts w:cs="Arial"/>
                <w:szCs w:val="22"/>
              </w:rPr>
              <w:t xml:space="preserve"> and submitted to the Financial Controller of MOH</w:t>
            </w:r>
          </w:p>
        </w:tc>
      </w:tr>
      <w:tr w:rsidR="00052899" w:rsidRPr="00B40A7C">
        <w:trPr>
          <w:trHeight w:val="278"/>
        </w:trPr>
        <w:tc>
          <w:tcPr>
            <w:tcW w:w="5000" w:type="pct"/>
            <w:gridSpan w:val="3"/>
            <w:shd w:val="clear" w:color="auto" w:fill="FFFFFF"/>
          </w:tcPr>
          <w:p w:rsidR="00052899" w:rsidRPr="00B40A7C" w:rsidRDefault="00052899" w:rsidP="00052899">
            <w:pPr>
              <w:spacing w:before="120" w:after="120"/>
              <w:ind w:left="360"/>
              <w:jc w:val="both"/>
              <w:rPr>
                <w:rFonts w:cs="Arial"/>
                <w:b/>
                <w:szCs w:val="22"/>
              </w:rPr>
            </w:pPr>
            <w:r w:rsidRPr="00B40A7C">
              <w:rPr>
                <w:rFonts w:cs="Arial"/>
                <w:b/>
                <w:szCs w:val="22"/>
              </w:rPr>
              <w:t>Internal control and internal audit</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459" w:right="120" w:hanging="425"/>
              <w:jc w:val="both"/>
              <w:rPr>
                <w:rFonts w:ascii="Arial" w:hAnsi="Arial" w:cs="Arial"/>
                <w:sz w:val="22"/>
                <w:szCs w:val="22"/>
                <w:lang w:eastAsia="en-US"/>
              </w:rPr>
            </w:pPr>
            <w:r w:rsidRPr="00B40A7C">
              <w:rPr>
                <w:rFonts w:ascii="Arial" w:hAnsi="Arial" w:cs="Arial"/>
                <w:sz w:val="22"/>
                <w:szCs w:val="22"/>
                <w:lang w:eastAsia="en-US"/>
              </w:rPr>
              <w:t>Does the recipient organization have a Financial Management or Operating Manual that describes the internal control system and Financial Management operational procedures?</w:t>
            </w:r>
          </w:p>
        </w:tc>
        <w:tc>
          <w:tcPr>
            <w:tcW w:w="2843" w:type="pct"/>
            <w:gridSpan w:val="2"/>
            <w:shd w:val="clear" w:color="auto" w:fill="FFFFFF"/>
          </w:tcPr>
          <w:p w:rsidR="00052899" w:rsidRPr="00B40A7C" w:rsidRDefault="00052899" w:rsidP="00052899">
            <w:pPr>
              <w:spacing w:before="120" w:after="240"/>
              <w:jc w:val="both"/>
              <w:rPr>
                <w:rFonts w:cs="Arial"/>
                <w:szCs w:val="22"/>
              </w:rPr>
            </w:pPr>
            <w:r w:rsidRPr="00B40A7C">
              <w:rPr>
                <w:rFonts w:cs="Arial"/>
                <w:szCs w:val="22"/>
              </w:rPr>
              <w:t>YES</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459" w:right="120" w:hanging="425"/>
              <w:jc w:val="both"/>
              <w:rPr>
                <w:rFonts w:ascii="Arial" w:hAnsi="Arial" w:cs="Arial"/>
                <w:sz w:val="22"/>
                <w:szCs w:val="22"/>
                <w:lang w:eastAsia="en-US"/>
              </w:rPr>
            </w:pPr>
            <w:r w:rsidRPr="00B40A7C">
              <w:rPr>
                <w:rFonts w:ascii="Arial" w:hAnsi="Arial" w:cs="Arial"/>
                <w:sz w:val="22"/>
                <w:szCs w:val="22"/>
                <w:lang w:eastAsia="en-US"/>
              </w:rPr>
              <w:t>Does an internal audit department exist within recipient organization? If yes, please describe how the internal audit will be involved in relation to GAVI HSS.</w:t>
            </w:r>
          </w:p>
        </w:tc>
        <w:tc>
          <w:tcPr>
            <w:tcW w:w="2843" w:type="pct"/>
            <w:gridSpan w:val="2"/>
            <w:shd w:val="clear" w:color="auto" w:fill="FFFFFF"/>
          </w:tcPr>
          <w:p w:rsidR="00052899" w:rsidRPr="00B40A7C" w:rsidRDefault="00052899" w:rsidP="00052899">
            <w:pPr>
              <w:spacing w:before="120" w:after="240"/>
              <w:jc w:val="both"/>
              <w:rPr>
                <w:rFonts w:cs="Arial"/>
                <w:szCs w:val="22"/>
              </w:rPr>
            </w:pPr>
            <w:r w:rsidRPr="00B40A7C">
              <w:rPr>
                <w:rFonts w:cs="Arial"/>
                <w:szCs w:val="22"/>
              </w:rPr>
              <w:t xml:space="preserve">YES- For all payments the internal audit pre audits before payments are made. The unit also carries out post audit of financial document and activities. The unit also makes recommendation in respect of the findings to management for the necessary </w:t>
            </w:r>
            <w:r w:rsidR="0063418C">
              <w:rPr>
                <w:rFonts w:cs="Arial"/>
                <w:szCs w:val="22"/>
              </w:rPr>
              <w:t xml:space="preserve">corrective </w:t>
            </w:r>
            <w:r w:rsidRPr="00B40A7C">
              <w:rPr>
                <w:rFonts w:cs="Arial"/>
                <w:szCs w:val="22"/>
              </w:rPr>
              <w:t>action</w:t>
            </w:r>
            <w:r w:rsidR="0063418C">
              <w:rPr>
                <w:rFonts w:cs="Arial"/>
                <w:szCs w:val="22"/>
              </w:rPr>
              <w:t>s</w:t>
            </w:r>
            <w:r w:rsidRPr="00B40A7C">
              <w:rPr>
                <w:rFonts w:cs="Arial"/>
                <w:szCs w:val="22"/>
              </w:rPr>
              <w:t xml:space="preserve"> to be taken.</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459" w:right="120" w:hanging="425"/>
              <w:jc w:val="both"/>
              <w:rPr>
                <w:rFonts w:ascii="Arial" w:hAnsi="Arial" w:cs="Arial"/>
                <w:sz w:val="22"/>
                <w:szCs w:val="22"/>
                <w:lang w:eastAsia="en-US"/>
              </w:rPr>
            </w:pPr>
            <w:r w:rsidRPr="00B40A7C">
              <w:rPr>
                <w:rFonts w:ascii="Arial" w:hAnsi="Arial" w:cs="Arial"/>
                <w:sz w:val="22"/>
                <w:szCs w:val="22"/>
                <w:lang w:eastAsia="en-US"/>
              </w:rPr>
              <w:t>Is there a functioning Audit Committee to follow up on the implementation of internal audit recommendations?</w:t>
            </w:r>
          </w:p>
        </w:tc>
        <w:tc>
          <w:tcPr>
            <w:tcW w:w="2843" w:type="pct"/>
            <w:gridSpan w:val="2"/>
            <w:shd w:val="clear" w:color="auto" w:fill="FFFFFF"/>
          </w:tcPr>
          <w:p w:rsidR="00052899" w:rsidRPr="00B40A7C" w:rsidRDefault="00052899" w:rsidP="00052899">
            <w:pPr>
              <w:spacing w:before="120" w:after="240"/>
              <w:jc w:val="both"/>
              <w:rPr>
                <w:rFonts w:cs="Arial"/>
                <w:szCs w:val="22"/>
              </w:rPr>
            </w:pPr>
            <w:r w:rsidRPr="00B40A7C">
              <w:rPr>
                <w:rFonts w:cs="Arial"/>
                <w:szCs w:val="22"/>
              </w:rPr>
              <w:t>YES</w:t>
            </w:r>
          </w:p>
        </w:tc>
      </w:tr>
      <w:tr w:rsidR="00052899" w:rsidRPr="00B40A7C">
        <w:trPr>
          <w:trHeight w:val="278"/>
        </w:trPr>
        <w:tc>
          <w:tcPr>
            <w:tcW w:w="5000" w:type="pct"/>
            <w:gridSpan w:val="3"/>
            <w:shd w:val="clear" w:color="auto" w:fill="FFFFFF"/>
          </w:tcPr>
          <w:p w:rsidR="00052899" w:rsidRPr="00B40A7C" w:rsidRDefault="00052899" w:rsidP="00052899">
            <w:pPr>
              <w:spacing w:before="120" w:after="120"/>
              <w:ind w:left="360"/>
              <w:jc w:val="both"/>
              <w:rPr>
                <w:rFonts w:cs="Arial"/>
                <w:b/>
                <w:szCs w:val="22"/>
              </w:rPr>
            </w:pPr>
            <w:r w:rsidRPr="00B40A7C">
              <w:rPr>
                <w:rFonts w:cs="Arial"/>
                <w:b/>
                <w:szCs w:val="22"/>
              </w:rPr>
              <w:t>External audit</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459" w:right="120" w:hanging="425"/>
              <w:jc w:val="both"/>
              <w:rPr>
                <w:rFonts w:ascii="Arial" w:hAnsi="Arial" w:cs="Arial"/>
                <w:sz w:val="22"/>
                <w:szCs w:val="22"/>
                <w:lang w:eastAsia="en-US"/>
              </w:rPr>
            </w:pPr>
            <w:r w:rsidRPr="00B40A7C">
              <w:rPr>
                <w:rFonts w:ascii="Arial" w:hAnsi="Arial" w:cs="Arial"/>
                <w:sz w:val="22"/>
                <w:szCs w:val="22"/>
                <w:lang w:eastAsia="en-US"/>
              </w:rPr>
              <w:t>Are the annual financial statements planned to be audited by a private external audit firm or a Government audit institution (e.g. Auditor General)?</w:t>
            </w:r>
            <w:r w:rsidRPr="00B40A7C">
              <w:rPr>
                <w:rFonts w:ascii="Arial" w:hAnsi="Arial" w:cs="Arial"/>
                <w:sz w:val="22"/>
                <w:szCs w:val="22"/>
                <w:vertAlign w:val="superscript"/>
                <w:lang w:eastAsia="en-US"/>
              </w:rPr>
              <w:footnoteReference w:id="5"/>
            </w:r>
          </w:p>
        </w:tc>
        <w:tc>
          <w:tcPr>
            <w:tcW w:w="2843" w:type="pct"/>
            <w:gridSpan w:val="2"/>
            <w:shd w:val="clear" w:color="auto" w:fill="FFFFFF"/>
          </w:tcPr>
          <w:p w:rsidR="00052899" w:rsidRPr="00B40A7C" w:rsidRDefault="00052899" w:rsidP="00052899">
            <w:pPr>
              <w:spacing w:before="120" w:after="240"/>
              <w:jc w:val="both"/>
              <w:rPr>
                <w:rFonts w:cs="Arial"/>
                <w:szCs w:val="22"/>
              </w:rPr>
            </w:pPr>
            <w:r w:rsidRPr="00B40A7C">
              <w:rPr>
                <w:rFonts w:cs="Arial"/>
                <w:szCs w:val="22"/>
              </w:rPr>
              <w:t>YES</w:t>
            </w:r>
          </w:p>
        </w:tc>
      </w:tr>
      <w:tr w:rsidR="00052899" w:rsidRPr="00B40A7C">
        <w:trPr>
          <w:trHeight w:val="278"/>
        </w:trPr>
        <w:tc>
          <w:tcPr>
            <w:tcW w:w="2157" w:type="pct"/>
            <w:shd w:val="clear" w:color="auto" w:fill="FFFFFF"/>
          </w:tcPr>
          <w:p w:rsidR="00052899" w:rsidRPr="00B40A7C" w:rsidRDefault="00052899" w:rsidP="00052899">
            <w:pPr>
              <w:pStyle w:val="ColorfulList-Accent11"/>
              <w:widowControl/>
              <w:numPr>
                <w:ilvl w:val="0"/>
                <w:numId w:val="16"/>
              </w:numPr>
              <w:spacing w:after="120" w:line="240" w:lineRule="auto"/>
              <w:ind w:left="459" w:right="120" w:hanging="425"/>
              <w:jc w:val="both"/>
              <w:rPr>
                <w:rFonts w:ascii="Arial" w:hAnsi="Arial" w:cs="Arial"/>
                <w:sz w:val="22"/>
                <w:szCs w:val="22"/>
                <w:lang w:eastAsia="en-US"/>
              </w:rPr>
            </w:pPr>
            <w:r w:rsidRPr="00B40A7C">
              <w:rPr>
                <w:rFonts w:ascii="Arial" w:hAnsi="Arial" w:cs="Arial"/>
                <w:sz w:val="22"/>
                <w:szCs w:val="22"/>
                <w:lang w:eastAsia="en-US"/>
              </w:rPr>
              <w:t>Who is responsible for the implementation of audit recommendations?</w:t>
            </w:r>
          </w:p>
        </w:tc>
        <w:tc>
          <w:tcPr>
            <w:tcW w:w="2843" w:type="pct"/>
            <w:gridSpan w:val="2"/>
            <w:shd w:val="clear" w:color="auto" w:fill="FFFFFF"/>
          </w:tcPr>
          <w:p w:rsidR="00052899" w:rsidRPr="00B40A7C" w:rsidRDefault="00052899" w:rsidP="00052899">
            <w:pPr>
              <w:spacing w:before="120" w:after="240"/>
              <w:jc w:val="both"/>
              <w:rPr>
                <w:rFonts w:cs="Arial"/>
                <w:szCs w:val="22"/>
              </w:rPr>
            </w:pPr>
            <w:r w:rsidRPr="00B40A7C">
              <w:rPr>
                <w:rFonts w:cs="Arial"/>
                <w:szCs w:val="22"/>
              </w:rPr>
              <w:t>The Audit Review Implementation Committee</w:t>
            </w:r>
          </w:p>
        </w:tc>
      </w:tr>
      <w:tr w:rsidR="00052899" w:rsidRPr="00B40A7C">
        <w:trPr>
          <w:trHeight w:val="46"/>
        </w:trPr>
        <w:tc>
          <w:tcPr>
            <w:tcW w:w="5000" w:type="pct"/>
            <w:gridSpan w:val="3"/>
            <w:shd w:val="clear" w:color="auto" w:fill="FFFFFF"/>
          </w:tcPr>
          <w:p w:rsidR="00052899" w:rsidRPr="00B40A7C" w:rsidRDefault="00052899" w:rsidP="00052899">
            <w:pPr>
              <w:spacing w:before="120" w:after="120"/>
              <w:jc w:val="both"/>
              <w:rPr>
                <w:rFonts w:cs="Arial"/>
                <w:szCs w:val="22"/>
              </w:rPr>
            </w:pPr>
            <w:r w:rsidRPr="00B40A7C">
              <w:rPr>
                <w:rFonts w:cs="Arial"/>
                <w:b/>
                <w:i/>
                <w:szCs w:val="22"/>
              </w:rPr>
              <w:t>THREE PAGES MAXIMUM</w:t>
            </w:r>
          </w:p>
        </w:tc>
      </w:tr>
      <w:tr w:rsidR="00052899" w:rsidRPr="00B40A7C">
        <w:trPr>
          <w:trHeight w:val="278"/>
        </w:trPr>
        <w:tc>
          <w:tcPr>
            <w:tcW w:w="5000" w:type="pct"/>
            <w:gridSpan w:val="3"/>
            <w:shd w:val="clear" w:color="auto" w:fill="FFFFFF"/>
          </w:tcPr>
          <w:p w:rsidR="00052899" w:rsidRPr="00B40A7C" w:rsidRDefault="00052899" w:rsidP="00052899">
            <w:pPr>
              <w:spacing w:before="120" w:after="120"/>
              <w:jc w:val="both"/>
              <w:rPr>
                <w:rFonts w:cs="Arial"/>
                <w:b/>
                <w:i/>
                <w:szCs w:val="22"/>
              </w:rPr>
            </w:pPr>
            <w:r w:rsidRPr="00B40A7C">
              <w:rPr>
                <w:rFonts w:eastAsia="Arial" w:cs="Arial"/>
                <w:i/>
                <w:color w:val="173E49"/>
                <w:szCs w:val="22"/>
              </w:rPr>
              <w:t>Question (c):  Please indicate the main constraints in the (health sector’s) financial management system. Does the country plan to address these constraints/ issues? If so, please describe the Technical Assistance (TA) needs in order to fulfil the above functions</w:t>
            </w:r>
          </w:p>
        </w:tc>
      </w:tr>
      <w:tr w:rsidR="00052899" w:rsidRPr="00B40A7C">
        <w:trPr>
          <w:trHeight w:val="278"/>
        </w:trPr>
        <w:tc>
          <w:tcPr>
            <w:tcW w:w="5000" w:type="pct"/>
            <w:gridSpan w:val="3"/>
            <w:shd w:val="clear" w:color="auto" w:fill="FFFFFF"/>
          </w:tcPr>
          <w:p w:rsidR="00052899" w:rsidRPr="00B40A7C" w:rsidRDefault="00052899" w:rsidP="00052899">
            <w:pPr>
              <w:spacing w:before="120" w:after="120"/>
              <w:jc w:val="both"/>
              <w:rPr>
                <w:rFonts w:cs="Arial"/>
                <w:szCs w:val="22"/>
              </w:rPr>
            </w:pPr>
            <w:r w:rsidRPr="00B40A7C">
              <w:rPr>
                <w:rFonts w:cs="Arial"/>
                <w:b/>
                <w:i/>
                <w:szCs w:val="22"/>
              </w:rPr>
              <w:t>HALF PAGE MAXIMUM</w:t>
            </w:r>
          </w:p>
        </w:tc>
      </w:tr>
    </w:tbl>
    <w:p w:rsidR="00052899" w:rsidRPr="00B40A7C" w:rsidRDefault="00052899" w:rsidP="00052899">
      <w:pPr>
        <w:jc w:val="both"/>
        <w:rPr>
          <w:rFonts w:cs="Arial"/>
          <w:szCs w:val="22"/>
        </w:rPr>
      </w:pPr>
    </w:p>
    <w:p w:rsidR="00052899" w:rsidRDefault="00052899" w:rsidP="00052899">
      <w:pPr>
        <w:spacing w:after="200" w:line="276" w:lineRule="auto"/>
        <w:jc w:val="both"/>
        <w:rPr>
          <w:rFonts w:cs="Arial"/>
          <w:szCs w:val="22"/>
          <w:lang w:eastAsia="en-CA"/>
        </w:rPr>
      </w:pPr>
      <w:r w:rsidRPr="00B40A7C">
        <w:rPr>
          <w:rFonts w:cs="Arial"/>
          <w:szCs w:val="22"/>
        </w:rPr>
        <w:br w:type="page"/>
      </w:r>
      <w:bookmarkStart w:id="667" w:name="_Toc377545413"/>
      <w:r w:rsidRPr="00291E76">
        <w:rPr>
          <w:rStyle w:val="Heading1Char1"/>
          <w:color w:val="auto"/>
        </w:rPr>
        <w:lastRenderedPageBreak/>
        <w:t>Annex 1: Roles and responsibilities of key partners (HSCC members and others</w:t>
      </w:r>
      <w:bookmarkEnd w:id="667"/>
      <w:r w:rsidRPr="00B40A7C">
        <w:rPr>
          <w:rFonts w:cs="Arial"/>
          <w:b/>
          <w:bCs/>
          <w:szCs w:val="22"/>
          <w:lang w:eastAsia="en-CA"/>
        </w:rPr>
        <w:t>)</w:t>
      </w:r>
    </w:p>
    <w:tbl>
      <w:tblPr>
        <w:tblW w:w="5000" w:type="pct"/>
        <w:tblBorders>
          <w:top w:val="single" w:sz="8" w:space="0" w:color="000000"/>
          <w:left w:val="single" w:sz="8" w:space="0" w:color="000000"/>
          <w:right w:val="single" w:sz="8" w:space="0" w:color="000000"/>
        </w:tblBorders>
        <w:tblLayout w:type="fixed"/>
        <w:tblLook w:val="0000"/>
      </w:tblPr>
      <w:tblGrid>
        <w:gridCol w:w="2122"/>
        <w:gridCol w:w="2379"/>
        <w:gridCol w:w="1120"/>
        <w:gridCol w:w="3955"/>
      </w:tblGrid>
      <w:tr w:rsidR="00052899" w:rsidRPr="00B40A7C">
        <w:tc>
          <w:tcPr>
            <w:tcW w:w="1108" w:type="pct"/>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b/>
                <w:bCs/>
                <w:szCs w:val="22"/>
                <w:lang w:eastAsia="en-CA"/>
              </w:rPr>
              <w:t>Title / Post</w:t>
            </w:r>
          </w:p>
        </w:tc>
        <w:tc>
          <w:tcPr>
            <w:tcW w:w="124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b/>
                <w:bCs/>
                <w:szCs w:val="22"/>
                <w:lang w:eastAsia="en-CA"/>
              </w:rPr>
              <w:t>Organisation</w:t>
            </w:r>
          </w:p>
        </w:tc>
        <w:tc>
          <w:tcPr>
            <w:tcW w:w="5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b/>
                <w:bCs/>
                <w:szCs w:val="22"/>
                <w:lang w:eastAsia="en-CA"/>
              </w:rPr>
              <w:t>HSCC member yes/no</w:t>
            </w:r>
          </w:p>
        </w:tc>
        <w:tc>
          <w:tcPr>
            <w:tcW w:w="2065" w:type="pct"/>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b/>
                <w:bCs/>
                <w:szCs w:val="22"/>
                <w:lang w:eastAsia="en-CA"/>
              </w:rPr>
              <w:t>Roles and responsibilities of this partner in the GAVI HSS application development</w:t>
            </w:r>
          </w:p>
        </w:tc>
      </w:tr>
      <w:tr w:rsidR="00052899" w:rsidRPr="00B40A7C">
        <w:tblPrEx>
          <w:tblBorders>
            <w:top w:val="none" w:sz="0" w:space="0" w:color="auto"/>
          </w:tblBorders>
        </w:tblPrEx>
        <w:tc>
          <w:tcPr>
            <w:tcW w:w="1108" w:type="pct"/>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Minister of Health</w:t>
            </w:r>
          </w:p>
        </w:tc>
        <w:tc>
          <w:tcPr>
            <w:tcW w:w="124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Ministry of Health</w:t>
            </w:r>
          </w:p>
        </w:tc>
        <w:tc>
          <w:tcPr>
            <w:tcW w:w="5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No</w:t>
            </w:r>
          </w:p>
        </w:tc>
        <w:tc>
          <w:tcPr>
            <w:tcW w:w="2065" w:type="pct"/>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Read and discussed the document and endorsed the proposal</w:t>
            </w:r>
          </w:p>
        </w:tc>
      </w:tr>
      <w:tr w:rsidR="00052899" w:rsidRPr="00B40A7C">
        <w:tblPrEx>
          <w:tblBorders>
            <w:top w:val="none" w:sz="0" w:space="0" w:color="auto"/>
          </w:tblBorders>
        </w:tblPrEx>
        <w:tc>
          <w:tcPr>
            <w:tcW w:w="1108" w:type="pct"/>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Default="00052899">
            <w:pPr>
              <w:widowControl w:val="0"/>
              <w:autoSpaceDE w:val="0"/>
              <w:autoSpaceDN w:val="0"/>
              <w:adjustRightInd w:val="0"/>
              <w:spacing w:after="40"/>
              <w:jc w:val="both"/>
              <w:rPr>
                <w:rFonts w:cs="Arial"/>
                <w:szCs w:val="22"/>
                <w:lang w:eastAsia="en-CA"/>
              </w:rPr>
            </w:pPr>
            <w:r w:rsidRPr="00B40A7C">
              <w:rPr>
                <w:rFonts w:cs="Arial"/>
                <w:szCs w:val="22"/>
                <w:lang w:eastAsia="en-CA"/>
              </w:rPr>
              <w:t xml:space="preserve">Minister of Finance </w:t>
            </w:r>
          </w:p>
        </w:tc>
        <w:tc>
          <w:tcPr>
            <w:tcW w:w="124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Default="00052899">
            <w:pPr>
              <w:widowControl w:val="0"/>
              <w:autoSpaceDE w:val="0"/>
              <w:autoSpaceDN w:val="0"/>
              <w:adjustRightInd w:val="0"/>
              <w:spacing w:after="40"/>
              <w:jc w:val="both"/>
              <w:rPr>
                <w:rFonts w:cs="Arial"/>
                <w:szCs w:val="22"/>
                <w:lang w:eastAsia="en-CA"/>
              </w:rPr>
            </w:pPr>
            <w:r w:rsidRPr="00B40A7C">
              <w:rPr>
                <w:rFonts w:cs="Arial"/>
                <w:szCs w:val="22"/>
                <w:lang w:eastAsia="en-CA"/>
              </w:rPr>
              <w:t>Ministry of Finance</w:t>
            </w:r>
          </w:p>
        </w:tc>
        <w:tc>
          <w:tcPr>
            <w:tcW w:w="5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No</w:t>
            </w:r>
          </w:p>
        </w:tc>
        <w:tc>
          <w:tcPr>
            <w:tcW w:w="2065" w:type="pct"/>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Read, discussed and endorsed the document</w:t>
            </w:r>
          </w:p>
        </w:tc>
      </w:tr>
      <w:tr w:rsidR="00052899" w:rsidRPr="00B40A7C">
        <w:tblPrEx>
          <w:tblBorders>
            <w:top w:val="none" w:sz="0" w:space="0" w:color="auto"/>
          </w:tblBorders>
        </w:tblPrEx>
        <w:tc>
          <w:tcPr>
            <w:tcW w:w="1108" w:type="pct"/>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Chief Director</w:t>
            </w:r>
          </w:p>
        </w:tc>
        <w:tc>
          <w:tcPr>
            <w:tcW w:w="124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Ministry of Health</w:t>
            </w:r>
          </w:p>
        </w:tc>
        <w:tc>
          <w:tcPr>
            <w:tcW w:w="5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Yes</w:t>
            </w:r>
          </w:p>
        </w:tc>
        <w:tc>
          <w:tcPr>
            <w:tcW w:w="2065" w:type="pct"/>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Chairperson of the GAVI HSS Proposal Development TWG</w:t>
            </w:r>
          </w:p>
        </w:tc>
      </w:tr>
      <w:tr w:rsidR="00052899" w:rsidRPr="00B40A7C">
        <w:tblPrEx>
          <w:tblBorders>
            <w:top w:val="none" w:sz="0" w:space="0" w:color="auto"/>
          </w:tblBorders>
        </w:tblPrEx>
        <w:tc>
          <w:tcPr>
            <w:tcW w:w="1108" w:type="pct"/>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Director PPMED</w:t>
            </w:r>
          </w:p>
        </w:tc>
        <w:tc>
          <w:tcPr>
            <w:tcW w:w="124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Ministry of Health</w:t>
            </w:r>
          </w:p>
        </w:tc>
        <w:tc>
          <w:tcPr>
            <w:tcW w:w="5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Yes</w:t>
            </w:r>
          </w:p>
        </w:tc>
        <w:tc>
          <w:tcPr>
            <w:tcW w:w="2065" w:type="pct"/>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Chairman of the Health Partner Coordinating Group. Critically reviewed the proposal</w:t>
            </w:r>
          </w:p>
        </w:tc>
      </w:tr>
      <w:tr w:rsidR="00052899" w:rsidRPr="00B40A7C">
        <w:tblPrEx>
          <w:tblBorders>
            <w:top w:val="none" w:sz="0" w:space="0" w:color="auto"/>
          </w:tblBorders>
        </w:tblPrEx>
        <w:tc>
          <w:tcPr>
            <w:tcW w:w="1108" w:type="pct"/>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Principal Planner, PPME</w:t>
            </w:r>
          </w:p>
        </w:tc>
        <w:tc>
          <w:tcPr>
            <w:tcW w:w="124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Ministry of Health</w:t>
            </w:r>
          </w:p>
        </w:tc>
        <w:tc>
          <w:tcPr>
            <w:tcW w:w="5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Yes</w:t>
            </w:r>
          </w:p>
        </w:tc>
        <w:tc>
          <w:tcPr>
            <w:tcW w:w="2065" w:type="pct"/>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Coordinates the development of HSS proposal</w:t>
            </w:r>
          </w:p>
        </w:tc>
      </w:tr>
      <w:tr w:rsidR="00052899" w:rsidRPr="00B40A7C">
        <w:tblPrEx>
          <w:tblBorders>
            <w:top w:val="none" w:sz="0" w:space="0" w:color="auto"/>
          </w:tblBorders>
        </w:tblPrEx>
        <w:tc>
          <w:tcPr>
            <w:tcW w:w="1108" w:type="pct"/>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4C5394">
            <w:pPr>
              <w:widowControl w:val="0"/>
              <w:autoSpaceDE w:val="0"/>
              <w:autoSpaceDN w:val="0"/>
              <w:adjustRightInd w:val="0"/>
              <w:spacing w:after="40"/>
              <w:rPr>
                <w:rFonts w:cs="Arial"/>
                <w:szCs w:val="22"/>
                <w:lang w:eastAsia="en-CA"/>
              </w:rPr>
            </w:pPr>
            <w:r w:rsidRPr="00B40A7C">
              <w:rPr>
                <w:rFonts w:cs="Arial"/>
                <w:szCs w:val="22"/>
                <w:lang w:eastAsia="en-CA"/>
              </w:rPr>
              <w:t>GHS Directors or their representatives in charge of Public health, Clinical Care, Family health, Finance</w:t>
            </w:r>
          </w:p>
        </w:tc>
        <w:tc>
          <w:tcPr>
            <w:tcW w:w="124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Ghana Health Service</w:t>
            </w:r>
          </w:p>
        </w:tc>
        <w:tc>
          <w:tcPr>
            <w:tcW w:w="5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No</w:t>
            </w:r>
          </w:p>
        </w:tc>
        <w:tc>
          <w:tcPr>
            <w:tcW w:w="2065" w:type="pct"/>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Core team member in the preparatory to completion stage</w:t>
            </w:r>
          </w:p>
        </w:tc>
      </w:tr>
      <w:tr w:rsidR="00052899" w:rsidRPr="00B40A7C">
        <w:tblPrEx>
          <w:tblBorders>
            <w:top w:val="none" w:sz="0" w:space="0" w:color="auto"/>
          </w:tblBorders>
        </w:tblPrEx>
        <w:tc>
          <w:tcPr>
            <w:tcW w:w="1108" w:type="pct"/>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Deputy Director for Budget</w:t>
            </w:r>
          </w:p>
        </w:tc>
        <w:tc>
          <w:tcPr>
            <w:tcW w:w="124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Ministry of Health</w:t>
            </w:r>
          </w:p>
        </w:tc>
        <w:tc>
          <w:tcPr>
            <w:tcW w:w="5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Yes</w:t>
            </w:r>
          </w:p>
        </w:tc>
        <w:tc>
          <w:tcPr>
            <w:tcW w:w="2065" w:type="pct"/>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Core team member in the preparatory to completion stage</w:t>
            </w:r>
          </w:p>
        </w:tc>
      </w:tr>
      <w:tr w:rsidR="00052899" w:rsidRPr="00B40A7C">
        <w:tblPrEx>
          <w:tblBorders>
            <w:top w:val="none" w:sz="0" w:space="0" w:color="auto"/>
          </w:tblBorders>
        </w:tblPrEx>
        <w:tc>
          <w:tcPr>
            <w:tcW w:w="1108" w:type="pct"/>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Director PPMED,</w:t>
            </w:r>
          </w:p>
        </w:tc>
        <w:tc>
          <w:tcPr>
            <w:tcW w:w="124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Ghana Health Service</w:t>
            </w:r>
          </w:p>
        </w:tc>
        <w:tc>
          <w:tcPr>
            <w:tcW w:w="5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Yes</w:t>
            </w:r>
          </w:p>
        </w:tc>
        <w:tc>
          <w:tcPr>
            <w:tcW w:w="2065" w:type="pct"/>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Led the GHS Team to develop the HSS Proposal</w:t>
            </w:r>
          </w:p>
        </w:tc>
      </w:tr>
      <w:tr w:rsidR="00052899" w:rsidRPr="00B40A7C">
        <w:tblPrEx>
          <w:tblBorders>
            <w:top w:val="none" w:sz="0" w:space="0" w:color="auto"/>
          </w:tblBorders>
        </w:tblPrEx>
        <w:tc>
          <w:tcPr>
            <w:tcW w:w="1108" w:type="pct"/>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Deputy Director PPMED (IME)</w:t>
            </w:r>
          </w:p>
        </w:tc>
        <w:tc>
          <w:tcPr>
            <w:tcW w:w="124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Ghana Health Service</w:t>
            </w:r>
          </w:p>
        </w:tc>
        <w:tc>
          <w:tcPr>
            <w:tcW w:w="5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Yes</w:t>
            </w:r>
          </w:p>
        </w:tc>
        <w:tc>
          <w:tcPr>
            <w:tcW w:w="2065" w:type="pct"/>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Core team member in the preparatory to completion stage</w:t>
            </w:r>
          </w:p>
        </w:tc>
      </w:tr>
      <w:tr w:rsidR="00052899" w:rsidRPr="00B40A7C">
        <w:tblPrEx>
          <w:tblBorders>
            <w:top w:val="none" w:sz="0" w:space="0" w:color="auto"/>
          </w:tblBorders>
        </w:tblPrEx>
        <w:tc>
          <w:tcPr>
            <w:tcW w:w="1108" w:type="pct"/>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Deputy Director PPMED Planning</w:t>
            </w:r>
          </w:p>
        </w:tc>
        <w:tc>
          <w:tcPr>
            <w:tcW w:w="124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Ghana Health Service</w:t>
            </w:r>
          </w:p>
        </w:tc>
        <w:tc>
          <w:tcPr>
            <w:tcW w:w="5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Yes</w:t>
            </w:r>
          </w:p>
        </w:tc>
        <w:tc>
          <w:tcPr>
            <w:tcW w:w="2065" w:type="pct"/>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Core team member in the preparatory to completion stage</w:t>
            </w:r>
          </w:p>
        </w:tc>
      </w:tr>
      <w:tr w:rsidR="00052899" w:rsidRPr="00B40A7C">
        <w:tblPrEx>
          <w:tblBorders>
            <w:top w:val="none" w:sz="0" w:space="0" w:color="auto"/>
          </w:tblBorders>
        </w:tblPrEx>
        <w:tc>
          <w:tcPr>
            <w:tcW w:w="1108" w:type="pct"/>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Deputy Director PPMED (Policy)</w:t>
            </w:r>
          </w:p>
        </w:tc>
        <w:tc>
          <w:tcPr>
            <w:tcW w:w="124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Ghana Health Service</w:t>
            </w:r>
          </w:p>
        </w:tc>
        <w:tc>
          <w:tcPr>
            <w:tcW w:w="5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yes</w:t>
            </w:r>
          </w:p>
        </w:tc>
        <w:tc>
          <w:tcPr>
            <w:tcW w:w="2065" w:type="pct"/>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Core team member in the preparatory to completion stage</w:t>
            </w:r>
          </w:p>
        </w:tc>
      </w:tr>
      <w:tr w:rsidR="00052899" w:rsidRPr="00B40A7C">
        <w:tblPrEx>
          <w:tblBorders>
            <w:top w:val="none" w:sz="0" w:space="0" w:color="auto"/>
          </w:tblBorders>
        </w:tblPrEx>
        <w:tc>
          <w:tcPr>
            <w:tcW w:w="1108" w:type="pct"/>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Programme Director – EPI</w:t>
            </w:r>
          </w:p>
        </w:tc>
        <w:tc>
          <w:tcPr>
            <w:tcW w:w="124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Ghana Health Service</w:t>
            </w:r>
          </w:p>
        </w:tc>
        <w:tc>
          <w:tcPr>
            <w:tcW w:w="5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yes</w:t>
            </w:r>
          </w:p>
        </w:tc>
        <w:tc>
          <w:tcPr>
            <w:tcW w:w="2065" w:type="pct"/>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Core team member in the preparatory to completion stage</w:t>
            </w:r>
          </w:p>
        </w:tc>
      </w:tr>
      <w:tr w:rsidR="00052899" w:rsidRPr="00B40A7C">
        <w:tblPrEx>
          <w:tblBorders>
            <w:top w:val="none" w:sz="0" w:space="0" w:color="auto"/>
          </w:tblBorders>
        </w:tblPrEx>
        <w:tc>
          <w:tcPr>
            <w:tcW w:w="1108" w:type="pct"/>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 xml:space="preserve">Director </w:t>
            </w:r>
            <w:r w:rsidR="00626D54">
              <w:rPr>
                <w:rFonts w:cs="Arial"/>
                <w:szCs w:val="22"/>
                <w:lang w:eastAsia="en-CA"/>
              </w:rPr>
              <w:t>–</w:t>
            </w:r>
            <w:r w:rsidRPr="00B40A7C">
              <w:rPr>
                <w:rFonts w:cs="Arial"/>
                <w:szCs w:val="22"/>
                <w:lang w:eastAsia="en-CA"/>
              </w:rPr>
              <w:t xml:space="preserve"> RHD</w:t>
            </w:r>
          </w:p>
        </w:tc>
        <w:tc>
          <w:tcPr>
            <w:tcW w:w="124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Ghana Health Service</w:t>
            </w:r>
          </w:p>
        </w:tc>
        <w:tc>
          <w:tcPr>
            <w:tcW w:w="5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yes</w:t>
            </w:r>
          </w:p>
        </w:tc>
        <w:tc>
          <w:tcPr>
            <w:tcW w:w="2065" w:type="pct"/>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Participated in the preparatory to prioritization stage</w:t>
            </w:r>
          </w:p>
        </w:tc>
      </w:tr>
      <w:tr w:rsidR="00052899" w:rsidRPr="00B40A7C">
        <w:tblPrEx>
          <w:tblBorders>
            <w:top w:val="none" w:sz="0" w:space="0" w:color="auto"/>
          </w:tblBorders>
        </w:tblPrEx>
        <w:tc>
          <w:tcPr>
            <w:tcW w:w="1108" w:type="pct"/>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NPO Health Economist</w:t>
            </w:r>
          </w:p>
        </w:tc>
        <w:tc>
          <w:tcPr>
            <w:tcW w:w="124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WHO</w:t>
            </w:r>
          </w:p>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 </w:t>
            </w:r>
          </w:p>
        </w:tc>
        <w:tc>
          <w:tcPr>
            <w:tcW w:w="5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Yes</w:t>
            </w:r>
          </w:p>
        </w:tc>
        <w:tc>
          <w:tcPr>
            <w:tcW w:w="2065" w:type="pct"/>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Core team member in the preparatory to completion stage.</w:t>
            </w:r>
          </w:p>
        </w:tc>
      </w:tr>
      <w:tr w:rsidR="00052899" w:rsidRPr="00B40A7C">
        <w:tblPrEx>
          <w:tblBorders>
            <w:top w:val="none" w:sz="0" w:space="0" w:color="auto"/>
          </w:tblBorders>
        </w:tblPrEx>
        <w:tc>
          <w:tcPr>
            <w:tcW w:w="1108" w:type="pct"/>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 xml:space="preserve">NPO </w:t>
            </w:r>
            <w:r w:rsidR="00626D54">
              <w:rPr>
                <w:rFonts w:cs="Arial"/>
                <w:szCs w:val="22"/>
                <w:lang w:eastAsia="en-CA"/>
              </w:rPr>
              <w:t>–</w:t>
            </w:r>
            <w:r w:rsidRPr="00B40A7C">
              <w:rPr>
                <w:rFonts w:cs="Arial"/>
                <w:szCs w:val="22"/>
                <w:lang w:eastAsia="en-CA"/>
              </w:rPr>
              <w:t xml:space="preserve"> EPI</w:t>
            </w:r>
          </w:p>
        </w:tc>
        <w:tc>
          <w:tcPr>
            <w:tcW w:w="124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WHO</w:t>
            </w:r>
          </w:p>
        </w:tc>
        <w:tc>
          <w:tcPr>
            <w:tcW w:w="5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Yes</w:t>
            </w:r>
          </w:p>
        </w:tc>
        <w:tc>
          <w:tcPr>
            <w:tcW w:w="2065" w:type="pct"/>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Provided technical support from EPI programme</w:t>
            </w:r>
          </w:p>
        </w:tc>
      </w:tr>
      <w:tr w:rsidR="00052899" w:rsidRPr="00B40A7C">
        <w:tblPrEx>
          <w:tblBorders>
            <w:top w:val="none" w:sz="0" w:space="0" w:color="auto"/>
          </w:tblBorders>
        </w:tblPrEx>
        <w:tc>
          <w:tcPr>
            <w:tcW w:w="1108" w:type="pct"/>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Focal Person on Health</w:t>
            </w:r>
          </w:p>
        </w:tc>
        <w:tc>
          <w:tcPr>
            <w:tcW w:w="124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UNICEF</w:t>
            </w:r>
          </w:p>
        </w:tc>
        <w:tc>
          <w:tcPr>
            <w:tcW w:w="5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Yes</w:t>
            </w:r>
          </w:p>
        </w:tc>
        <w:tc>
          <w:tcPr>
            <w:tcW w:w="2065" w:type="pct"/>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Made significant contribution especially reviewing the draft documents</w:t>
            </w:r>
          </w:p>
        </w:tc>
      </w:tr>
      <w:tr w:rsidR="00052899" w:rsidRPr="00B40A7C">
        <w:tblPrEx>
          <w:tblBorders>
            <w:top w:val="none" w:sz="0" w:space="0" w:color="auto"/>
          </w:tblBorders>
        </w:tblPrEx>
        <w:tc>
          <w:tcPr>
            <w:tcW w:w="1108" w:type="pct"/>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Vice National Chairperson</w:t>
            </w:r>
          </w:p>
        </w:tc>
        <w:tc>
          <w:tcPr>
            <w:tcW w:w="124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Coalition of NGOs in Health</w:t>
            </w:r>
          </w:p>
        </w:tc>
        <w:tc>
          <w:tcPr>
            <w:tcW w:w="5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YES</w:t>
            </w:r>
          </w:p>
        </w:tc>
        <w:tc>
          <w:tcPr>
            <w:tcW w:w="2065" w:type="pct"/>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Core team member in the preparatory to completion stage</w:t>
            </w:r>
          </w:p>
        </w:tc>
      </w:tr>
      <w:tr w:rsidR="00052899" w:rsidRPr="00B40A7C">
        <w:tblPrEx>
          <w:tblBorders>
            <w:top w:val="none" w:sz="0" w:space="0" w:color="auto"/>
          </w:tblBorders>
        </w:tblPrEx>
        <w:tc>
          <w:tcPr>
            <w:tcW w:w="1108" w:type="pct"/>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lastRenderedPageBreak/>
              <w:t>National Chairperson</w:t>
            </w:r>
          </w:p>
        </w:tc>
        <w:tc>
          <w:tcPr>
            <w:tcW w:w="124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Coalition of NGOs in Health</w:t>
            </w:r>
          </w:p>
        </w:tc>
        <w:tc>
          <w:tcPr>
            <w:tcW w:w="5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Yes</w:t>
            </w:r>
          </w:p>
        </w:tc>
        <w:tc>
          <w:tcPr>
            <w:tcW w:w="2065" w:type="pct"/>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Core team member in the preparatory to completion stage</w:t>
            </w:r>
          </w:p>
        </w:tc>
      </w:tr>
      <w:tr w:rsidR="00052899" w:rsidRPr="00B40A7C">
        <w:tblPrEx>
          <w:tblBorders>
            <w:top w:val="none" w:sz="0" w:space="0" w:color="auto"/>
          </w:tblBorders>
        </w:tblPrEx>
        <w:tc>
          <w:tcPr>
            <w:tcW w:w="1108" w:type="pct"/>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Executive Members</w:t>
            </w:r>
          </w:p>
        </w:tc>
        <w:tc>
          <w:tcPr>
            <w:tcW w:w="124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Coalition of NGOs in Health</w:t>
            </w:r>
          </w:p>
        </w:tc>
        <w:tc>
          <w:tcPr>
            <w:tcW w:w="5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Yes</w:t>
            </w:r>
          </w:p>
        </w:tc>
        <w:tc>
          <w:tcPr>
            <w:tcW w:w="2065" w:type="pct"/>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Core team member in the preparatory to completion stage</w:t>
            </w:r>
          </w:p>
        </w:tc>
      </w:tr>
      <w:tr w:rsidR="00052899" w:rsidRPr="00B40A7C">
        <w:tblPrEx>
          <w:tblBorders>
            <w:top w:val="none" w:sz="0" w:space="0" w:color="auto"/>
          </w:tblBorders>
        </w:tblPrEx>
        <w:tc>
          <w:tcPr>
            <w:tcW w:w="1108" w:type="pct"/>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Executive Secretary</w:t>
            </w:r>
          </w:p>
        </w:tc>
        <w:tc>
          <w:tcPr>
            <w:tcW w:w="124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CHAG</w:t>
            </w:r>
          </w:p>
        </w:tc>
        <w:tc>
          <w:tcPr>
            <w:tcW w:w="58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Yes</w:t>
            </w:r>
          </w:p>
        </w:tc>
        <w:tc>
          <w:tcPr>
            <w:tcW w:w="2065" w:type="pct"/>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52899" w:rsidRPr="00B40A7C" w:rsidRDefault="00052899" w:rsidP="00052899">
            <w:pPr>
              <w:widowControl w:val="0"/>
              <w:autoSpaceDE w:val="0"/>
              <w:autoSpaceDN w:val="0"/>
              <w:adjustRightInd w:val="0"/>
              <w:spacing w:after="40"/>
              <w:jc w:val="both"/>
              <w:rPr>
                <w:rFonts w:cs="Arial"/>
                <w:szCs w:val="22"/>
                <w:lang w:eastAsia="en-CA"/>
              </w:rPr>
            </w:pPr>
            <w:r w:rsidRPr="00B40A7C">
              <w:rPr>
                <w:rFonts w:cs="Arial"/>
                <w:szCs w:val="22"/>
                <w:lang w:eastAsia="en-CA"/>
              </w:rPr>
              <w:t>Team Member in developing and review of proposal</w:t>
            </w:r>
          </w:p>
        </w:tc>
      </w:tr>
    </w:tbl>
    <w:p w:rsidR="00052899" w:rsidRDefault="00052899" w:rsidP="00052899">
      <w:pPr>
        <w:spacing w:after="200" w:line="276" w:lineRule="auto"/>
        <w:jc w:val="both"/>
        <w:rPr>
          <w:rFonts w:cs="Arial"/>
          <w:szCs w:val="22"/>
        </w:rPr>
      </w:pPr>
    </w:p>
    <w:p w:rsidR="00C04C81" w:rsidRDefault="00052899" w:rsidP="00C04C81">
      <w:pPr>
        <w:pStyle w:val="Heading1"/>
      </w:pPr>
      <w:r>
        <w:br w:type="page"/>
      </w:r>
      <w:bookmarkStart w:id="668" w:name="_Toc377545414"/>
      <w:r w:rsidR="00C04C81" w:rsidRPr="00291E76">
        <w:rPr>
          <w:color w:val="auto"/>
        </w:rPr>
        <w:lastRenderedPageBreak/>
        <w:t>References</w:t>
      </w:r>
      <w:r w:rsidR="00CB6D59">
        <w:rPr>
          <w:color w:val="auto"/>
        </w:rPr>
        <w:t xml:space="preserve"> for Prioritised Bottlenecks</w:t>
      </w:r>
    </w:p>
    <w:tbl>
      <w:tblPr>
        <w:tblW w:w="5000" w:type="pct"/>
        <w:tblLook w:val="04A0"/>
      </w:tblPr>
      <w:tblGrid>
        <w:gridCol w:w="2877"/>
        <w:gridCol w:w="3566"/>
        <w:gridCol w:w="3133"/>
      </w:tblGrid>
      <w:tr w:rsidR="00C04C81" w:rsidRPr="00994B59" w:rsidTr="0012442F">
        <w:trPr>
          <w:trHeight w:val="8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C04C81" w:rsidRPr="00994B59" w:rsidRDefault="00C04C81" w:rsidP="0012442F">
            <w:pPr>
              <w:jc w:val="center"/>
              <w:rPr>
                <w:rFonts w:cs="Arial"/>
                <w:b/>
                <w:bCs/>
                <w:color w:val="000000"/>
                <w:szCs w:val="22"/>
                <w:lang w:val="en-CA" w:eastAsia="en-CA"/>
              </w:rPr>
            </w:pPr>
            <w:r>
              <w:rPr>
                <w:rFonts w:cs="Arial"/>
                <w:b/>
                <w:bCs/>
                <w:color w:val="000000"/>
                <w:szCs w:val="22"/>
                <w:lang w:val="en-CA" w:eastAsia="en-CA"/>
              </w:rPr>
              <w:t xml:space="preserve">Objective </w:t>
            </w:r>
            <w:r w:rsidRPr="00994B59">
              <w:rPr>
                <w:rFonts w:cs="Arial"/>
                <w:b/>
                <w:bCs/>
                <w:color w:val="000000"/>
                <w:szCs w:val="22"/>
                <w:lang w:val="en-CA" w:eastAsia="en-CA"/>
              </w:rPr>
              <w:t>1.</w:t>
            </w:r>
            <w:r w:rsidRPr="00994B59">
              <w:rPr>
                <w:rFonts w:cs="Arial"/>
                <w:color w:val="000000"/>
                <w:sz w:val="14"/>
                <w:szCs w:val="14"/>
                <w:lang w:val="en-CA" w:eastAsia="en-CA"/>
              </w:rPr>
              <w:t xml:space="preserve">     </w:t>
            </w:r>
            <w:r w:rsidRPr="00994B59">
              <w:rPr>
                <w:rFonts w:cs="Arial"/>
                <w:color w:val="000000"/>
                <w:szCs w:val="22"/>
                <w:lang w:val="en-CA" w:eastAsia="en-CA"/>
              </w:rPr>
              <w:t>To strengthen and scale-up community health  interventions aimed at improving the quality of primary health care services  (Service Delivery)</w:t>
            </w:r>
          </w:p>
        </w:tc>
      </w:tr>
      <w:tr w:rsidR="00C04C81" w:rsidRPr="00994B59" w:rsidTr="0012442F">
        <w:trPr>
          <w:trHeight w:val="600"/>
        </w:trPr>
        <w:tc>
          <w:tcPr>
            <w:tcW w:w="1502" w:type="pct"/>
            <w:tcBorders>
              <w:top w:val="nil"/>
              <w:left w:val="single" w:sz="4" w:space="0" w:color="auto"/>
              <w:bottom w:val="single" w:sz="4" w:space="0" w:color="auto"/>
              <w:right w:val="single" w:sz="4" w:space="0" w:color="auto"/>
            </w:tcBorders>
            <w:shd w:val="clear" w:color="000000" w:fill="FDE9D9"/>
            <w:vAlign w:val="bottom"/>
          </w:tcPr>
          <w:p w:rsidR="00C04C81" w:rsidRPr="00994B59" w:rsidRDefault="00C04C81" w:rsidP="0012442F">
            <w:pPr>
              <w:rPr>
                <w:rFonts w:cs="Arial"/>
                <w:b/>
                <w:bCs/>
                <w:color w:val="000000"/>
                <w:szCs w:val="22"/>
                <w:lang w:val="en-CA" w:eastAsia="en-CA"/>
              </w:rPr>
            </w:pPr>
            <w:r w:rsidRPr="00994B59">
              <w:rPr>
                <w:rFonts w:cs="Arial"/>
                <w:b/>
                <w:bCs/>
                <w:color w:val="000000"/>
                <w:szCs w:val="22"/>
                <w:lang w:val="en-CA" w:eastAsia="en-CA"/>
              </w:rPr>
              <w:t>PRIORITY BOTTLENECKS</w:t>
            </w:r>
          </w:p>
        </w:tc>
        <w:tc>
          <w:tcPr>
            <w:tcW w:w="1862" w:type="pct"/>
            <w:tcBorders>
              <w:top w:val="nil"/>
              <w:left w:val="nil"/>
              <w:bottom w:val="single" w:sz="4" w:space="0" w:color="auto"/>
              <w:right w:val="single" w:sz="4" w:space="0" w:color="auto"/>
            </w:tcBorders>
            <w:shd w:val="clear" w:color="000000" w:fill="FDE9D9"/>
            <w:vAlign w:val="bottom"/>
          </w:tcPr>
          <w:p w:rsidR="00C04C81" w:rsidRPr="00994B59" w:rsidRDefault="00C04C81" w:rsidP="0012442F">
            <w:pPr>
              <w:rPr>
                <w:rFonts w:cs="Arial"/>
                <w:b/>
                <w:bCs/>
                <w:color w:val="000000"/>
                <w:szCs w:val="22"/>
                <w:lang w:val="en-CA" w:eastAsia="en-CA"/>
              </w:rPr>
            </w:pPr>
            <w:r w:rsidRPr="00994B59">
              <w:rPr>
                <w:rFonts w:cs="Arial"/>
                <w:b/>
                <w:bCs/>
                <w:color w:val="000000"/>
                <w:szCs w:val="22"/>
                <w:lang w:val="en-CA" w:eastAsia="en-CA"/>
              </w:rPr>
              <w:t>REFERENCE DOCUMENTS/ANALYTICAL WORKS</w:t>
            </w:r>
          </w:p>
        </w:tc>
        <w:tc>
          <w:tcPr>
            <w:tcW w:w="1637" w:type="pct"/>
            <w:tcBorders>
              <w:top w:val="nil"/>
              <w:left w:val="nil"/>
              <w:bottom w:val="single" w:sz="4" w:space="0" w:color="auto"/>
              <w:right w:val="single" w:sz="4" w:space="0" w:color="auto"/>
            </w:tcBorders>
            <w:shd w:val="clear" w:color="000000" w:fill="FDE9D9"/>
            <w:vAlign w:val="bottom"/>
          </w:tcPr>
          <w:p w:rsidR="00C04C81" w:rsidRPr="00994B59" w:rsidRDefault="00C04C81" w:rsidP="0012442F">
            <w:pPr>
              <w:rPr>
                <w:rFonts w:cs="Arial"/>
                <w:b/>
                <w:bCs/>
                <w:color w:val="000000"/>
                <w:szCs w:val="22"/>
                <w:lang w:val="en-CA" w:eastAsia="en-CA"/>
              </w:rPr>
            </w:pPr>
            <w:r w:rsidRPr="00994B59">
              <w:rPr>
                <w:rFonts w:cs="Arial"/>
                <w:b/>
                <w:bCs/>
                <w:color w:val="000000"/>
                <w:szCs w:val="22"/>
                <w:lang w:val="en-CA" w:eastAsia="en-CA"/>
              </w:rPr>
              <w:t>KEY ACTIVITY/PRIORITISED INTERVENTION</w:t>
            </w:r>
          </w:p>
        </w:tc>
      </w:tr>
      <w:tr w:rsidR="00C04C81" w:rsidRPr="00994B59" w:rsidTr="0012442F">
        <w:trPr>
          <w:trHeight w:val="900"/>
        </w:trPr>
        <w:tc>
          <w:tcPr>
            <w:tcW w:w="150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xml:space="preserve">Inadequate cold chain capacity at district level and below: </w:t>
            </w:r>
          </w:p>
        </w:tc>
        <w:tc>
          <w:tcPr>
            <w:tcW w:w="186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Effective Vaccine Management (EVM)</w:t>
            </w:r>
            <w:r w:rsidRPr="00994B59">
              <w:rPr>
                <w:rFonts w:cs="Arial"/>
                <w:color w:val="000000"/>
                <w:szCs w:val="22"/>
                <w:lang w:val="en-CA" w:eastAsia="en-CA"/>
              </w:rPr>
              <w:br/>
              <w:t>Assessment Report  September 2010 (pages, 18, 19)</w:t>
            </w:r>
          </w:p>
        </w:tc>
        <w:tc>
          <w:tcPr>
            <w:tcW w:w="1637" w:type="pct"/>
            <w:vMerge w:val="restart"/>
            <w:tcBorders>
              <w:top w:val="nil"/>
              <w:left w:val="single" w:sz="4" w:space="0" w:color="auto"/>
              <w:bottom w:val="single" w:sz="4" w:space="0" w:color="auto"/>
              <w:right w:val="single" w:sz="4" w:space="0" w:color="auto"/>
            </w:tcBorders>
            <w:shd w:val="clear" w:color="auto" w:fill="auto"/>
            <w:vAlign w:val="bottom"/>
          </w:tcPr>
          <w:p w:rsidR="00C04C81" w:rsidRDefault="00C04C81" w:rsidP="0012442F">
            <w:pPr>
              <w:rPr>
                <w:rFonts w:cs="Arial"/>
                <w:color w:val="000000"/>
                <w:szCs w:val="22"/>
                <w:lang w:val="en-CA" w:eastAsia="en-CA"/>
              </w:rPr>
            </w:pPr>
            <w:r w:rsidRPr="00994B59">
              <w:rPr>
                <w:rFonts w:cs="Arial"/>
                <w:color w:val="000000"/>
                <w:szCs w:val="22"/>
                <w:lang w:val="en-CA" w:eastAsia="en-CA"/>
              </w:rPr>
              <w:t>1.1 Procure needed logistics and improve transport capacity to support service delivery</w:t>
            </w:r>
          </w:p>
        </w:tc>
      </w:tr>
      <w:tr w:rsidR="00C04C81" w:rsidRPr="00994B59" w:rsidTr="0012442F">
        <w:trPr>
          <w:trHeight w:val="855"/>
        </w:trPr>
        <w:tc>
          <w:tcPr>
            <w:tcW w:w="150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186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Ghana Immunization Services  Review– 2012,  “From Better to Best” PART I: National Report</w:t>
            </w:r>
          </w:p>
        </w:tc>
        <w:tc>
          <w:tcPr>
            <w:tcW w:w="1637" w:type="pct"/>
            <w:vMerge/>
            <w:tcBorders>
              <w:top w:val="nil"/>
              <w:left w:val="single" w:sz="4" w:space="0" w:color="auto"/>
              <w:bottom w:val="single" w:sz="4" w:space="0" w:color="auto"/>
              <w:right w:val="single" w:sz="4" w:space="0" w:color="auto"/>
            </w:tcBorders>
            <w:vAlign w:val="center"/>
          </w:tcPr>
          <w:p w:rsidR="00C04C81" w:rsidRPr="00994B59" w:rsidRDefault="00C04C81" w:rsidP="0012442F">
            <w:pPr>
              <w:rPr>
                <w:rFonts w:cs="Arial"/>
                <w:color w:val="000000"/>
                <w:szCs w:val="22"/>
                <w:lang w:val="en-CA" w:eastAsia="en-CA"/>
              </w:rPr>
            </w:pPr>
          </w:p>
        </w:tc>
      </w:tr>
      <w:tr w:rsidR="00C04C81" w:rsidRPr="00994B59" w:rsidTr="0012442F">
        <w:trPr>
          <w:trHeight w:val="1140"/>
        </w:trPr>
        <w:tc>
          <w:tcPr>
            <w:tcW w:w="150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186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Immunization Programme</w:t>
            </w:r>
            <w:r w:rsidRPr="00994B59">
              <w:rPr>
                <w:rFonts w:cs="Arial"/>
                <w:color w:val="000000"/>
                <w:szCs w:val="22"/>
                <w:lang w:val="en-CA" w:eastAsia="en-CA"/>
              </w:rPr>
              <w:br/>
              <w:t>Comprehensive Multi-Year Plan</w:t>
            </w:r>
            <w:r w:rsidRPr="00994B59">
              <w:rPr>
                <w:rFonts w:cs="Arial"/>
                <w:color w:val="000000"/>
                <w:szCs w:val="22"/>
                <w:lang w:val="en-CA" w:eastAsia="en-CA"/>
              </w:rPr>
              <w:br/>
              <w:t>(2010-2014), Ministry Of Health/Ghana Health Service, 2011 (Page 17, 28)</w:t>
            </w:r>
          </w:p>
        </w:tc>
        <w:tc>
          <w:tcPr>
            <w:tcW w:w="1637" w:type="pct"/>
            <w:vMerge/>
            <w:tcBorders>
              <w:top w:val="nil"/>
              <w:left w:val="single" w:sz="4" w:space="0" w:color="auto"/>
              <w:bottom w:val="single" w:sz="4" w:space="0" w:color="auto"/>
              <w:right w:val="single" w:sz="4" w:space="0" w:color="auto"/>
            </w:tcBorders>
            <w:vAlign w:val="center"/>
          </w:tcPr>
          <w:p w:rsidR="00C04C81" w:rsidRPr="00994B59" w:rsidRDefault="00C04C81" w:rsidP="0012442F">
            <w:pPr>
              <w:rPr>
                <w:rFonts w:cs="Arial"/>
                <w:color w:val="000000"/>
                <w:szCs w:val="22"/>
                <w:lang w:val="en-CA" w:eastAsia="en-CA"/>
              </w:rPr>
            </w:pPr>
          </w:p>
        </w:tc>
      </w:tr>
      <w:tr w:rsidR="00C04C81" w:rsidRPr="00994B59" w:rsidTr="0012442F">
        <w:trPr>
          <w:trHeight w:val="1140"/>
        </w:trPr>
        <w:tc>
          <w:tcPr>
            <w:tcW w:w="150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xml:space="preserve">Inadequate access of immunization service in riverine and island communities: </w:t>
            </w:r>
          </w:p>
        </w:tc>
        <w:tc>
          <w:tcPr>
            <w:tcW w:w="186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Ghana Immunization Services  Review– 2012,  “From Better to Best” PART I: National Report (Page 37)</w:t>
            </w:r>
          </w:p>
        </w:tc>
        <w:tc>
          <w:tcPr>
            <w:tcW w:w="1637"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xml:space="preserve">1.2 Strengthen capacity and provide  resources needed to undertake outreach services at the district and sub district levels </w:t>
            </w:r>
          </w:p>
        </w:tc>
      </w:tr>
      <w:tr w:rsidR="00C04C81" w:rsidRPr="00994B59" w:rsidTr="0012442F">
        <w:trPr>
          <w:trHeight w:val="900"/>
        </w:trPr>
        <w:tc>
          <w:tcPr>
            <w:tcW w:w="150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186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Health Sector Medium Term Strateg</w:t>
            </w:r>
            <w:r>
              <w:rPr>
                <w:rFonts w:cs="Arial"/>
                <w:color w:val="000000"/>
                <w:szCs w:val="22"/>
                <w:lang w:val="en-CA" w:eastAsia="en-CA"/>
              </w:rPr>
              <w:t>y</w:t>
            </w:r>
            <w:r w:rsidRPr="00994B59">
              <w:rPr>
                <w:rFonts w:cs="Arial"/>
                <w:color w:val="000000"/>
                <w:szCs w:val="22"/>
                <w:lang w:val="en-CA" w:eastAsia="en-CA"/>
              </w:rPr>
              <w:t xml:space="preserve"> (Draft) 2014 - 2017(Page 16, 23)</w:t>
            </w:r>
          </w:p>
        </w:tc>
        <w:tc>
          <w:tcPr>
            <w:tcW w:w="1637" w:type="pct"/>
            <w:vMerge w:val="restar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jc w:val="center"/>
              <w:rPr>
                <w:rFonts w:cs="Arial"/>
                <w:color w:val="000000"/>
                <w:szCs w:val="22"/>
                <w:lang w:val="en-CA" w:eastAsia="en-CA"/>
              </w:rPr>
            </w:pPr>
            <w:r w:rsidRPr="00994B59">
              <w:rPr>
                <w:rFonts w:cs="Arial"/>
                <w:color w:val="000000"/>
                <w:szCs w:val="22"/>
                <w:lang w:val="en-CA" w:eastAsia="en-CA"/>
              </w:rPr>
              <w:t>1.3 Support National, Regional, Districts and Sub District team Supervision and monitoring</w:t>
            </w:r>
          </w:p>
        </w:tc>
      </w:tr>
      <w:tr w:rsidR="00C04C81" w:rsidRPr="00994B59" w:rsidTr="0012442F">
        <w:trPr>
          <w:trHeight w:val="1140"/>
        </w:trPr>
        <w:tc>
          <w:tcPr>
            <w:tcW w:w="150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186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Immunization Programme</w:t>
            </w:r>
            <w:r w:rsidRPr="00994B59">
              <w:rPr>
                <w:rFonts w:cs="Arial"/>
                <w:color w:val="000000"/>
                <w:szCs w:val="22"/>
                <w:lang w:val="en-CA" w:eastAsia="en-CA"/>
              </w:rPr>
              <w:br/>
              <w:t>Comprehensive Multi-Year Plan</w:t>
            </w:r>
            <w:r w:rsidRPr="00994B59">
              <w:rPr>
                <w:rFonts w:cs="Arial"/>
                <w:color w:val="000000"/>
                <w:szCs w:val="22"/>
                <w:lang w:val="en-CA" w:eastAsia="en-CA"/>
              </w:rPr>
              <w:br/>
              <w:t>(2010-2014), Ministry Of Health/Ghana Health Service, 2011 (Page 17, 31-36)</w:t>
            </w:r>
          </w:p>
        </w:tc>
        <w:tc>
          <w:tcPr>
            <w:tcW w:w="1637" w:type="pct"/>
            <w:vMerge/>
            <w:tcBorders>
              <w:top w:val="nil"/>
              <w:left w:val="single" w:sz="4" w:space="0" w:color="auto"/>
              <w:bottom w:val="single" w:sz="4" w:space="0" w:color="auto"/>
              <w:right w:val="single" w:sz="4" w:space="0" w:color="auto"/>
            </w:tcBorders>
            <w:vAlign w:val="center"/>
          </w:tcPr>
          <w:p w:rsidR="00C04C81" w:rsidRPr="00994B59" w:rsidRDefault="00C04C81" w:rsidP="0012442F">
            <w:pPr>
              <w:rPr>
                <w:rFonts w:cs="Arial"/>
                <w:color w:val="000000"/>
                <w:szCs w:val="22"/>
                <w:lang w:val="en-CA" w:eastAsia="en-CA"/>
              </w:rPr>
            </w:pPr>
          </w:p>
        </w:tc>
      </w:tr>
      <w:tr w:rsidR="00C04C81" w:rsidRPr="00994B59" w:rsidTr="0012442F">
        <w:trPr>
          <w:trHeight w:val="855"/>
        </w:trPr>
        <w:tc>
          <w:tcPr>
            <w:tcW w:w="150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xml:space="preserve">Inadequate infrastructure: </w:t>
            </w:r>
          </w:p>
        </w:tc>
        <w:tc>
          <w:tcPr>
            <w:tcW w:w="186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Ghana Immunization Services  REVIEW– 2012,  “From Better to Best” PART I: National Report (Page 19)</w:t>
            </w:r>
          </w:p>
        </w:tc>
        <w:tc>
          <w:tcPr>
            <w:tcW w:w="1637" w:type="pct"/>
            <w:vMerge w:val="restar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jc w:val="center"/>
              <w:rPr>
                <w:rFonts w:cs="Arial"/>
                <w:color w:val="000000"/>
                <w:szCs w:val="22"/>
                <w:lang w:val="en-CA" w:eastAsia="en-CA"/>
              </w:rPr>
            </w:pPr>
            <w:r w:rsidRPr="00994B59">
              <w:rPr>
                <w:rFonts w:cs="Arial"/>
                <w:color w:val="000000"/>
                <w:szCs w:val="22"/>
                <w:lang w:val="en-CA" w:eastAsia="en-CA"/>
              </w:rPr>
              <w:t xml:space="preserve">1.4 Construct and renovate cold chain infrastructure and equipment: </w:t>
            </w:r>
          </w:p>
        </w:tc>
      </w:tr>
      <w:tr w:rsidR="00C04C81" w:rsidRPr="00994B59" w:rsidTr="0012442F">
        <w:trPr>
          <w:trHeight w:val="1140"/>
        </w:trPr>
        <w:tc>
          <w:tcPr>
            <w:tcW w:w="150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186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Immunization Programme</w:t>
            </w:r>
            <w:r w:rsidRPr="00994B59">
              <w:rPr>
                <w:rFonts w:cs="Arial"/>
                <w:color w:val="000000"/>
                <w:szCs w:val="22"/>
                <w:lang w:val="en-CA" w:eastAsia="en-CA"/>
              </w:rPr>
              <w:br/>
              <w:t>Comprehensive Multi-Year Plan</w:t>
            </w:r>
            <w:r w:rsidRPr="00994B59">
              <w:rPr>
                <w:rFonts w:cs="Arial"/>
                <w:color w:val="000000"/>
                <w:szCs w:val="22"/>
                <w:lang w:val="en-CA" w:eastAsia="en-CA"/>
              </w:rPr>
              <w:br/>
              <w:t>(2010-2014), Ministry Of Health/Ghana Health Service, 2011 (Page 29-31-36)</w:t>
            </w:r>
          </w:p>
        </w:tc>
        <w:tc>
          <w:tcPr>
            <w:tcW w:w="1637" w:type="pct"/>
            <w:vMerge/>
            <w:tcBorders>
              <w:top w:val="nil"/>
              <w:left w:val="single" w:sz="4" w:space="0" w:color="auto"/>
              <w:bottom w:val="single" w:sz="4" w:space="0" w:color="auto"/>
              <w:right w:val="single" w:sz="4" w:space="0" w:color="auto"/>
            </w:tcBorders>
            <w:vAlign w:val="center"/>
          </w:tcPr>
          <w:p w:rsidR="00C04C81" w:rsidRPr="00994B59" w:rsidRDefault="00C04C81" w:rsidP="0012442F">
            <w:pPr>
              <w:rPr>
                <w:rFonts w:cs="Arial"/>
                <w:color w:val="000000"/>
                <w:szCs w:val="22"/>
                <w:lang w:val="en-CA" w:eastAsia="en-CA"/>
              </w:rPr>
            </w:pPr>
          </w:p>
        </w:tc>
      </w:tr>
      <w:tr w:rsidR="00C04C81" w:rsidRPr="00994B59" w:rsidTr="0012442F">
        <w:trPr>
          <w:trHeight w:val="2280"/>
        </w:trPr>
        <w:tc>
          <w:tcPr>
            <w:tcW w:w="150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lastRenderedPageBreak/>
              <w:t>Poor waste management practices</w:t>
            </w:r>
          </w:p>
        </w:tc>
        <w:tc>
          <w:tcPr>
            <w:tcW w:w="186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Ghana Immunization Services  Review– 2012,  “From Better to Best” PART I: National Report (Page 59)</w:t>
            </w:r>
          </w:p>
        </w:tc>
        <w:tc>
          <w:tcPr>
            <w:tcW w:w="1637"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1.5 Train CHMCs and CHVs for CHPS implementation including routine immunization services, Middle Level Managers (MLM) for EPI staff, EPI equipment Technicians, Waste Management focal persons, Cold Chain and logistics Management and quality assurance</w:t>
            </w:r>
          </w:p>
        </w:tc>
      </w:tr>
      <w:tr w:rsidR="00C04C81" w:rsidRPr="00994B59" w:rsidTr="0012442F">
        <w:trPr>
          <w:trHeight w:val="855"/>
        </w:trPr>
        <w:tc>
          <w:tcPr>
            <w:tcW w:w="150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Inadequate resource to support the undertaking of planned outreach service at facility level</w:t>
            </w:r>
          </w:p>
        </w:tc>
        <w:tc>
          <w:tcPr>
            <w:tcW w:w="186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Ghana Immunization Services  REVIEW– 2012,  “From Better to Best” PART I: National Report (Page 59)</w:t>
            </w:r>
          </w:p>
        </w:tc>
        <w:tc>
          <w:tcPr>
            <w:tcW w:w="1637"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r>
      <w:tr w:rsidR="00C04C81" w:rsidRPr="00994B59" w:rsidTr="0012442F">
        <w:trPr>
          <w:trHeight w:val="855"/>
        </w:trPr>
        <w:tc>
          <w:tcPr>
            <w:tcW w:w="150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Inadequate Supportive Supervision</w:t>
            </w:r>
          </w:p>
        </w:tc>
        <w:tc>
          <w:tcPr>
            <w:tcW w:w="186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Ghana Immunization Services  REVIEW– 2012,  “From Better to Best” PART I: National Report (Page 27)</w:t>
            </w:r>
          </w:p>
        </w:tc>
        <w:tc>
          <w:tcPr>
            <w:tcW w:w="1637"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r>
      <w:tr w:rsidR="00C04C81" w:rsidRPr="00994B59" w:rsidTr="0012442F">
        <w:trPr>
          <w:trHeight w:val="855"/>
        </w:trPr>
        <w:tc>
          <w:tcPr>
            <w:tcW w:w="150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Low capacity and resources for supportive supervision at the regional, district and lower levels</w:t>
            </w:r>
          </w:p>
        </w:tc>
        <w:tc>
          <w:tcPr>
            <w:tcW w:w="186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Ghana Immunization Services  REVIEW– 2012,  “From Better to Best” PART I: National Report (Page27, 62)</w:t>
            </w:r>
          </w:p>
        </w:tc>
        <w:tc>
          <w:tcPr>
            <w:tcW w:w="1637"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r>
      <w:tr w:rsidR="00C04C81" w:rsidRPr="00994B59" w:rsidTr="0012442F">
        <w:trPr>
          <w:trHeight w:val="855"/>
        </w:trPr>
        <w:tc>
          <w:tcPr>
            <w:tcW w:w="150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xml:space="preserve">Inadequate demand creation: </w:t>
            </w:r>
          </w:p>
        </w:tc>
        <w:tc>
          <w:tcPr>
            <w:tcW w:w="186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Ghana Immunization Services  REVIEW– 2012,  “From Better to Best” PART I: National Report (Page 54)</w:t>
            </w:r>
          </w:p>
        </w:tc>
        <w:tc>
          <w:tcPr>
            <w:tcW w:w="1637"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r>
      <w:tr w:rsidR="00C04C81" w:rsidRPr="00994B59" w:rsidTr="0012442F">
        <w:trPr>
          <w:trHeight w:val="855"/>
        </w:trPr>
        <w:tc>
          <w:tcPr>
            <w:tcW w:w="150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Inadequate availability of service delivery data collection tools</w:t>
            </w:r>
          </w:p>
        </w:tc>
        <w:tc>
          <w:tcPr>
            <w:tcW w:w="186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Effective Vaccine Management (EVM)</w:t>
            </w:r>
            <w:r w:rsidRPr="00994B59">
              <w:rPr>
                <w:rFonts w:cs="Arial"/>
                <w:color w:val="000000"/>
                <w:szCs w:val="22"/>
                <w:lang w:val="en-CA" w:eastAsia="en-CA"/>
              </w:rPr>
              <w:br/>
              <w:t>Assessment Report  September 2010 (pages, 14)</w:t>
            </w:r>
          </w:p>
        </w:tc>
        <w:tc>
          <w:tcPr>
            <w:tcW w:w="1637"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r>
      <w:tr w:rsidR="00C04C81" w:rsidRPr="00994B59" w:rsidTr="0012442F">
        <w:trPr>
          <w:trHeight w:val="1140"/>
        </w:trPr>
        <w:tc>
          <w:tcPr>
            <w:tcW w:w="150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186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Post-Introduction Evaluation of the Measles second dose (MSD), the Pneumococcal Conjugate Vaccine (PCV0 and the Rotavirus Vaccine (ROTA) in Ghana (Page 9)</w:t>
            </w:r>
          </w:p>
        </w:tc>
        <w:tc>
          <w:tcPr>
            <w:tcW w:w="1637"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r>
      <w:tr w:rsidR="00C04C81" w:rsidRPr="00994B59" w:rsidTr="0012442F">
        <w:trPr>
          <w:trHeight w:val="570"/>
        </w:trPr>
        <w:tc>
          <w:tcPr>
            <w:tcW w:w="150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186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Health Sector Medium Term Strateg</w:t>
            </w:r>
            <w:r>
              <w:rPr>
                <w:rFonts w:cs="Arial"/>
                <w:color w:val="000000"/>
                <w:szCs w:val="22"/>
                <w:lang w:val="en-CA" w:eastAsia="en-CA"/>
              </w:rPr>
              <w:t>y</w:t>
            </w:r>
            <w:r w:rsidRPr="00994B59">
              <w:rPr>
                <w:rFonts w:cs="Arial"/>
                <w:color w:val="000000"/>
                <w:szCs w:val="22"/>
                <w:lang w:val="en-CA" w:eastAsia="en-CA"/>
              </w:rPr>
              <w:t xml:space="preserve"> (Draft) 2014 - 2017(Page 17, 23)</w:t>
            </w:r>
          </w:p>
        </w:tc>
        <w:tc>
          <w:tcPr>
            <w:tcW w:w="1637"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r>
    </w:tbl>
    <w:p w:rsidR="00C04C81" w:rsidRDefault="00C04C81" w:rsidP="00C04C81">
      <w:pPr>
        <w:spacing w:after="200" w:line="276" w:lineRule="auto"/>
        <w:jc w:val="both"/>
        <w:rPr>
          <w:rFonts w:cs="Arial"/>
          <w:szCs w:val="22"/>
        </w:rPr>
      </w:pPr>
    </w:p>
    <w:p w:rsidR="00C04C81" w:rsidRPr="00B40A7C" w:rsidDel="00B72771" w:rsidRDefault="00C04C81" w:rsidP="00C04C81">
      <w:pPr>
        <w:spacing w:after="200" w:line="276" w:lineRule="auto"/>
        <w:jc w:val="both"/>
        <w:rPr>
          <w:rFonts w:cs="Arial"/>
          <w:szCs w:val="22"/>
        </w:rPr>
      </w:pPr>
      <w:r>
        <w:rPr>
          <w:rFonts w:cs="Arial"/>
          <w:szCs w:val="22"/>
        </w:rPr>
        <w:br w:type="page"/>
      </w:r>
    </w:p>
    <w:tbl>
      <w:tblPr>
        <w:tblW w:w="5000" w:type="pct"/>
        <w:tblLook w:val="04A0"/>
      </w:tblPr>
      <w:tblGrid>
        <w:gridCol w:w="3314"/>
        <w:gridCol w:w="3101"/>
        <w:gridCol w:w="3161"/>
      </w:tblGrid>
      <w:tr w:rsidR="00C04C81" w:rsidRPr="00994B59" w:rsidTr="0012442F">
        <w:trPr>
          <w:trHeight w:val="8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C04C81" w:rsidRPr="00994B59" w:rsidRDefault="00C04C81" w:rsidP="0012442F">
            <w:pPr>
              <w:jc w:val="center"/>
              <w:rPr>
                <w:rFonts w:cs="Arial"/>
                <w:b/>
                <w:bCs/>
                <w:color w:val="000000"/>
                <w:szCs w:val="22"/>
                <w:lang w:val="en-CA" w:eastAsia="en-CA"/>
              </w:rPr>
            </w:pPr>
            <w:r>
              <w:rPr>
                <w:rFonts w:cs="Arial"/>
                <w:b/>
                <w:bCs/>
                <w:color w:val="000000"/>
                <w:szCs w:val="22"/>
                <w:lang w:val="en-CA" w:eastAsia="en-CA"/>
              </w:rPr>
              <w:t xml:space="preserve">Objective </w:t>
            </w:r>
            <w:r w:rsidRPr="00994B59">
              <w:rPr>
                <w:rFonts w:cs="Arial"/>
                <w:b/>
                <w:bCs/>
                <w:color w:val="000000"/>
                <w:szCs w:val="22"/>
                <w:lang w:val="en-CA" w:eastAsia="en-CA"/>
              </w:rPr>
              <w:t>2. To strengthen health worker capacity and distribution so as address equity issues in districts levels. (Workforce and Human Resources)</w:t>
            </w:r>
          </w:p>
        </w:tc>
      </w:tr>
      <w:tr w:rsidR="00C04C81" w:rsidRPr="00994B59" w:rsidTr="0012442F">
        <w:trPr>
          <w:trHeight w:val="600"/>
        </w:trPr>
        <w:tc>
          <w:tcPr>
            <w:tcW w:w="1733" w:type="pct"/>
            <w:tcBorders>
              <w:top w:val="nil"/>
              <w:left w:val="single" w:sz="4" w:space="0" w:color="auto"/>
              <w:bottom w:val="single" w:sz="4" w:space="0" w:color="auto"/>
              <w:right w:val="single" w:sz="4" w:space="0" w:color="auto"/>
            </w:tcBorders>
            <w:shd w:val="clear" w:color="000000" w:fill="FDE9D9"/>
            <w:vAlign w:val="bottom"/>
          </w:tcPr>
          <w:p w:rsidR="00C04C81" w:rsidRPr="00994B59" w:rsidRDefault="00C04C81" w:rsidP="0012442F">
            <w:pPr>
              <w:rPr>
                <w:rFonts w:cs="Arial"/>
                <w:b/>
                <w:bCs/>
                <w:color w:val="000000"/>
                <w:szCs w:val="22"/>
                <w:lang w:val="en-CA" w:eastAsia="en-CA"/>
              </w:rPr>
            </w:pPr>
            <w:r w:rsidRPr="00994B59">
              <w:rPr>
                <w:rFonts w:cs="Arial"/>
                <w:b/>
                <w:bCs/>
                <w:color w:val="000000"/>
                <w:szCs w:val="22"/>
                <w:lang w:val="en-CA" w:eastAsia="en-CA"/>
              </w:rPr>
              <w:t>PRIORITY BOTTLENECKS</w:t>
            </w:r>
          </w:p>
        </w:tc>
        <w:tc>
          <w:tcPr>
            <w:tcW w:w="1614" w:type="pct"/>
            <w:tcBorders>
              <w:top w:val="nil"/>
              <w:left w:val="nil"/>
              <w:bottom w:val="single" w:sz="4" w:space="0" w:color="auto"/>
              <w:right w:val="single" w:sz="4" w:space="0" w:color="auto"/>
            </w:tcBorders>
            <w:shd w:val="clear" w:color="000000" w:fill="FDE9D9"/>
            <w:vAlign w:val="bottom"/>
          </w:tcPr>
          <w:p w:rsidR="00C04C81" w:rsidRPr="00994B59" w:rsidRDefault="00C04C81" w:rsidP="0012442F">
            <w:pPr>
              <w:rPr>
                <w:rFonts w:cs="Arial"/>
                <w:b/>
                <w:bCs/>
                <w:color w:val="000000"/>
                <w:szCs w:val="22"/>
                <w:lang w:val="en-CA" w:eastAsia="en-CA"/>
              </w:rPr>
            </w:pPr>
            <w:r w:rsidRPr="00994B59">
              <w:rPr>
                <w:rFonts w:cs="Arial"/>
                <w:b/>
                <w:bCs/>
                <w:color w:val="000000"/>
                <w:szCs w:val="22"/>
                <w:lang w:val="en-CA" w:eastAsia="en-CA"/>
              </w:rPr>
              <w:t>REFERENCE DOCUMENTS/ANALYTICAL WORKS</w:t>
            </w:r>
          </w:p>
        </w:tc>
        <w:tc>
          <w:tcPr>
            <w:tcW w:w="1653" w:type="pct"/>
            <w:tcBorders>
              <w:top w:val="nil"/>
              <w:left w:val="nil"/>
              <w:bottom w:val="single" w:sz="4" w:space="0" w:color="auto"/>
              <w:right w:val="single" w:sz="4" w:space="0" w:color="auto"/>
            </w:tcBorders>
            <w:shd w:val="clear" w:color="000000" w:fill="FDE9D9"/>
            <w:vAlign w:val="bottom"/>
          </w:tcPr>
          <w:p w:rsidR="00C04C81" w:rsidRPr="00994B59" w:rsidRDefault="00C04C81" w:rsidP="0012442F">
            <w:pPr>
              <w:rPr>
                <w:rFonts w:cs="Arial"/>
                <w:b/>
                <w:bCs/>
                <w:color w:val="000000"/>
                <w:szCs w:val="22"/>
                <w:lang w:val="en-CA" w:eastAsia="en-CA"/>
              </w:rPr>
            </w:pPr>
            <w:r w:rsidRPr="00994B59">
              <w:rPr>
                <w:rFonts w:cs="Arial"/>
                <w:b/>
                <w:bCs/>
                <w:color w:val="000000"/>
                <w:szCs w:val="22"/>
                <w:lang w:val="en-CA" w:eastAsia="en-CA"/>
              </w:rPr>
              <w:t>KEY ACTIVITY/PRIORITISED INTERVENTION</w:t>
            </w:r>
          </w:p>
        </w:tc>
      </w:tr>
      <w:tr w:rsidR="00C04C81" w:rsidRPr="00994B59" w:rsidTr="0012442F">
        <w:trPr>
          <w:trHeight w:val="1155"/>
        </w:trPr>
        <w:tc>
          <w:tcPr>
            <w:tcW w:w="1733"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Weaknesses in Deployment of CHOs and their embedding/embeddings in communities</w:t>
            </w:r>
          </w:p>
        </w:tc>
        <w:tc>
          <w:tcPr>
            <w:tcW w:w="1614"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Health Sector Medium Term Strate</w:t>
            </w:r>
            <w:r>
              <w:rPr>
                <w:rFonts w:cs="Arial"/>
                <w:color w:val="000000"/>
                <w:szCs w:val="22"/>
                <w:lang w:val="en-CA" w:eastAsia="en-CA"/>
              </w:rPr>
              <w:t>gy</w:t>
            </w:r>
            <w:r w:rsidRPr="00994B59">
              <w:rPr>
                <w:rFonts w:cs="Arial"/>
                <w:color w:val="000000"/>
                <w:szCs w:val="22"/>
                <w:lang w:val="en-CA" w:eastAsia="en-CA"/>
              </w:rPr>
              <w:t xml:space="preserve"> (Draft) 2014 - 2017(Page 13 - 14)</w:t>
            </w:r>
          </w:p>
        </w:tc>
        <w:tc>
          <w:tcPr>
            <w:tcW w:w="1653"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xml:space="preserve">2.1 Develop and implement performance based financing to improve health service delivery in remote and deprived areas: </w:t>
            </w:r>
          </w:p>
        </w:tc>
      </w:tr>
      <w:tr w:rsidR="00C04C81" w:rsidRPr="00994B59" w:rsidTr="0012442F">
        <w:trPr>
          <w:trHeight w:val="1440"/>
        </w:trPr>
        <w:tc>
          <w:tcPr>
            <w:tcW w:w="1733"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xml:space="preserve">Need for clear policies to ensure equitable distribution and retention of key human resources (especially at hard to reach areas) </w:t>
            </w:r>
          </w:p>
        </w:tc>
        <w:tc>
          <w:tcPr>
            <w:tcW w:w="1614"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Draft Report: Review of Ghanaian Health Sector Medium Term Development Plan (HSMTDP 2010-2013) (Page 27-28, 30)</w:t>
            </w:r>
          </w:p>
        </w:tc>
        <w:tc>
          <w:tcPr>
            <w:tcW w:w="1653"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xml:space="preserve">2.3 Institutionalise an efficient HR information system in the sector: </w:t>
            </w:r>
          </w:p>
        </w:tc>
      </w:tr>
      <w:tr w:rsidR="00C04C81" w:rsidRPr="00994B59" w:rsidTr="0012442F">
        <w:trPr>
          <w:trHeight w:val="585"/>
        </w:trPr>
        <w:tc>
          <w:tcPr>
            <w:tcW w:w="1733"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1614"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Health Sector Medium Term Strateg</w:t>
            </w:r>
            <w:r>
              <w:rPr>
                <w:rFonts w:cs="Arial"/>
                <w:color w:val="000000"/>
                <w:szCs w:val="22"/>
                <w:lang w:val="en-CA" w:eastAsia="en-CA"/>
              </w:rPr>
              <w:t>y</w:t>
            </w:r>
            <w:r w:rsidRPr="00994B59">
              <w:rPr>
                <w:rFonts w:cs="Arial"/>
                <w:color w:val="000000"/>
                <w:szCs w:val="22"/>
                <w:lang w:val="en-CA" w:eastAsia="en-CA"/>
              </w:rPr>
              <w:t xml:space="preserve"> (Draft) 2014 - 2017(Page 13 - 14)</w:t>
            </w:r>
          </w:p>
        </w:tc>
        <w:tc>
          <w:tcPr>
            <w:tcW w:w="1653"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r>
      <w:tr w:rsidR="00C04C81" w:rsidRPr="00994B59" w:rsidTr="0012442F">
        <w:trPr>
          <w:trHeight w:val="1725"/>
        </w:trPr>
        <w:tc>
          <w:tcPr>
            <w:tcW w:w="1733"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1614"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Immunization Programme</w:t>
            </w:r>
            <w:r w:rsidRPr="00994B59">
              <w:rPr>
                <w:rFonts w:cs="Arial"/>
                <w:color w:val="000000"/>
                <w:szCs w:val="22"/>
                <w:lang w:val="en-CA" w:eastAsia="en-CA"/>
              </w:rPr>
              <w:br/>
              <w:t>Comprehensive Multi-Year Plan</w:t>
            </w:r>
            <w:r w:rsidRPr="00994B59">
              <w:rPr>
                <w:rFonts w:cs="Arial"/>
                <w:color w:val="000000"/>
                <w:szCs w:val="22"/>
                <w:lang w:val="en-CA" w:eastAsia="en-CA"/>
              </w:rPr>
              <w:br/>
              <w:t>(2010-2014), Ministry Of Health/Ghana Health Service, 2011 (Page 17)</w:t>
            </w:r>
          </w:p>
        </w:tc>
        <w:tc>
          <w:tcPr>
            <w:tcW w:w="1653"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r>
      <w:tr w:rsidR="00C04C81" w:rsidRPr="00994B59" w:rsidTr="0012442F">
        <w:trPr>
          <w:trHeight w:val="1440"/>
        </w:trPr>
        <w:tc>
          <w:tcPr>
            <w:tcW w:w="1733"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Weak performance management</w:t>
            </w:r>
          </w:p>
        </w:tc>
        <w:tc>
          <w:tcPr>
            <w:tcW w:w="1614"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Draft Report: Review of Ghanaian Health Sector Medium Term Development Plan (HSMTDP 2010-2013) (Page 29)</w:t>
            </w:r>
          </w:p>
        </w:tc>
        <w:tc>
          <w:tcPr>
            <w:tcW w:w="1653"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2.4 Scale-up managerial and leadership capacity building at district and sub district levels</w:t>
            </w:r>
          </w:p>
        </w:tc>
      </w:tr>
      <w:tr w:rsidR="00C04C81" w:rsidRPr="00994B59" w:rsidTr="0012442F">
        <w:trPr>
          <w:trHeight w:val="1440"/>
        </w:trPr>
        <w:tc>
          <w:tcPr>
            <w:tcW w:w="1733"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xml:space="preserve">Need to scale-up leadership and management capacity building at the district and sub-districts levels and the </w:t>
            </w:r>
          </w:p>
        </w:tc>
        <w:tc>
          <w:tcPr>
            <w:tcW w:w="1614"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Draft Report: Review of Ghanaian Health Sector Medium Term Development Plan (HSMTDP 2010-2013) (Page 28)</w:t>
            </w:r>
          </w:p>
        </w:tc>
        <w:tc>
          <w:tcPr>
            <w:tcW w:w="1653"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r>
      <w:tr w:rsidR="00C04C81" w:rsidRPr="00994B59" w:rsidTr="0012442F">
        <w:trPr>
          <w:trHeight w:val="585"/>
        </w:trPr>
        <w:tc>
          <w:tcPr>
            <w:tcW w:w="1733"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1614"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Health Sector Medium Term Strateg</w:t>
            </w:r>
            <w:r>
              <w:rPr>
                <w:rFonts w:cs="Arial"/>
                <w:color w:val="000000"/>
                <w:szCs w:val="22"/>
                <w:lang w:val="en-CA" w:eastAsia="en-CA"/>
              </w:rPr>
              <w:t>y</w:t>
            </w:r>
            <w:r w:rsidRPr="00994B59">
              <w:rPr>
                <w:rFonts w:cs="Arial"/>
                <w:color w:val="000000"/>
                <w:szCs w:val="22"/>
                <w:lang w:val="en-CA" w:eastAsia="en-CA"/>
              </w:rPr>
              <w:t xml:space="preserve"> (Draft) 2014 - 2017(Page 31)</w:t>
            </w:r>
          </w:p>
        </w:tc>
        <w:tc>
          <w:tcPr>
            <w:tcW w:w="1653"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r>
      <w:tr w:rsidR="00C04C81" w:rsidRPr="00994B59" w:rsidTr="0012442F">
        <w:trPr>
          <w:trHeight w:val="1440"/>
        </w:trPr>
        <w:tc>
          <w:tcPr>
            <w:tcW w:w="1733"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Establishment of clearly defined system for measuring health worker force productivity</w:t>
            </w:r>
          </w:p>
        </w:tc>
        <w:tc>
          <w:tcPr>
            <w:tcW w:w="1614"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Draft Report: Review of Ghanaian Health Sector Medium Term Development Plan (HSMTDP 2010-2013) (Page 59)</w:t>
            </w:r>
          </w:p>
        </w:tc>
        <w:tc>
          <w:tcPr>
            <w:tcW w:w="1653"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r>
    </w:tbl>
    <w:p w:rsidR="00C04C81" w:rsidRDefault="00C04C81" w:rsidP="00C04C81">
      <w:pPr>
        <w:spacing w:after="200" w:line="276" w:lineRule="auto"/>
        <w:jc w:val="both"/>
        <w:rPr>
          <w:rFonts w:cs="Arial"/>
          <w:szCs w:val="22"/>
        </w:rPr>
      </w:pPr>
    </w:p>
    <w:p w:rsidR="00C04C81" w:rsidRPr="00B40A7C" w:rsidDel="00B72771" w:rsidRDefault="00C04C81" w:rsidP="00C04C81">
      <w:pPr>
        <w:spacing w:after="200" w:line="276" w:lineRule="auto"/>
        <w:jc w:val="both"/>
        <w:rPr>
          <w:rFonts w:cs="Arial"/>
          <w:szCs w:val="22"/>
        </w:rPr>
      </w:pPr>
      <w:r>
        <w:rPr>
          <w:rFonts w:cs="Arial"/>
          <w:szCs w:val="22"/>
        </w:rPr>
        <w:br w:type="page"/>
      </w:r>
    </w:p>
    <w:tbl>
      <w:tblPr>
        <w:tblW w:w="5000" w:type="pct"/>
        <w:tblLook w:val="04A0"/>
      </w:tblPr>
      <w:tblGrid>
        <w:gridCol w:w="2398"/>
        <w:gridCol w:w="4321"/>
        <w:gridCol w:w="2857"/>
      </w:tblGrid>
      <w:tr w:rsidR="00C04C81" w:rsidRPr="00994B59" w:rsidTr="0012442F">
        <w:trPr>
          <w:trHeight w:val="12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C04C81" w:rsidRPr="00994B59" w:rsidRDefault="00C04C81" w:rsidP="0012442F">
            <w:pPr>
              <w:jc w:val="center"/>
              <w:rPr>
                <w:rFonts w:cs="Arial"/>
                <w:b/>
                <w:bCs/>
                <w:color w:val="000000"/>
                <w:szCs w:val="22"/>
                <w:lang w:val="en-CA" w:eastAsia="en-CA"/>
              </w:rPr>
            </w:pPr>
            <w:r>
              <w:rPr>
                <w:rFonts w:cs="Arial"/>
                <w:b/>
                <w:bCs/>
                <w:color w:val="000000"/>
                <w:szCs w:val="22"/>
                <w:lang w:val="en-CA" w:eastAsia="en-CA"/>
              </w:rPr>
              <w:t xml:space="preserve">Objective </w:t>
            </w:r>
            <w:r w:rsidRPr="00994B59">
              <w:rPr>
                <w:rFonts w:cs="Arial"/>
                <w:b/>
                <w:bCs/>
                <w:color w:val="000000"/>
                <w:szCs w:val="22"/>
                <w:lang w:val="en-CA" w:eastAsia="en-CA"/>
              </w:rPr>
              <w:t>3. To improve storage, distribution and management of logistics and ensure the availability of potent, quality and safe vaccines, medicines and devices(Procurement,  Logistics and Health Technologies)</w:t>
            </w:r>
          </w:p>
        </w:tc>
      </w:tr>
      <w:tr w:rsidR="00C04C81" w:rsidRPr="00994B59" w:rsidTr="0012442F">
        <w:trPr>
          <w:trHeight w:val="900"/>
        </w:trPr>
        <w:tc>
          <w:tcPr>
            <w:tcW w:w="1252" w:type="pct"/>
            <w:tcBorders>
              <w:top w:val="nil"/>
              <w:left w:val="single" w:sz="4" w:space="0" w:color="auto"/>
              <w:bottom w:val="single" w:sz="4" w:space="0" w:color="auto"/>
              <w:right w:val="single" w:sz="4" w:space="0" w:color="auto"/>
            </w:tcBorders>
            <w:shd w:val="clear" w:color="000000" w:fill="FDE9D9"/>
            <w:vAlign w:val="bottom"/>
          </w:tcPr>
          <w:p w:rsidR="00C04C81" w:rsidRPr="00994B59" w:rsidRDefault="00C04C81" w:rsidP="0012442F">
            <w:pPr>
              <w:rPr>
                <w:rFonts w:cs="Arial"/>
                <w:b/>
                <w:bCs/>
                <w:color w:val="000000"/>
                <w:szCs w:val="22"/>
                <w:lang w:val="en-CA" w:eastAsia="en-CA"/>
              </w:rPr>
            </w:pPr>
            <w:r w:rsidRPr="00994B59">
              <w:rPr>
                <w:rFonts w:cs="Arial"/>
                <w:b/>
                <w:bCs/>
                <w:color w:val="000000"/>
                <w:szCs w:val="22"/>
                <w:lang w:val="en-CA" w:eastAsia="en-CA"/>
              </w:rPr>
              <w:t>PRIORITY BOTTLENECKS</w:t>
            </w:r>
          </w:p>
        </w:tc>
        <w:tc>
          <w:tcPr>
            <w:tcW w:w="2256" w:type="pct"/>
            <w:tcBorders>
              <w:top w:val="nil"/>
              <w:left w:val="nil"/>
              <w:bottom w:val="single" w:sz="4" w:space="0" w:color="auto"/>
              <w:right w:val="single" w:sz="4" w:space="0" w:color="auto"/>
            </w:tcBorders>
            <w:shd w:val="clear" w:color="000000" w:fill="FDE9D9"/>
            <w:vAlign w:val="bottom"/>
          </w:tcPr>
          <w:p w:rsidR="00C04C81" w:rsidRPr="00994B59" w:rsidRDefault="00C04C81" w:rsidP="0012442F">
            <w:pPr>
              <w:rPr>
                <w:rFonts w:cs="Arial"/>
                <w:b/>
                <w:bCs/>
                <w:color w:val="000000"/>
                <w:szCs w:val="22"/>
                <w:lang w:val="en-CA" w:eastAsia="en-CA"/>
              </w:rPr>
            </w:pPr>
            <w:r w:rsidRPr="00994B59">
              <w:rPr>
                <w:rFonts w:cs="Arial"/>
                <w:b/>
                <w:bCs/>
                <w:color w:val="000000"/>
                <w:szCs w:val="22"/>
                <w:lang w:val="en-CA" w:eastAsia="en-CA"/>
              </w:rPr>
              <w:t>REFERENCE DOCUMENTS/ANALYTICAL WORKS</w:t>
            </w:r>
          </w:p>
        </w:tc>
        <w:tc>
          <w:tcPr>
            <w:tcW w:w="1492" w:type="pct"/>
            <w:tcBorders>
              <w:top w:val="nil"/>
              <w:left w:val="nil"/>
              <w:bottom w:val="single" w:sz="4" w:space="0" w:color="auto"/>
              <w:right w:val="single" w:sz="4" w:space="0" w:color="auto"/>
            </w:tcBorders>
            <w:shd w:val="clear" w:color="000000" w:fill="FDE9D9"/>
            <w:vAlign w:val="bottom"/>
          </w:tcPr>
          <w:p w:rsidR="00C04C81" w:rsidRPr="00994B59" w:rsidRDefault="00C04C81" w:rsidP="0012442F">
            <w:pPr>
              <w:rPr>
                <w:rFonts w:cs="Arial"/>
                <w:b/>
                <w:bCs/>
                <w:color w:val="000000"/>
                <w:szCs w:val="22"/>
                <w:lang w:val="en-CA" w:eastAsia="en-CA"/>
              </w:rPr>
            </w:pPr>
            <w:r w:rsidRPr="00994B59">
              <w:rPr>
                <w:rFonts w:cs="Arial"/>
                <w:b/>
                <w:bCs/>
                <w:color w:val="000000"/>
                <w:szCs w:val="22"/>
                <w:lang w:val="en-CA" w:eastAsia="en-CA"/>
              </w:rPr>
              <w:t>KEY ACTIVITY/PRIORITISED INTERVENTION</w:t>
            </w:r>
          </w:p>
        </w:tc>
      </w:tr>
      <w:tr w:rsidR="00C04C81" w:rsidRPr="00994B59" w:rsidTr="0012442F">
        <w:trPr>
          <w:trHeight w:val="1440"/>
        </w:trPr>
        <w:tc>
          <w:tcPr>
            <w:tcW w:w="125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xml:space="preserve">Inadequate </w:t>
            </w:r>
            <w:r w:rsidRPr="00994B59">
              <w:rPr>
                <w:rFonts w:cs="Arial"/>
                <w:i/>
                <w:iCs/>
                <w:color w:val="000000"/>
                <w:szCs w:val="22"/>
                <w:lang w:val="en-CA" w:eastAsia="en-CA"/>
              </w:rPr>
              <w:t xml:space="preserve">capacity </w:t>
            </w:r>
            <w:r w:rsidRPr="00994B59">
              <w:rPr>
                <w:rFonts w:cs="Arial"/>
                <w:color w:val="000000"/>
                <w:szCs w:val="22"/>
                <w:lang w:val="en-CA" w:eastAsia="en-CA"/>
              </w:rPr>
              <w:t xml:space="preserve">and support to monitor procurements at district and sub-district levels </w:t>
            </w:r>
          </w:p>
        </w:tc>
        <w:tc>
          <w:tcPr>
            <w:tcW w:w="2256"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Draft Report: Review of Ghanaian Health Sector Medium Term Development Plan (HSMTDP 2010-2013) (Page 42-43)</w:t>
            </w:r>
          </w:p>
        </w:tc>
        <w:tc>
          <w:tcPr>
            <w:tcW w:w="149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xml:space="preserve">3.1  Reorganise the national and district stores to improve logistics management:  </w:t>
            </w:r>
          </w:p>
        </w:tc>
      </w:tr>
      <w:tr w:rsidR="00C04C81" w:rsidRPr="00994B59" w:rsidTr="0012442F">
        <w:trPr>
          <w:trHeight w:val="585"/>
        </w:trPr>
        <w:tc>
          <w:tcPr>
            <w:tcW w:w="125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2256"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Health Sector Medium Term Strateg</w:t>
            </w:r>
            <w:r>
              <w:rPr>
                <w:rFonts w:cs="Arial"/>
                <w:color w:val="000000"/>
                <w:szCs w:val="22"/>
                <w:lang w:val="en-CA" w:eastAsia="en-CA"/>
              </w:rPr>
              <w:t>y</w:t>
            </w:r>
            <w:r w:rsidRPr="00994B59">
              <w:rPr>
                <w:rFonts w:cs="Arial"/>
                <w:color w:val="000000"/>
                <w:szCs w:val="22"/>
                <w:lang w:val="en-CA" w:eastAsia="en-CA"/>
              </w:rPr>
              <w:t xml:space="preserve"> (Draft) 2014 - 2017(Page 24, 29)</w:t>
            </w:r>
          </w:p>
        </w:tc>
        <w:tc>
          <w:tcPr>
            <w:tcW w:w="149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r>
      <w:tr w:rsidR="00C04C81" w:rsidRPr="00994B59" w:rsidTr="0012442F">
        <w:trPr>
          <w:trHeight w:val="2010"/>
        </w:trPr>
        <w:tc>
          <w:tcPr>
            <w:tcW w:w="125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xml:space="preserve">Weak interconnectivity of logistics management information system at central, regional medical stores and district hospitals </w:t>
            </w:r>
          </w:p>
        </w:tc>
        <w:tc>
          <w:tcPr>
            <w:tcW w:w="2256"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149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xml:space="preserve">3.2 Build capacity, support and monitor procurements at district and sub district levels: </w:t>
            </w:r>
          </w:p>
        </w:tc>
      </w:tr>
      <w:tr w:rsidR="00C04C81" w:rsidRPr="00994B59" w:rsidTr="0012442F">
        <w:trPr>
          <w:trHeight w:val="2295"/>
        </w:trPr>
        <w:tc>
          <w:tcPr>
            <w:tcW w:w="125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Weakness in integration of district vaccine data management tool (DVD-MT) into LMIS</w:t>
            </w:r>
          </w:p>
        </w:tc>
        <w:tc>
          <w:tcPr>
            <w:tcW w:w="2256" w:type="pct"/>
            <w:tcBorders>
              <w:top w:val="nil"/>
              <w:left w:val="nil"/>
              <w:bottom w:val="single" w:sz="4" w:space="0" w:color="auto"/>
              <w:right w:val="single" w:sz="4" w:space="0" w:color="auto"/>
            </w:tcBorders>
            <w:shd w:val="clear" w:color="auto" w:fill="auto"/>
            <w:noWrap/>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149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xml:space="preserve">3.3 Improve the use of the central logistics management information system at regional medical stores and expand to regional and district hospitals to respond to demand: </w:t>
            </w:r>
          </w:p>
        </w:tc>
      </w:tr>
      <w:tr w:rsidR="00C04C81" w:rsidRPr="00994B59" w:rsidTr="0012442F">
        <w:trPr>
          <w:trHeight w:val="2010"/>
        </w:trPr>
        <w:tc>
          <w:tcPr>
            <w:tcW w:w="125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Weak infrastructure of regional and district medical stores coupled with low availability of transport and other logistics for timely distribution</w:t>
            </w:r>
          </w:p>
        </w:tc>
        <w:tc>
          <w:tcPr>
            <w:tcW w:w="2256"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Draft Report: Review of Ghanaian Health Sector Medium Term Development Plan (HSMTDP 2010-2013) (Page 42)</w:t>
            </w:r>
          </w:p>
        </w:tc>
        <w:tc>
          <w:tcPr>
            <w:tcW w:w="149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3.4 Integrate district vaccine data management tool (DVD-MT) into LMIS and DHIMS</w:t>
            </w:r>
          </w:p>
        </w:tc>
      </w:tr>
      <w:tr w:rsidR="00C04C81" w:rsidRPr="00994B59" w:rsidTr="0012442F">
        <w:trPr>
          <w:trHeight w:val="1155"/>
        </w:trPr>
        <w:tc>
          <w:tcPr>
            <w:tcW w:w="1252"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2256" w:type="pct"/>
            <w:tcBorders>
              <w:top w:val="nil"/>
              <w:left w:val="nil"/>
              <w:bottom w:val="single" w:sz="4" w:space="0" w:color="auto"/>
              <w:right w:val="single" w:sz="4" w:space="0" w:color="auto"/>
            </w:tcBorders>
            <w:shd w:val="clear" w:color="auto" w:fill="auto"/>
            <w:noWrap/>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149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3.5 Rehabilitation of Regional Medical Stores in Volta and Northern Region</w:t>
            </w:r>
          </w:p>
        </w:tc>
      </w:tr>
    </w:tbl>
    <w:p w:rsidR="00C04C81" w:rsidRDefault="00C04C81" w:rsidP="00C04C81">
      <w:pPr>
        <w:spacing w:after="200" w:line="276" w:lineRule="auto"/>
        <w:jc w:val="both"/>
        <w:rPr>
          <w:rFonts w:cs="Arial"/>
          <w:szCs w:val="22"/>
        </w:rPr>
      </w:pPr>
    </w:p>
    <w:p w:rsidR="00C04C81" w:rsidRPr="00B40A7C" w:rsidDel="00B72771" w:rsidRDefault="00C04C81" w:rsidP="00C04C81">
      <w:pPr>
        <w:spacing w:after="200" w:line="276" w:lineRule="auto"/>
        <w:jc w:val="both"/>
        <w:rPr>
          <w:rFonts w:cs="Arial"/>
          <w:szCs w:val="22"/>
        </w:rPr>
      </w:pPr>
      <w:r>
        <w:rPr>
          <w:rFonts w:cs="Arial"/>
          <w:szCs w:val="22"/>
        </w:rPr>
        <w:br w:type="page"/>
      </w:r>
    </w:p>
    <w:tbl>
      <w:tblPr>
        <w:tblW w:w="5000" w:type="pct"/>
        <w:tblLayout w:type="fixed"/>
        <w:tblLook w:val="04A0"/>
      </w:tblPr>
      <w:tblGrid>
        <w:gridCol w:w="2377"/>
        <w:gridCol w:w="3120"/>
        <w:gridCol w:w="4079"/>
      </w:tblGrid>
      <w:tr w:rsidR="00C04C81" w:rsidRPr="00994B59" w:rsidTr="0012442F">
        <w:trPr>
          <w:trHeight w:val="108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C04C81" w:rsidRDefault="00C04C81" w:rsidP="0012442F">
            <w:pPr>
              <w:jc w:val="center"/>
              <w:rPr>
                <w:rFonts w:cs="Arial"/>
                <w:b/>
                <w:bCs/>
                <w:color w:val="000000"/>
                <w:sz w:val="28"/>
                <w:szCs w:val="28"/>
                <w:lang w:val="en-CA" w:eastAsia="en-CA"/>
              </w:rPr>
            </w:pPr>
            <w:r w:rsidRPr="00994B59">
              <w:rPr>
                <w:rFonts w:cs="Arial"/>
                <w:b/>
                <w:bCs/>
                <w:color w:val="000000"/>
                <w:sz w:val="28"/>
                <w:szCs w:val="28"/>
                <w:lang w:val="en-CA" w:eastAsia="en-CA"/>
              </w:rPr>
              <w:t xml:space="preserve">Objective </w:t>
            </w:r>
            <w:r>
              <w:rPr>
                <w:rFonts w:cs="Arial"/>
                <w:b/>
                <w:bCs/>
                <w:color w:val="000000"/>
                <w:sz w:val="28"/>
                <w:szCs w:val="28"/>
                <w:lang w:val="en-CA" w:eastAsia="en-CA"/>
              </w:rPr>
              <w:t>4</w:t>
            </w:r>
            <w:r w:rsidRPr="00994B59">
              <w:rPr>
                <w:rFonts w:cs="Arial"/>
                <w:b/>
                <w:bCs/>
                <w:color w:val="000000"/>
                <w:sz w:val="28"/>
                <w:szCs w:val="28"/>
                <w:lang w:val="en-CA" w:eastAsia="en-CA"/>
              </w:rPr>
              <w:t>:  To empower Civil Society for increased demand for health services at the community level in targeted districts</w:t>
            </w:r>
          </w:p>
        </w:tc>
      </w:tr>
      <w:tr w:rsidR="00C04C81" w:rsidRPr="00994B59" w:rsidTr="0012442F">
        <w:trPr>
          <w:trHeight w:val="600"/>
        </w:trPr>
        <w:tc>
          <w:tcPr>
            <w:tcW w:w="1241" w:type="pct"/>
            <w:tcBorders>
              <w:top w:val="nil"/>
              <w:left w:val="single" w:sz="4" w:space="0" w:color="auto"/>
              <w:bottom w:val="single" w:sz="4" w:space="0" w:color="auto"/>
              <w:right w:val="single" w:sz="4" w:space="0" w:color="auto"/>
            </w:tcBorders>
            <w:shd w:val="clear" w:color="000000" w:fill="FDE9D9"/>
            <w:vAlign w:val="bottom"/>
          </w:tcPr>
          <w:p w:rsidR="00C04C81" w:rsidRPr="00994B59" w:rsidRDefault="00C04C81" w:rsidP="0012442F">
            <w:pPr>
              <w:rPr>
                <w:rFonts w:cs="Arial"/>
                <w:b/>
                <w:bCs/>
                <w:color w:val="000000"/>
                <w:szCs w:val="22"/>
                <w:lang w:val="en-CA" w:eastAsia="en-CA"/>
              </w:rPr>
            </w:pPr>
            <w:r w:rsidRPr="00994B59">
              <w:rPr>
                <w:rFonts w:cs="Arial"/>
                <w:b/>
                <w:bCs/>
                <w:color w:val="000000"/>
                <w:szCs w:val="22"/>
                <w:lang w:val="en-CA" w:eastAsia="en-CA"/>
              </w:rPr>
              <w:t>PRIORITY BOTTLENECKS</w:t>
            </w:r>
          </w:p>
        </w:tc>
        <w:tc>
          <w:tcPr>
            <w:tcW w:w="1629" w:type="pct"/>
            <w:tcBorders>
              <w:top w:val="nil"/>
              <w:left w:val="nil"/>
              <w:bottom w:val="single" w:sz="4" w:space="0" w:color="auto"/>
              <w:right w:val="single" w:sz="4" w:space="0" w:color="auto"/>
            </w:tcBorders>
            <w:shd w:val="clear" w:color="000000" w:fill="FDE9D9"/>
            <w:vAlign w:val="bottom"/>
          </w:tcPr>
          <w:p w:rsidR="00C04C81" w:rsidRPr="00994B59" w:rsidRDefault="00C04C81" w:rsidP="0012442F">
            <w:pPr>
              <w:rPr>
                <w:rFonts w:cs="Arial"/>
                <w:b/>
                <w:bCs/>
                <w:color w:val="000000"/>
                <w:szCs w:val="22"/>
                <w:lang w:val="en-CA" w:eastAsia="en-CA"/>
              </w:rPr>
            </w:pPr>
            <w:r w:rsidRPr="00994B59">
              <w:rPr>
                <w:rFonts w:cs="Arial"/>
                <w:b/>
                <w:bCs/>
                <w:color w:val="000000"/>
                <w:szCs w:val="22"/>
                <w:lang w:val="en-CA" w:eastAsia="en-CA"/>
              </w:rPr>
              <w:t>REFERENCE DOCUMENTS/ANALYTICAL WORKS</w:t>
            </w:r>
          </w:p>
        </w:tc>
        <w:tc>
          <w:tcPr>
            <w:tcW w:w="2131" w:type="pct"/>
            <w:tcBorders>
              <w:top w:val="nil"/>
              <w:left w:val="nil"/>
              <w:bottom w:val="single" w:sz="4" w:space="0" w:color="auto"/>
              <w:right w:val="single" w:sz="4" w:space="0" w:color="auto"/>
            </w:tcBorders>
            <w:shd w:val="clear" w:color="000000" w:fill="FDE9D9"/>
            <w:vAlign w:val="bottom"/>
          </w:tcPr>
          <w:p w:rsidR="00C04C81" w:rsidRPr="00994B59" w:rsidRDefault="00C04C81" w:rsidP="0012442F">
            <w:pPr>
              <w:rPr>
                <w:rFonts w:cs="Arial"/>
                <w:b/>
                <w:bCs/>
                <w:szCs w:val="22"/>
                <w:lang w:val="en-CA" w:eastAsia="en-CA"/>
              </w:rPr>
            </w:pPr>
            <w:r w:rsidRPr="00994B59">
              <w:rPr>
                <w:rFonts w:cs="Arial"/>
                <w:b/>
                <w:bCs/>
                <w:szCs w:val="22"/>
                <w:lang w:val="en-CA" w:eastAsia="en-CA"/>
              </w:rPr>
              <w:t>KEY ACTIVITY/PRIORITISED INTERVENTION</w:t>
            </w:r>
          </w:p>
        </w:tc>
      </w:tr>
      <w:tr w:rsidR="00C04C81" w:rsidRPr="00994B59" w:rsidTr="0012442F">
        <w:trPr>
          <w:trHeight w:val="1440"/>
        </w:trPr>
        <w:tc>
          <w:tcPr>
            <w:tcW w:w="1241"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jc w:val="both"/>
              <w:rPr>
                <w:rFonts w:cs="Arial"/>
                <w:color w:val="000000"/>
                <w:szCs w:val="22"/>
                <w:lang w:val="en-CA" w:eastAsia="en-CA"/>
              </w:rPr>
            </w:pPr>
            <w:r w:rsidRPr="00994B59">
              <w:rPr>
                <w:rFonts w:cs="Arial"/>
                <w:color w:val="000000"/>
                <w:szCs w:val="22"/>
                <w:lang w:val="en-CA" w:eastAsia="en-CA"/>
              </w:rPr>
              <w:t xml:space="preserve">Inadequate funding to undertake impact-oriented community level interventions by CSOs and </w:t>
            </w:r>
          </w:p>
        </w:tc>
        <w:tc>
          <w:tcPr>
            <w:tcW w:w="1629"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Immunization Programme</w:t>
            </w:r>
            <w:r w:rsidRPr="00994B59">
              <w:rPr>
                <w:rFonts w:cs="Arial"/>
                <w:color w:val="000000"/>
                <w:szCs w:val="22"/>
                <w:lang w:val="en-CA" w:eastAsia="en-CA"/>
              </w:rPr>
              <w:br/>
              <w:t>Comprehensive Multi-Year Plan</w:t>
            </w:r>
            <w:r w:rsidRPr="00994B59">
              <w:rPr>
                <w:rFonts w:cs="Arial"/>
                <w:color w:val="000000"/>
                <w:szCs w:val="22"/>
                <w:lang w:val="en-CA" w:eastAsia="en-CA"/>
              </w:rPr>
              <w:br/>
              <w:t>(2010-2014), Ministry Of Health/Ghana Health Service, 2011 (Page 17)</w:t>
            </w:r>
          </w:p>
        </w:tc>
        <w:tc>
          <w:tcPr>
            <w:tcW w:w="2131" w:type="pct"/>
            <w:tcBorders>
              <w:top w:val="nil"/>
              <w:left w:val="nil"/>
              <w:bottom w:val="single" w:sz="4" w:space="0" w:color="auto"/>
              <w:right w:val="single" w:sz="4" w:space="0" w:color="auto"/>
            </w:tcBorders>
            <w:shd w:val="clear" w:color="auto" w:fill="auto"/>
            <w:noWrap/>
            <w:vAlign w:val="bottom"/>
          </w:tcPr>
          <w:p w:rsidR="00C04C81" w:rsidRPr="00994B59" w:rsidRDefault="00C04C81" w:rsidP="0012442F">
            <w:pPr>
              <w:jc w:val="both"/>
              <w:rPr>
                <w:rFonts w:cs="Arial"/>
                <w:szCs w:val="22"/>
                <w:lang w:val="en-CA" w:eastAsia="en-CA"/>
              </w:rPr>
            </w:pPr>
            <w:r w:rsidRPr="00994B59">
              <w:rPr>
                <w:rFonts w:cs="Arial"/>
                <w:szCs w:val="22"/>
                <w:lang w:val="en-CA" w:eastAsia="en-CA"/>
              </w:rPr>
              <w:t>4.1</w:t>
            </w:r>
            <w:r w:rsidRPr="00994B59">
              <w:rPr>
                <w:rFonts w:cs="Arial"/>
                <w:sz w:val="14"/>
                <w:szCs w:val="14"/>
                <w:lang w:val="en-CA" w:eastAsia="en-CA"/>
              </w:rPr>
              <w:t xml:space="preserve">  </w:t>
            </w:r>
            <w:r w:rsidRPr="00994B59">
              <w:rPr>
                <w:rFonts w:cs="Arial"/>
                <w:szCs w:val="22"/>
                <w:lang w:val="en-CA" w:eastAsia="en-CA"/>
              </w:rPr>
              <w:t>Strengthen the national level (GCNH)  to coordinate CSOs activities in health</w:t>
            </w:r>
          </w:p>
        </w:tc>
      </w:tr>
      <w:tr w:rsidR="00C04C81" w:rsidRPr="00994B59" w:rsidTr="0012442F">
        <w:trPr>
          <w:trHeight w:val="1155"/>
        </w:trPr>
        <w:tc>
          <w:tcPr>
            <w:tcW w:w="1241"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626D54">
            <w:pPr>
              <w:rPr>
                <w:rFonts w:cs="Arial"/>
                <w:color w:val="000000"/>
                <w:szCs w:val="22"/>
                <w:lang w:val="en-CA" w:eastAsia="en-CA"/>
              </w:rPr>
            </w:pPr>
            <w:r w:rsidRPr="00994B59">
              <w:rPr>
                <w:rFonts w:cs="Arial"/>
                <w:color w:val="000000"/>
                <w:szCs w:val="22"/>
                <w:lang w:val="en-CA" w:eastAsia="en-CA"/>
              </w:rPr>
              <w:t>Poor incentive support for working in hard to reach areas</w:t>
            </w:r>
          </w:p>
        </w:tc>
        <w:tc>
          <w:tcPr>
            <w:tcW w:w="1629"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Immunization Programme</w:t>
            </w:r>
            <w:r w:rsidRPr="00994B59">
              <w:rPr>
                <w:rFonts w:cs="Arial"/>
                <w:color w:val="000000"/>
                <w:szCs w:val="22"/>
                <w:lang w:val="en-CA" w:eastAsia="en-CA"/>
              </w:rPr>
              <w:br/>
              <w:t>Comprehensive Multi-Year Plan</w:t>
            </w:r>
            <w:r w:rsidRPr="00994B59">
              <w:rPr>
                <w:rFonts w:cs="Arial"/>
                <w:color w:val="000000"/>
                <w:szCs w:val="22"/>
                <w:lang w:val="en-CA" w:eastAsia="en-CA"/>
              </w:rPr>
              <w:br/>
              <w:t>(2010-2014), Ministry Of Health/Ghana Health Service, 2011 (Page 31-36)</w:t>
            </w:r>
          </w:p>
        </w:tc>
        <w:tc>
          <w:tcPr>
            <w:tcW w:w="2131" w:type="pct"/>
            <w:tcBorders>
              <w:top w:val="nil"/>
              <w:left w:val="nil"/>
              <w:bottom w:val="single" w:sz="4" w:space="0" w:color="auto"/>
              <w:right w:val="single" w:sz="4" w:space="0" w:color="auto"/>
            </w:tcBorders>
            <w:shd w:val="clear" w:color="auto" w:fill="auto"/>
            <w:noWrap/>
            <w:vAlign w:val="bottom"/>
          </w:tcPr>
          <w:p w:rsidR="00C04C81" w:rsidRPr="00994B59" w:rsidRDefault="00C04C81" w:rsidP="0012442F">
            <w:pPr>
              <w:jc w:val="both"/>
              <w:rPr>
                <w:rFonts w:cs="Arial"/>
                <w:szCs w:val="22"/>
                <w:lang w:val="en-CA" w:eastAsia="en-CA"/>
              </w:rPr>
            </w:pPr>
            <w:r w:rsidRPr="00994B59">
              <w:rPr>
                <w:rFonts w:cs="Arial"/>
                <w:szCs w:val="22"/>
                <w:lang w:val="en-CA" w:eastAsia="en-CA"/>
              </w:rPr>
              <w:t>4.2</w:t>
            </w:r>
            <w:r w:rsidRPr="00994B59">
              <w:rPr>
                <w:rFonts w:cs="Arial"/>
                <w:sz w:val="14"/>
                <w:szCs w:val="14"/>
                <w:lang w:val="en-CA" w:eastAsia="en-CA"/>
              </w:rPr>
              <w:t xml:space="preserve">  </w:t>
            </w:r>
            <w:r w:rsidRPr="00994B59">
              <w:rPr>
                <w:rFonts w:cs="Arial"/>
                <w:szCs w:val="22"/>
                <w:lang w:val="en-CA" w:eastAsia="en-CA"/>
              </w:rPr>
              <w:t>Develop capacity of CSOs to better support community level services, including mainstreaming gender</w:t>
            </w:r>
          </w:p>
        </w:tc>
      </w:tr>
      <w:tr w:rsidR="00C04C81" w:rsidRPr="00994B59" w:rsidTr="0012442F">
        <w:trPr>
          <w:trHeight w:val="1800"/>
        </w:trPr>
        <w:tc>
          <w:tcPr>
            <w:tcW w:w="1241"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b/>
                <w:bCs/>
                <w:color w:val="000000"/>
                <w:szCs w:val="22"/>
                <w:lang w:val="en-CA" w:eastAsia="en-CA"/>
              </w:rPr>
            </w:pPr>
            <w:r w:rsidRPr="00994B59">
              <w:rPr>
                <w:rFonts w:cs="Arial"/>
                <w:b/>
                <w:bCs/>
                <w:color w:val="000000"/>
                <w:szCs w:val="22"/>
                <w:lang w:val="en-CA" w:eastAsia="en-CA"/>
              </w:rPr>
              <w:t xml:space="preserve">Low coverage of key essential health interventions (including immunization) in some population: </w:t>
            </w:r>
          </w:p>
        </w:tc>
        <w:tc>
          <w:tcPr>
            <w:tcW w:w="1629"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Immunization Programme</w:t>
            </w:r>
            <w:r w:rsidRPr="00994B59">
              <w:rPr>
                <w:rFonts w:cs="Arial"/>
                <w:color w:val="000000"/>
                <w:szCs w:val="22"/>
                <w:lang w:val="en-CA" w:eastAsia="en-CA"/>
              </w:rPr>
              <w:br/>
              <w:t>Comprehensive Multi-Year Plan</w:t>
            </w:r>
            <w:r w:rsidRPr="00994B59">
              <w:rPr>
                <w:rFonts w:cs="Arial"/>
                <w:color w:val="000000"/>
                <w:szCs w:val="22"/>
                <w:lang w:val="en-CA" w:eastAsia="en-CA"/>
              </w:rPr>
              <w:br/>
              <w:t>(2010-2014), Ministry Of Health/Ghana Health Service, 2011 (Page 31-36)</w:t>
            </w:r>
          </w:p>
        </w:tc>
        <w:tc>
          <w:tcPr>
            <w:tcW w:w="2131" w:type="pct"/>
            <w:tcBorders>
              <w:top w:val="nil"/>
              <w:left w:val="nil"/>
              <w:bottom w:val="single" w:sz="4" w:space="0" w:color="auto"/>
              <w:right w:val="single" w:sz="4" w:space="0" w:color="auto"/>
            </w:tcBorders>
            <w:shd w:val="clear" w:color="auto" w:fill="auto"/>
            <w:noWrap/>
            <w:vAlign w:val="bottom"/>
          </w:tcPr>
          <w:p w:rsidR="00C04C81" w:rsidRPr="00994B59" w:rsidRDefault="00C04C81" w:rsidP="0012442F">
            <w:pPr>
              <w:jc w:val="both"/>
              <w:rPr>
                <w:rFonts w:cs="Arial"/>
                <w:szCs w:val="22"/>
                <w:lang w:val="en-CA" w:eastAsia="en-CA"/>
              </w:rPr>
            </w:pPr>
            <w:r w:rsidRPr="00994B59">
              <w:rPr>
                <w:rFonts w:cs="Arial"/>
                <w:szCs w:val="22"/>
                <w:lang w:val="en-CA" w:eastAsia="en-CA"/>
              </w:rPr>
              <w:t>4.3 Establish and build the capacities of five satellite sites for CSOs to support community service delivery</w:t>
            </w:r>
          </w:p>
        </w:tc>
      </w:tr>
      <w:tr w:rsidR="00C04C81" w:rsidRPr="00994B59" w:rsidTr="0012442F">
        <w:trPr>
          <w:trHeight w:val="870"/>
        </w:trPr>
        <w:tc>
          <w:tcPr>
            <w:tcW w:w="1241"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1629" w:type="pct"/>
            <w:tcBorders>
              <w:top w:val="nil"/>
              <w:left w:val="nil"/>
              <w:bottom w:val="single" w:sz="4" w:space="0" w:color="auto"/>
              <w:right w:val="single" w:sz="4" w:space="0" w:color="auto"/>
            </w:tcBorders>
            <w:shd w:val="clear" w:color="auto" w:fill="auto"/>
            <w:noWrap/>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2131" w:type="pct"/>
            <w:tcBorders>
              <w:top w:val="nil"/>
              <w:left w:val="nil"/>
              <w:bottom w:val="single" w:sz="4" w:space="0" w:color="auto"/>
              <w:right w:val="single" w:sz="4" w:space="0" w:color="auto"/>
            </w:tcBorders>
            <w:shd w:val="clear" w:color="auto" w:fill="auto"/>
            <w:noWrap/>
            <w:vAlign w:val="bottom"/>
          </w:tcPr>
          <w:p w:rsidR="00C04C81" w:rsidRPr="00994B59" w:rsidRDefault="00C04C81" w:rsidP="0012442F">
            <w:pPr>
              <w:jc w:val="both"/>
              <w:rPr>
                <w:rFonts w:cs="Arial"/>
                <w:szCs w:val="22"/>
                <w:lang w:val="en-CA" w:eastAsia="en-CA"/>
              </w:rPr>
            </w:pPr>
            <w:r w:rsidRPr="00994B59">
              <w:rPr>
                <w:rFonts w:cs="Arial"/>
                <w:szCs w:val="22"/>
                <w:lang w:val="en-CA" w:eastAsia="en-CA"/>
              </w:rPr>
              <w:t>4.4</w:t>
            </w:r>
            <w:r w:rsidRPr="00994B59">
              <w:rPr>
                <w:rFonts w:cs="Arial"/>
                <w:sz w:val="14"/>
                <w:szCs w:val="14"/>
                <w:lang w:val="en-CA" w:eastAsia="en-CA"/>
              </w:rPr>
              <w:t xml:space="preserve">  </w:t>
            </w:r>
            <w:r w:rsidRPr="00994B59">
              <w:rPr>
                <w:rFonts w:cs="Arial"/>
                <w:szCs w:val="22"/>
                <w:lang w:val="en-CA" w:eastAsia="en-CA"/>
              </w:rPr>
              <w:t>Recruit/train community Health nurses and Midwives to partner CSOs to operate in the establish satellite sites in hard  to  reach communities</w:t>
            </w:r>
          </w:p>
        </w:tc>
      </w:tr>
      <w:tr w:rsidR="00C04C81" w:rsidRPr="00994B59" w:rsidTr="0012442F">
        <w:trPr>
          <w:trHeight w:val="1440"/>
        </w:trPr>
        <w:tc>
          <w:tcPr>
            <w:tcW w:w="1241"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1629" w:type="pct"/>
            <w:tcBorders>
              <w:top w:val="nil"/>
              <w:left w:val="nil"/>
              <w:bottom w:val="single" w:sz="4" w:space="0" w:color="auto"/>
              <w:right w:val="single" w:sz="4" w:space="0" w:color="auto"/>
            </w:tcBorders>
            <w:shd w:val="clear" w:color="auto" w:fill="auto"/>
            <w:noWrap/>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2131" w:type="pct"/>
            <w:tcBorders>
              <w:top w:val="nil"/>
              <w:left w:val="nil"/>
              <w:bottom w:val="single" w:sz="4" w:space="0" w:color="auto"/>
              <w:right w:val="single" w:sz="4" w:space="0" w:color="auto"/>
            </w:tcBorders>
            <w:shd w:val="clear" w:color="auto" w:fill="auto"/>
            <w:noWrap/>
            <w:vAlign w:val="bottom"/>
          </w:tcPr>
          <w:p w:rsidR="00C04C81" w:rsidRPr="00994B59" w:rsidRDefault="00C04C81" w:rsidP="0012442F">
            <w:pPr>
              <w:jc w:val="both"/>
              <w:rPr>
                <w:rFonts w:cs="Arial"/>
                <w:szCs w:val="22"/>
                <w:lang w:val="en-CA" w:eastAsia="en-CA"/>
              </w:rPr>
            </w:pPr>
            <w:r w:rsidRPr="00994B59">
              <w:rPr>
                <w:rFonts w:cs="Arial"/>
                <w:szCs w:val="22"/>
                <w:lang w:val="en-CA" w:eastAsia="en-CA"/>
              </w:rPr>
              <w:t>4.5 Undertake monthly community outreach activities  in partnership with  train community Health nurses and Midwives retired community health personnel  in  hard-to- reach communities in the selected 20 districts</w:t>
            </w:r>
          </w:p>
        </w:tc>
      </w:tr>
    </w:tbl>
    <w:p w:rsidR="00C04C81" w:rsidRDefault="00C04C81" w:rsidP="00C04C81">
      <w:pPr>
        <w:spacing w:after="200" w:line="276" w:lineRule="auto"/>
        <w:jc w:val="both"/>
        <w:rPr>
          <w:rFonts w:cs="Arial"/>
          <w:szCs w:val="22"/>
        </w:rPr>
      </w:pPr>
    </w:p>
    <w:p w:rsidR="00C04C81" w:rsidRPr="00B40A7C" w:rsidDel="00B72771" w:rsidRDefault="00C04C81" w:rsidP="00C04C81">
      <w:pPr>
        <w:spacing w:after="200" w:line="276" w:lineRule="auto"/>
        <w:jc w:val="both"/>
        <w:rPr>
          <w:rFonts w:cs="Arial"/>
          <w:szCs w:val="22"/>
        </w:rPr>
      </w:pPr>
      <w:r>
        <w:rPr>
          <w:rFonts w:cs="Arial"/>
          <w:szCs w:val="22"/>
        </w:rPr>
        <w:br w:type="page"/>
      </w:r>
    </w:p>
    <w:tbl>
      <w:tblPr>
        <w:tblW w:w="5000" w:type="pct"/>
        <w:tblLook w:val="04A0"/>
      </w:tblPr>
      <w:tblGrid>
        <w:gridCol w:w="3086"/>
        <w:gridCol w:w="3738"/>
        <w:gridCol w:w="2752"/>
      </w:tblGrid>
      <w:tr w:rsidR="00C04C81" w:rsidRPr="00994B59" w:rsidTr="0012442F">
        <w:trPr>
          <w:trHeight w:val="105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C04C81" w:rsidRPr="00994B59" w:rsidRDefault="00C04C81" w:rsidP="0012442F">
            <w:pPr>
              <w:jc w:val="center"/>
              <w:rPr>
                <w:rFonts w:cs="Arial"/>
                <w:b/>
                <w:bCs/>
                <w:color w:val="000000"/>
                <w:szCs w:val="22"/>
                <w:lang w:val="en-CA" w:eastAsia="en-CA"/>
              </w:rPr>
            </w:pPr>
            <w:r w:rsidRPr="00994B59">
              <w:rPr>
                <w:rFonts w:cs="Arial"/>
                <w:b/>
                <w:bCs/>
                <w:color w:val="000000"/>
                <w:szCs w:val="22"/>
                <w:lang w:val="en-CA" w:eastAsia="en-CA"/>
              </w:rPr>
              <w:t>5. To strengthen governance and health information management for improved health service delivery</w:t>
            </w:r>
          </w:p>
        </w:tc>
      </w:tr>
      <w:tr w:rsidR="00C04C81" w:rsidRPr="00994B59" w:rsidTr="0012442F">
        <w:trPr>
          <w:trHeight w:val="900"/>
        </w:trPr>
        <w:tc>
          <w:tcPr>
            <w:tcW w:w="1611" w:type="pct"/>
            <w:tcBorders>
              <w:top w:val="nil"/>
              <w:left w:val="single" w:sz="4" w:space="0" w:color="auto"/>
              <w:bottom w:val="single" w:sz="4" w:space="0" w:color="auto"/>
              <w:right w:val="single" w:sz="4" w:space="0" w:color="auto"/>
            </w:tcBorders>
            <w:shd w:val="clear" w:color="000000" w:fill="FDE9D9"/>
            <w:vAlign w:val="bottom"/>
          </w:tcPr>
          <w:p w:rsidR="00C04C81" w:rsidRPr="00994B59" w:rsidRDefault="00C04C81" w:rsidP="0012442F">
            <w:pPr>
              <w:rPr>
                <w:rFonts w:cs="Arial"/>
                <w:b/>
                <w:bCs/>
                <w:color w:val="000000"/>
                <w:szCs w:val="22"/>
                <w:lang w:val="en-CA" w:eastAsia="en-CA"/>
              </w:rPr>
            </w:pPr>
            <w:r w:rsidRPr="00994B59">
              <w:rPr>
                <w:rFonts w:cs="Arial"/>
                <w:b/>
                <w:bCs/>
                <w:color w:val="000000"/>
                <w:szCs w:val="22"/>
                <w:lang w:val="en-CA" w:eastAsia="en-CA"/>
              </w:rPr>
              <w:t>PRIORITY BOTTLENECKS</w:t>
            </w:r>
          </w:p>
        </w:tc>
        <w:tc>
          <w:tcPr>
            <w:tcW w:w="1952" w:type="pct"/>
            <w:tcBorders>
              <w:top w:val="nil"/>
              <w:left w:val="nil"/>
              <w:bottom w:val="single" w:sz="4" w:space="0" w:color="auto"/>
              <w:right w:val="single" w:sz="4" w:space="0" w:color="auto"/>
            </w:tcBorders>
            <w:shd w:val="clear" w:color="000000" w:fill="FDE9D9"/>
            <w:vAlign w:val="bottom"/>
          </w:tcPr>
          <w:p w:rsidR="00C04C81" w:rsidRPr="00994B59" w:rsidRDefault="00C04C81" w:rsidP="0012442F">
            <w:pPr>
              <w:rPr>
                <w:rFonts w:cs="Arial"/>
                <w:b/>
                <w:bCs/>
                <w:color w:val="000000"/>
                <w:szCs w:val="22"/>
                <w:lang w:val="en-CA" w:eastAsia="en-CA"/>
              </w:rPr>
            </w:pPr>
            <w:r w:rsidRPr="00994B59">
              <w:rPr>
                <w:rFonts w:cs="Arial"/>
                <w:b/>
                <w:bCs/>
                <w:color w:val="000000"/>
                <w:szCs w:val="22"/>
                <w:lang w:val="en-CA" w:eastAsia="en-CA"/>
              </w:rPr>
              <w:t>REFERENCE DOCUMENTS/ANALYTICAL WORKS</w:t>
            </w:r>
          </w:p>
        </w:tc>
        <w:tc>
          <w:tcPr>
            <w:tcW w:w="1437" w:type="pct"/>
            <w:tcBorders>
              <w:top w:val="nil"/>
              <w:left w:val="nil"/>
              <w:bottom w:val="single" w:sz="4" w:space="0" w:color="auto"/>
              <w:right w:val="single" w:sz="4" w:space="0" w:color="auto"/>
            </w:tcBorders>
            <w:shd w:val="clear" w:color="000000" w:fill="FDE9D9"/>
            <w:vAlign w:val="bottom"/>
          </w:tcPr>
          <w:p w:rsidR="00C04C81" w:rsidRPr="00994B59" w:rsidRDefault="00C04C81" w:rsidP="0012442F">
            <w:pPr>
              <w:rPr>
                <w:rFonts w:cs="Arial"/>
                <w:b/>
                <w:bCs/>
                <w:szCs w:val="22"/>
                <w:lang w:val="en-CA" w:eastAsia="en-CA"/>
              </w:rPr>
            </w:pPr>
            <w:r w:rsidRPr="00994B59">
              <w:rPr>
                <w:rFonts w:cs="Arial"/>
                <w:b/>
                <w:bCs/>
                <w:szCs w:val="22"/>
                <w:lang w:val="en-CA" w:eastAsia="en-CA"/>
              </w:rPr>
              <w:t>KEY ACTIVITY/PRIORITISED INTERVENTION</w:t>
            </w:r>
          </w:p>
        </w:tc>
      </w:tr>
      <w:tr w:rsidR="00C04C81" w:rsidRPr="00994B59" w:rsidTr="0012442F">
        <w:trPr>
          <w:trHeight w:val="2295"/>
        </w:trPr>
        <w:tc>
          <w:tcPr>
            <w:tcW w:w="1611"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xml:space="preserve">Poor documentation and data management for effective planning and decision making at the operational level: </w:t>
            </w:r>
          </w:p>
        </w:tc>
        <w:tc>
          <w:tcPr>
            <w:tcW w:w="195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Health Sector Medium Term Strateg</w:t>
            </w:r>
            <w:r>
              <w:rPr>
                <w:rFonts w:cs="Arial"/>
                <w:color w:val="000000"/>
                <w:szCs w:val="22"/>
                <w:lang w:val="en-CA" w:eastAsia="en-CA"/>
              </w:rPr>
              <w:t>y</w:t>
            </w:r>
            <w:r w:rsidRPr="00994B59">
              <w:rPr>
                <w:rFonts w:cs="Arial"/>
                <w:color w:val="000000"/>
                <w:szCs w:val="22"/>
                <w:lang w:val="en-CA" w:eastAsia="en-CA"/>
              </w:rPr>
              <w:t xml:space="preserve"> (Draft) 2014 - 2017(Page 19, 33)</w:t>
            </w:r>
          </w:p>
        </w:tc>
        <w:tc>
          <w:tcPr>
            <w:tcW w:w="1437"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szCs w:val="22"/>
                <w:lang w:val="en-CA" w:eastAsia="en-CA"/>
              </w:rPr>
            </w:pPr>
            <w:r w:rsidRPr="00994B59">
              <w:rPr>
                <w:rFonts w:cs="Arial"/>
                <w:szCs w:val="22"/>
                <w:lang w:val="en-CA" w:eastAsia="en-CA"/>
              </w:rPr>
              <w:t>5.1 Upgrade DHIMSII, build the capacity of health information officers  and CHOs and undertake quarterly technical and financial data validation at d</w:t>
            </w:r>
            <w:r>
              <w:rPr>
                <w:rFonts w:cs="Arial"/>
                <w:szCs w:val="22"/>
                <w:lang w:val="en-CA" w:eastAsia="en-CA"/>
              </w:rPr>
              <w:t>i</w:t>
            </w:r>
            <w:r w:rsidRPr="00994B59">
              <w:rPr>
                <w:rFonts w:cs="Arial"/>
                <w:szCs w:val="22"/>
                <w:lang w:val="en-CA" w:eastAsia="en-CA"/>
              </w:rPr>
              <w:t>strict and sub-district levels</w:t>
            </w:r>
          </w:p>
        </w:tc>
      </w:tr>
      <w:tr w:rsidR="00C04C81" w:rsidRPr="00994B59" w:rsidTr="0012442F">
        <w:trPr>
          <w:trHeight w:val="2280"/>
        </w:trPr>
        <w:tc>
          <w:tcPr>
            <w:tcW w:w="1611"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xml:space="preserve">Inadequate operational research to inform policy and decision making: </w:t>
            </w:r>
          </w:p>
        </w:tc>
        <w:tc>
          <w:tcPr>
            <w:tcW w:w="195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Health Sector Medium Term Strateg</w:t>
            </w:r>
            <w:r>
              <w:rPr>
                <w:rFonts w:cs="Arial"/>
                <w:color w:val="000000"/>
                <w:szCs w:val="22"/>
                <w:lang w:val="en-CA" w:eastAsia="en-CA"/>
              </w:rPr>
              <w:t>y</w:t>
            </w:r>
            <w:r w:rsidRPr="00994B59">
              <w:rPr>
                <w:rFonts w:cs="Arial"/>
                <w:color w:val="000000"/>
                <w:szCs w:val="22"/>
                <w:lang w:val="en-CA" w:eastAsia="en-CA"/>
              </w:rPr>
              <w:t xml:space="preserve"> (Draft) 2014 - 2017(Page 17, 19)</w:t>
            </w:r>
          </w:p>
        </w:tc>
        <w:tc>
          <w:tcPr>
            <w:tcW w:w="1437" w:type="pct"/>
            <w:tcBorders>
              <w:top w:val="nil"/>
              <w:left w:val="nil"/>
              <w:bottom w:val="single" w:sz="4" w:space="0" w:color="auto"/>
              <w:right w:val="single" w:sz="4" w:space="0" w:color="auto"/>
            </w:tcBorders>
            <w:shd w:val="clear" w:color="auto" w:fill="auto"/>
          </w:tcPr>
          <w:p w:rsidR="00C04C81" w:rsidRPr="00994B59" w:rsidRDefault="00C04C81" w:rsidP="0012442F">
            <w:pPr>
              <w:jc w:val="both"/>
              <w:rPr>
                <w:rFonts w:cs="Arial"/>
                <w:szCs w:val="22"/>
                <w:lang w:val="en-CA" w:eastAsia="en-CA"/>
              </w:rPr>
            </w:pPr>
            <w:r w:rsidRPr="00994B59">
              <w:rPr>
                <w:rFonts w:cs="Arial"/>
                <w:szCs w:val="22"/>
                <w:lang w:val="en-CA" w:eastAsia="en-CA"/>
              </w:rPr>
              <w:t>5.2 Review and revise existing records management information system (manual and electronic) and expand the use of the hospital electronic information software</w:t>
            </w:r>
          </w:p>
        </w:tc>
      </w:tr>
      <w:tr w:rsidR="00C04C81" w:rsidRPr="00994B59" w:rsidTr="0012442F">
        <w:trPr>
          <w:trHeight w:val="1515"/>
        </w:trPr>
        <w:tc>
          <w:tcPr>
            <w:tcW w:w="1611"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195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1437" w:type="pct"/>
            <w:tcBorders>
              <w:top w:val="nil"/>
              <w:left w:val="nil"/>
              <w:bottom w:val="single" w:sz="4" w:space="0" w:color="auto"/>
              <w:right w:val="single" w:sz="4" w:space="0" w:color="auto"/>
            </w:tcBorders>
            <w:shd w:val="clear" w:color="auto" w:fill="auto"/>
          </w:tcPr>
          <w:p w:rsidR="00C04C81" w:rsidRPr="00994B59" w:rsidRDefault="00C04C81" w:rsidP="0012442F">
            <w:pPr>
              <w:jc w:val="both"/>
              <w:rPr>
                <w:rFonts w:cs="Arial"/>
                <w:szCs w:val="22"/>
                <w:lang w:val="en-CA" w:eastAsia="en-CA"/>
              </w:rPr>
            </w:pPr>
            <w:r w:rsidRPr="00994B59">
              <w:rPr>
                <w:rFonts w:cs="Arial"/>
                <w:szCs w:val="22"/>
                <w:lang w:val="en-CA" w:eastAsia="en-CA"/>
              </w:rPr>
              <w:t>5.3 Improve capacity of subdistrict and CHPS Zones staff in micro-planning and develop micro-plans at these levels</w:t>
            </w:r>
          </w:p>
        </w:tc>
      </w:tr>
      <w:tr w:rsidR="00C04C81" w:rsidRPr="00994B59" w:rsidTr="0012442F">
        <w:trPr>
          <w:trHeight w:val="261"/>
        </w:trPr>
        <w:tc>
          <w:tcPr>
            <w:tcW w:w="1611"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xml:space="preserve">Weak capacity for micro planning and management at the sub district and CHPS Zone Level: </w:t>
            </w:r>
          </w:p>
        </w:tc>
        <w:tc>
          <w:tcPr>
            <w:tcW w:w="195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1437" w:type="pct"/>
            <w:tcBorders>
              <w:top w:val="nil"/>
              <w:left w:val="nil"/>
              <w:bottom w:val="single" w:sz="4" w:space="0" w:color="auto"/>
              <w:right w:val="single" w:sz="4" w:space="0" w:color="auto"/>
            </w:tcBorders>
            <w:shd w:val="clear" w:color="auto" w:fill="auto"/>
          </w:tcPr>
          <w:p w:rsidR="00C04C81" w:rsidRPr="00994B59" w:rsidRDefault="00C04C81" w:rsidP="0012442F">
            <w:pPr>
              <w:jc w:val="both"/>
              <w:rPr>
                <w:rFonts w:cs="Arial"/>
                <w:szCs w:val="22"/>
                <w:lang w:val="en-CA" w:eastAsia="en-CA"/>
              </w:rPr>
            </w:pPr>
            <w:r w:rsidRPr="00994B59">
              <w:rPr>
                <w:rFonts w:cs="Arial"/>
                <w:szCs w:val="22"/>
                <w:lang w:val="en-CA" w:eastAsia="en-CA"/>
              </w:rPr>
              <w:t xml:space="preserve">5.4 Support joint annual performance reviews, budgetary planning and implementation and financial reporting system  </w:t>
            </w:r>
          </w:p>
        </w:tc>
      </w:tr>
      <w:tr w:rsidR="00C04C81" w:rsidRPr="00994B59" w:rsidTr="0012442F">
        <w:trPr>
          <w:trHeight w:val="2085"/>
        </w:trPr>
        <w:tc>
          <w:tcPr>
            <w:tcW w:w="1611"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xml:space="preserve">Inadequate funds at the operational level for training, outreach services, social mobilization activities, supervision, maintenance of equipment </w:t>
            </w:r>
          </w:p>
        </w:tc>
        <w:tc>
          <w:tcPr>
            <w:tcW w:w="195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Health Sector Medium Term Strateg</w:t>
            </w:r>
            <w:r>
              <w:rPr>
                <w:rFonts w:cs="Arial"/>
                <w:color w:val="000000"/>
                <w:szCs w:val="22"/>
                <w:lang w:val="en-CA" w:eastAsia="en-CA"/>
              </w:rPr>
              <w:t>y</w:t>
            </w:r>
            <w:r w:rsidRPr="00994B59">
              <w:rPr>
                <w:rFonts w:cs="Arial"/>
                <w:color w:val="000000"/>
                <w:szCs w:val="22"/>
                <w:lang w:val="en-CA" w:eastAsia="en-CA"/>
              </w:rPr>
              <w:t xml:space="preserve"> (Draft) 2014 - 2017(Page, 31)</w:t>
            </w:r>
          </w:p>
        </w:tc>
        <w:tc>
          <w:tcPr>
            <w:tcW w:w="1437" w:type="pct"/>
            <w:tcBorders>
              <w:top w:val="nil"/>
              <w:left w:val="nil"/>
              <w:bottom w:val="single" w:sz="4" w:space="0" w:color="auto"/>
              <w:right w:val="single" w:sz="4" w:space="0" w:color="auto"/>
            </w:tcBorders>
            <w:shd w:val="clear" w:color="auto" w:fill="auto"/>
          </w:tcPr>
          <w:p w:rsidR="00C04C81" w:rsidRPr="00994B59" w:rsidRDefault="00C04C81" w:rsidP="0012442F">
            <w:pPr>
              <w:jc w:val="both"/>
              <w:rPr>
                <w:rFonts w:cs="Arial"/>
                <w:szCs w:val="22"/>
                <w:lang w:val="en-CA" w:eastAsia="en-CA"/>
              </w:rPr>
            </w:pPr>
            <w:r w:rsidRPr="00994B59">
              <w:rPr>
                <w:rFonts w:cs="Arial"/>
                <w:szCs w:val="22"/>
                <w:lang w:val="en-CA" w:eastAsia="en-CA"/>
              </w:rPr>
              <w:t xml:space="preserve">5.5 </w:t>
            </w:r>
            <w:r w:rsidRPr="00994B59">
              <w:rPr>
                <w:rFonts w:cs="Arial"/>
                <w:color w:val="000000"/>
                <w:szCs w:val="22"/>
                <w:lang w:val="en-CA" w:eastAsia="en-CA"/>
              </w:rPr>
              <w:t>Build capacity of national level staff in integrated planning, management including monitoring and evaluation</w:t>
            </w:r>
          </w:p>
        </w:tc>
      </w:tr>
      <w:tr w:rsidR="00C04C81" w:rsidRPr="00994B59" w:rsidTr="0012442F">
        <w:trPr>
          <w:trHeight w:val="2850"/>
        </w:trPr>
        <w:tc>
          <w:tcPr>
            <w:tcW w:w="1611"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lastRenderedPageBreak/>
              <w:t xml:space="preserve">Weak micro planning at the operational level: </w:t>
            </w:r>
          </w:p>
        </w:tc>
        <w:tc>
          <w:tcPr>
            <w:tcW w:w="195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xml:space="preserve">Ghana Immunization Services  REVIEW– 2012,  “From Better to Best” PART I: National Report (Page 26, 27), </w:t>
            </w:r>
          </w:p>
        </w:tc>
        <w:tc>
          <w:tcPr>
            <w:tcW w:w="1437" w:type="pct"/>
            <w:tcBorders>
              <w:top w:val="nil"/>
              <w:left w:val="nil"/>
              <w:bottom w:val="single" w:sz="4" w:space="0" w:color="auto"/>
              <w:right w:val="single" w:sz="4" w:space="0" w:color="auto"/>
            </w:tcBorders>
            <w:shd w:val="clear" w:color="auto" w:fill="auto"/>
          </w:tcPr>
          <w:p w:rsidR="00C04C81" w:rsidRPr="00994B59" w:rsidRDefault="00C04C81" w:rsidP="0012442F">
            <w:pPr>
              <w:jc w:val="both"/>
              <w:rPr>
                <w:rFonts w:cs="Arial"/>
                <w:szCs w:val="22"/>
                <w:lang w:val="en-CA" w:eastAsia="en-CA"/>
              </w:rPr>
            </w:pPr>
            <w:r w:rsidRPr="00994B59">
              <w:rPr>
                <w:rFonts w:cs="Arial"/>
                <w:szCs w:val="22"/>
                <w:lang w:val="en-CA" w:eastAsia="en-CA"/>
              </w:rPr>
              <w:t xml:space="preserve">5.6 </w:t>
            </w:r>
            <w:r w:rsidRPr="00994B59">
              <w:rPr>
                <w:rFonts w:cs="Arial"/>
                <w:color w:val="000000"/>
                <w:szCs w:val="22"/>
                <w:lang w:val="en-CA" w:eastAsia="en-CA"/>
              </w:rPr>
              <w:t>Strengthen existing efforts at institutionalisation of health accounts and build capacity of regional and district staff (through training) to assist in the production of health accounts on an annual basis</w:t>
            </w:r>
          </w:p>
        </w:tc>
      </w:tr>
      <w:tr w:rsidR="00C04C81" w:rsidRPr="00994B59" w:rsidTr="0012442F">
        <w:trPr>
          <w:trHeight w:val="1440"/>
        </w:trPr>
        <w:tc>
          <w:tcPr>
            <w:tcW w:w="1611"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w:t>
            </w:r>
          </w:p>
        </w:tc>
        <w:tc>
          <w:tcPr>
            <w:tcW w:w="195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Immunization Programme</w:t>
            </w:r>
            <w:r w:rsidRPr="00994B59">
              <w:rPr>
                <w:rFonts w:cs="Arial"/>
                <w:color w:val="000000"/>
                <w:szCs w:val="22"/>
                <w:lang w:val="en-CA" w:eastAsia="en-CA"/>
              </w:rPr>
              <w:br/>
              <w:t>Comprehensive Multi-Year Plan</w:t>
            </w:r>
            <w:r w:rsidRPr="00994B59">
              <w:rPr>
                <w:rFonts w:cs="Arial"/>
                <w:color w:val="000000"/>
                <w:szCs w:val="22"/>
                <w:lang w:val="en-CA" w:eastAsia="en-CA"/>
              </w:rPr>
              <w:br/>
              <w:t>(2010-2014), Ministry Of Health/Ghana Health Service, 2011 (Page 17)</w:t>
            </w:r>
          </w:p>
        </w:tc>
        <w:tc>
          <w:tcPr>
            <w:tcW w:w="1437" w:type="pct"/>
            <w:tcBorders>
              <w:top w:val="nil"/>
              <w:left w:val="nil"/>
              <w:bottom w:val="single" w:sz="4" w:space="0" w:color="auto"/>
              <w:right w:val="single" w:sz="4" w:space="0" w:color="auto"/>
            </w:tcBorders>
            <w:shd w:val="clear" w:color="auto" w:fill="auto"/>
          </w:tcPr>
          <w:p w:rsidR="00C04C81" w:rsidRPr="00994B59" w:rsidRDefault="00C04C81" w:rsidP="0012442F">
            <w:pPr>
              <w:jc w:val="both"/>
              <w:rPr>
                <w:rFonts w:cs="Arial"/>
                <w:szCs w:val="22"/>
                <w:lang w:val="en-CA" w:eastAsia="en-CA"/>
              </w:rPr>
            </w:pPr>
            <w:r w:rsidRPr="00994B59">
              <w:rPr>
                <w:rFonts w:cs="Arial"/>
                <w:szCs w:val="22"/>
                <w:lang w:val="en-CA" w:eastAsia="en-CA"/>
              </w:rPr>
              <w:t> </w:t>
            </w:r>
          </w:p>
        </w:tc>
      </w:tr>
      <w:tr w:rsidR="00C04C81" w:rsidRPr="00994B59" w:rsidTr="0012442F">
        <w:trPr>
          <w:trHeight w:val="1155"/>
        </w:trPr>
        <w:tc>
          <w:tcPr>
            <w:tcW w:w="1611" w:type="pct"/>
            <w:tcBorders>
              <w:top w:val="nil"/>
              <w:left w:val="single" w:sz="4" w:space="0" w:color="auto"/>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 xml:space="preserve">Weak management practices at sub district and CHPS level: </w:t>
            </w:r>
          </w:p>
        </w:tc>
        <w:tc>
          <w:tcPr>
            <w:tcW w:w="1952"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color w:val="000000"/>
                <w:szCs w:val="22"/>
                <w:lang w:val="en-CA" w:eastAsia="en-CA"/>
              </w:rPr>
            </w:pPr>
            <w:r w:rsidRPr="00994B59">
              <w:rPr>
                <w:rFonts w:cs="Arial"/>
                <w:color w:val="000000"/>
                <w:szCs w:val="22"/>
                <w:lang w:val="en-CA" w:eastAsia="en-CA"/>
              </w:rPr>
              <w:t>Health Sector Medium Term Strateg</w:t>
            </w:r>
            <w:r>
              <w:rPr>
                <w:rFonts w:cs="Arial"/>
                <w:color w:val="000000"/>
                <w:szCs w:val="22"/>
                <w:lang w:val="en-CA" w:eastAsia="en-CA"/>
              </w:rPr>
              <w:t xml:space="preserve">y </w:t>
            </w:r>
            <w:r w:rsidRPr="00994B59">
              <w:rPr>
                <w:rFonts w:cs="Arial"/>
                <w:color w:val="000000"/>
                <w:szCs w:val="22"/>
                <w:lang w:val="en-CA" w:eastAsia="en-CA"/>
              </w:rPr>
              <w:t xml:space="preserve"> (Draft) 2014 - 2017(Page 20,24, 30)</w:t>
            </w:r>
          </w:p>
        </w:tc>
        <w:tc>
          <w:tcPr>
            <w:tcW w:w="1437" w:type="pct"/>
            <w:tcBorders>
              <w:top w:val="nil"/>
              <w:left w:val="nil"/>
              <w:bottom w:val="single" w:sz="4" w:space="0" w:color="auto"/>
              <w:right w:val="single" w:sz="4" w:space="0" w:color="auto"/>
            </w:tcBorders>
            <w:shd w:val="clear" w:color="auto" w:fill="auto"/>
            <w:vAlign w:val="bottom"/>
          </w:tcPr>
          <w:p w:rsidR="00C04C81" w:rsidRPr="00994B59" w:rsidRDefault="00C04C81" w:rsidP="0012442F">
            <w:pPr>
              <w:rPr>
                <w:rFonts w:cs="Arial"/>
                <w:szCs w:val="22"/>
                <w:lang w:val="en-CA" w:eastAsia="en-CA"/>
              </w:rPr>
            </w:pPr>
            <w:r w:rsidRPr="00994B59">
              <w:rPr>
                <w:rFonts w:cs="Arial"/>
                <w:szCs w:val="22"/>
                <w:lang w:val="en-CA" w:eastAsia="en-CA"/>
              </w:rPr>
              <w:t> </w:t>
            </w:r>
          </w:p>
        </w:tc>
      </w:tr>
    </w:tbl>
    <w:p w:rsidR="00C04C81" w:rsidRDefault="00C04C81" w:rsidP="00C04C81">
      <w:pPr>
        <w:spacing w:after="200" w:line="276" w:lineRule="auto"/>
        <w:jc w:val="both"/>
        <w:rPr>
          <w:rFonts w:cs="Arial"/>
          <w:szCs w:val="22"/>
        </w:rPr>
        <w:sectPr w:rsidR="00C04C81">
          <w:pgSz w:w="12240" w:h="15840"/>
          <w:pgMar w:top="1440" w:right="1440" w:bottom="1440" w:left="1440" w:header="709" w:footer="709" w:gutter="0"/>
          <w:cols w:space="708"/>
          <w:docGrid w:linePitch="360"/>
        </w:sectPr>
      </w:pPr>
    </w:p>
    <w:p w:rsidR="00052899" w:rsidRDefault="00052899" w:rsidP="00052899">
      <w:pPr>
        <w:pStyle w:val="Heading1"/>
      </w:pPr>
      <w:bookmarkStart w:id="669" w:name="_Toc377545415"/>
      <w:bookmarkEnd w:id="668"/>
      <w:r w:rsidRPr="00291E76">
        <w:rPr>
          <w:color w:val="auto"/>
        </w:rPr>
        <w:lastRenderedPageBreak/>
        <w:t>Annex 2: Trend of sector wide indicators)</w:t>
      </w:r>
      <w:bookmarkEnd w:id="669"/>
    </w:p>
    <w:p w:rsidR="00052899" w:rsidRDefault="00052899" w:rsidP="00052899">
      <w:pPr>
        <w:pStyle w:val="Heading1"/>
        <w:rPr>
          <w:rFonts w:cs="Arial"/>
        </w:rPr>
      </w:pPr>
    </w:p>
    <w:tbl>
      <w:tblPr>
        <w:tblW w:w="5000" w:type="pct"/>
        <w:tblCellMar>
          <w:left w:w="70" w:type="dxa"/>
          <w:right w:w="70" w:type="dxa"/>
        </w:tblCellMar>
        <w:tblLook w:val="04A0"/>
      </w:tblPr>
      <w:tblGrid>
        <w:gridCol w:w="328"/>
        <w:gridCol w:w="4100"/>
        <w:gridCol w:w="631"/>
        <w:gridCol w:w="165"/>
        <w:gridCol w:w="24"/>
        <w:gridCol w:w="443"/>
        <w:gridCol w:w="330"/>
        <w:gridCol w:w="47"/>
        <w:gridCol w:w="173"/>
        <w:gridCol w:w="490"/>
        <w:gridCol w:w="89"/>
        <w:gridCol w:w="68"/>
        <w:gridCol w:w="728"/>
        <w:gridCol w:w="92"/>
        <w:gridCol w:w="705"/>
        <w:gridCol w:w="118"/>
        <w:gridCol w:w="631"/>
        <w:gridCol w:w="50"/>
        <w:gridCol w:w="1520"/>
        <w:gridCol w:w="165"/>
        <w:gridCol w:w="1420"/>
        <w:gridCol w:w="783"/>
      </w:tblGrid>
      <w:tr w:rsidR="00052899" w:rsidRPr="002F0C86">
        <w:trPr>
          <w:trHeight w:val="20"/>
        </w:trPr>
        <w:tc>
          <w:tcPr>
            <w:tcW w:w="1689" w:type="pct"/>
            <w:gridSpan w:val="2"/>
            <w:tcBorders>
              <w:top w:val="single" w:sz="8" w:space="0" w:color="auto"/>
              <w:left w:val="single" w:sz="8" w:space="0" w:color="auto"/>
              <w:bottom w:val="single" w:sz="8" w:space="0" w:color="auto"/>
              <w:right w:val="single" w:sz="8" w:space="0" w:color="000000"/>
            </w:tcBorders>
            <w:shd w:val="clear" w:color="000000" w:fill="000000"/>
            <w:noWrap/>
            <w:vAlign w:val="bottom"/>
          </w:tcPr>
          <w:p w:rsidR="00052899" w:rsidRPr="002F0C86" w:rsidRDefault="00052899" w:rsidP="00052899">
            <w:pPr>
              <w:jc w:val="both"/>
              <w:rPr>
                <w:rFonts w:ascii="Cambria" w:hAnsi="Cambria" w:cs="Cambria"/>
                <w:color w:val="000000"/>
                <w:sz w:val="12"/>
                <w:szCs w:val="12"/>
                <w:lang w:eastAsia="da-DK"/>
              </w:rPr>
            </w:pPr>
            <w:r w:rsidRPr="002F0C86">
              <w:rPr>
                <w:i/>
              </w:rPr>
              <w:br w:type="column"/>
            </w:r>
            <w:r w:rsidRPr="002F0C86">
              <w:rPr>
                <w:rFonts w:ascii="Cambria" w:hAnsi="Cambria" w:cs="Cambria"/>
                <w:color w:val="000000"/>
                <w:sz w:val="12"/>
                <w:szCs w:val="12"/>
                <w:lang w:eastAsia="da-DK"/>
              </w:rPr>
              <w:t> </w:t>
            </w:r>
          </w:p>
        </w:tc>
        <w:tc>
          <w:tcPr>
            <w:tcW w:w="241" w:type="pct"/>
            <w:tcBorders>
              <w:top w:val="single" w:sz="8" w:space="0" w:color="auto"/>
              <w:left w:val="nil"/>
              <w:bottom w:val="nil"/>
              <w:right w:val="single" w:sz="4" w:space="0" w:color="auto"/>
            </w:tcBorders>
            <w:shd w:val="clear" w:color="000000" w:fill="000000"/>
            <w:noWrap/>
            <w:vAlign w:val="bottom"/>
          </w:tcPr>
          <w:p w:rsidR="00052899" w:rsidRPr="002F0C86" w:rsidRDefault="00052899" w:rsidP="00052899">
            <w:pPr>
              <w:jc w:val="both"/>
              <w:rPr>
                <w:rFonts w:ascii="Cambria" w:hAnsi="Cambria" w:cs="Cambria"/>
                <w:b/>
                <w:bCs/>
                <w:color w:val="FFFFFF"/>
                <w:sz w:val="12"/>
                <w:szCs w:val="12"/>
                <w:lang w:eastAsia="da-DK"/>
              </w:rPr>
            </w:pPr>
          </w:p>
        </w:tc>
        <w:tc>
          <w:tcPr>
            <w:tcW w:w="241" w:type="pct"/>
            <w:gridSpan w:val="3"/>
            <w:tcBorders>
              <w:top w:val="single" w:sz="8" w:space="0" w:color="auto"/>
              <w:left w:val="single" w:sz="8" w:space="0" w:color="auto"/>
              <w:bottom w:val="nil"/>
              <w:right w:val="nil"/>
            </w:tcBorders>
            <w:shd w:val="clear" w:color="000000" w:fill="000000"/>
            <w:noWrap/>
            <w:vAlign w:val="bottom"/>
          </w:tcPr>
          <w:p w:rsidR="00052899" w:rsidRPr="002F0C86" w:rsidRDefault="00052899" w:rsidP="00052899">
            <w:pPr>
              <w:jc w:val="both"/>
              <w:rPr>
                <w:rFonts w:ascii="Cambria" w:hAnsi="Cambria" w:cs="Cambria"/>
                <w:b/>
                <w:bCs/>
                <w:color w:val="FFFFFF"/>
                <w:sz w:val="12"/>
                <w:szCs w:val="12"/>
                <w:lang w:eastAsia="da-DK"/>
              </w:rPr>
            </w:pPr>
          </w:p>
        </w:tc>
        <w:tc>
          <w:tcPr>
            <w:tcW w:w="210" w:type="pct"/>
            <w:gridSpan w:val="3"/>
            <w:tcBorders>
              <w:top w:val="single" w:sz="8" w:space="0" w:color="auto"/>
              <w:left w:val="nil"/>
              <w:bottom w:val="nil"/>
              <w:right w:val="nil"/>
            </w:tcBorders>
            <w:shd w:val="clear" w:color="000000" w:fill="000000"/>
            <w:noWrap/>
            <w:vAlign w:val="bottom"/>
          </w:tcPr>
          <w:p w:rsidR="00052899" w:rsidRPr="002F0C86" w:rsidRDefault="00052899" w:rsidP="00052899">
            <w:pPr>
              <w:jc w:val="both"/>
              <w:rPr>
                <w:rFonts w:ascii="Cambria" w:hAnsi="Cambria" w:cs="Cambria"/>
                <w:b/>
                <w:bCs/>
                <w:color w:val="FFFFFF"/>
                <w:sz w:val="12"/>
                <w:szCs w:val="12"/>
                <w:lang w:eastAsia="da-DK"/>
              </w:rPr>
            </w:pPr>
          </w:p>
        </w:tc>
        <w:tc>
          <w:tcPr>
            <w:tcW w:w="187" w:type="pct"/>
            <w:tcBorders>
              <w:top w:val="single" w:sz="8" w:space="0" w:color="auto"/>
              <w:left w:val="nil"/>
              <w:bottom w:val="nil"/>
              <w:right w:val="nil"/>
            </w:tcBorders>
            <w:shd w:val="clear" w:color="000000" w:fill="000000"/>
            <w:noWrap/>
            <w:vAlign w:val="bottom"/>
          </w:tcPr>
          <w:p w:rsidR="00052899" w:rsidRPr="002F0C86" w:rsidRDefault="00052899" w:rsidP="00052899">
            <w:pPr>
              <w:jc w:val="both"/>
              <w:rPr>
                <w:rFonts w:ascii="Cambria" w:hAnsi="Cambria" w:cs="Cambria"/>
                <w:b/>
                <w:bCs/>
                <w:color w:val="FFFFFF"/>
                <w:sz w:val="12"/>
                <w:szCs w:val="12"/>
                <w:lang w:eastAsia="da-DK"/>
              </w:rPr>
            </w:pPr>
          </w:p>
        </w:tc>
        <w:tc>
          <w:tcPr>
            <w:tcW w:w="687" w:type="pct"/>
            <w:gridSpan w:val="6"/>
            <w:tcBorders>
              <w:top w:val="single" w:sz="8" w:space="0" w:color="auto"/>
              <w:left w:val="nil"/>
              <w:bottom w:val="nil"/>
              <w:right w:val="nil"/>
            </w:tcBorders>
            <w:shd w:val="clear" w:color="000000" w:fill="000000"/>
            <w:noWrap/>
            <w:vAlign w:val="bottom"/>
          </w:tcPr>
          <w:p w:rsidR="00052899" w:rsidRPr="002F0C86" w:rsidRDefault="00052899" w:rsidP="00052899">
            <w:pPr>
              <w:jc w:val="both"/>
              <w:rPr>
                <w:rFonts w:ascii="Cambria" w:hAnsi="Cambria" w:cs="Cambria"/>
                <w:b/>
                <w:bCs/>
                <w:color w:val="FFFFFF"/>
                <w:sz w:val="12"/>
                <w:szCs w:val="12"/>
                <w:lang w:eastAsia="da-DK"/>
              </w:rPr>
            </w:pPr>
          </w:p>
        </w:tc>
        <w:tc>
          <w:tcPr>
            <w:tcW w:w="1745" w:type="pct"/>
            <w:gridSpan w:val="6"/>
            <w:tcBorders>
              <w:top w:val="single" w:sz="8" w:space="0" w:color="auto"/>
              <w:left w:val="single" w:sz="8" w:space="0" w:color="auto"/>
              <w:bottom w:val="nil"/>
              <w:right w:val="single" w:sz="8" w:space="0" w:color="auto"/>
            </w:tcBorders>
            <w:shd w:val="clear" w:color="000000" w:fill="000000"/>
            <w:noWrap/>
            <w:vAlign w:val="bottom"/>
          </w:tcPr>
          <w:p w:rsidR="00052899" w:rsidRPr="002F0C86" w:rsidRDefault="00052899" w:rsidP="00052899">
            <w:pPr>
              <w:jc w:val="center"/>
              <w:rPr>
                <w:rFonts w:ascii="Cambria" w:hAnsi="Cambria" w:cs="Cambria"/>
                <w:b/>
                <w:bCs/>
                <w:color w:val="FFFFFF"/>
                <w:sz w:val="12"/>
                <w:szCs w:val="12"/>
                <w:lang w:eastAsia="da-DK"/>
              </w:rPr>
            </w:pPr>
            <w:r w:rsidRPr="002F0C86">
              <w:rPr>
                <w:rFonts w:ascii="Cambria" w:hAnsi="Cambria" w:cs="Cambria"/>
                <w:b/>
                <w:bCs/>
                <w:color w:val="FFFFFF"/>
                <w:sz w:val="12"/>
                <w:szCs w:val="12"/>
                <w:lang w:eastAsia="da-DK"/>
              </w:rPr>
              <w:t>2012 POW</w:t>
            </w:r>
          </w:p>
        </w:tc>
      </w:tr>
      <w:tr w:rsidR="00052899" w:rsidRPr="002F0C86">
        <w:trPr>
          <w:trHeight w:val="20"/>
        </w:trPr>
        <w:tc>
          <w:tcPr>
            <w:tcW w:w="1689" w:type="pct"/>
            <w:gridSpan w:val="2"/>
            <w:tcBorders>
              <w:top w:val="single" w:sz="8" w:space="0" w:color="auto"/>
              <w:left w:val="single" w:sz="8" w:space="0" w:color="auto"/>
              <w:bottom w:val="single" w:sz="8" w:space="0" w:color="auto"/>
              <w:right w:val="single" w:sz="8" w:space="0" w:color="000000"/>
            </w:tcBorders>
            <w:shd w:val="clear" w:color="000000" w:fill="000000"/>
            <w:noWrap/>
            <w:vAlign w:val="bottom"/>
          </w:tcPr>
          <w:p w:rsidR="00052899" w:rsidRPr="002F0C86" w:rsidRDefault="00052899" w:rsidP="00052899">
            <w:pPr>
              <w:jc w:val="both"/>
              <w:rPr>
                <w:rFonts w:ascii="Cambria" w:hAnsi="Cambria" w:cs="Cambria"/>
                <w:color w:val="000000"/>
                <w:sz w:val="12"/>
                <w:szCs w:val="12"/>
                <w:lang w:eastAsia="da-DK"/>
              </w:rPr>
            </w:pPr>
          </w:p>
        </w:tc>
        <w:tc>
          <w:tcPr>
            <w:tcW w:w="313" w:type="pct"/>
            <w:gridSpan w:val="3"/>
            <w:tcBorders>
              <w:top w:val="single" w:sz="8" w:space="0" w:color="auto"/>
              <w:left w:val="nil"/>
              <w:bottom w:val="nil"/>
              <w:right w:val="single" w:sz="4" w:space="0" w:color="auto"/>
            </w:tcBorders>
            <w:shd w:val="clear" w:color="000000" w:fill="000000"/>
            <w:noWrap/>
            <w:vAlign w:val="bottom"/>
          </w:tcPr>
          <w:p w:rsidR="00052899" w:rsidRPr="002F0C86" w:rsidRDefault="00052899" w:rsidP="00052899">
            <w:pPr>
              <w:jc w:val="both"/>
              <w:rPr>
                <w:rFonts w:ascii="Cambria" w:hAnsi="Cambria" w:cs="Cambria"/>
                <w:b/>
                <w:bCs/>
                <w:color w:val="FFFFFF"/>
                <w:sz w:val="12"/>
                <w:szCs w:val="12"/>
                <w:lang w:eastAsia="da-DK"/>
              </w:rPr>
            </w:pPr>
            <w:r w:rsidRPr="002F0C86">
              <w:rPr>
                <w:rFonts w:ascii="Cambria" w:hAnsi="Cambria" w:cs="Cambria"/>
                <w:b/>
                <w:bCs/>
                <w:color w:val="FFFFFF"/>
                <w:sz w:val="12"/>
                <w:szCs w:val="12"/>
                <w:lang w:eastAsia="da-DK"/>
              </w:rPr>
              <w:t>2007</w:t>
            </w:r>
          </w:p>
        </w:tc>
        <w:tc>
          <w:tcPr>
            <w:tcW w:w="313" w:type="pct"/>
            <w:gridSpan w:val="3"/>
            <w:tcBorders>
              <w:top w:val="single" w:sz="8" w:space="0" w:color="auto"/>
              <w:left w:val="single" w:sz="8" w:space="0" w:color="auto"/>
              <w:bottom w:val="nil"/>
              <w:right w:val="nil"/>
            </w:tcBorders>
            <w:shd w:val="clear" w:color="000000" w:fill="000000"/>
            <w:noWrap/>
            <w:vAlign w:val="bottom"/>
          </w:tcPr>
          <w:p w:rsidR="00052899" w:rsidRPr="002F0C86" w:rsidRDefault="00052899" w:rsidP="00052899">
            <w:pPr>
              <w:jc w:val="both"/>
              <w:rPr>
                <w:rFonts w:ascii="Cambria" w:hAnsi="Cambria" w:cs="Cambria"/>
                <w:b/>
                <w:bCs/>
                <w:color w:val="FFFFFF"/>
                <w:sz w:val="12"/>
                <w:szCs w:val="12"/>
                <w:lang w:eastAsia="da-DK"/>
              </w:rPr>
            </w:pPr>
            <w:r w:rsidRPr="002F0C86">
              <w:rPr>
                <w:rFonts w:ascii="Cambria" w:hAnsi="Cambria" w:cs="Cambria"/>
                <w:b/>
                <w:bCs/>
                <w:color w:val="FFFFFF"/>
                <w:sz w:val="12"/>
                <w:szCs w:val="12"/>
                <w:lang w:eastAsia="da-DK"/>
              </w:rPr>
              <w:t>2008</w:t>
            </w:r>
          </w:p>
        </w:tc>
        <w:tc>
          <w:tcPr>
            <w:tcW w:w="313" w:type="pct"/>
            <w:gridSpan w:val="4"/>
            <w:tcBorders>
              <w:top w:val="single" w:sz="8" w:space="0" w:color="auto"/>
              <w:left w:val="nil"/>
              <w:bottom w:val="nil"/>
              <w:right w:val="nil"/>
            </w:tcBorders>
            <w:shd w:val="clear" w:color="000000" w:fill="000000"/>
            <w:noWrap/>
            <w:vAlign w:val="bottom"/>
          </w:tcPr>
          <w:p w:rsidR="00052899" w:rsidRPr="002F0C86" w:rsidRDefault="00052899" w:rsidP="00052899">
            <w:pPr>
              <w:jc w:val="both"/>
              <w:rPr>
                <w:rFonts w:ascii="Cambria" w:hAnsi="Cambria" w:cs="Cambria"/>
                <w:b/>
                <w:bCs/>
                <w:color w:val="FFFFFF"/>
                <w:sz w:val="12"/>
                <w:szCs w:val="12"/>
                <w:lang w:eastAsia="da-DK"/>
              </w:rPr>
            </w:pPr>
            <w:r w:rsidRPr="002F0C86">
              <w:rPr>
                <w:rFonts w:ascii="Cambria" w:hAnsi="Cambria" w:cs="Cambria"/>
                <w:b/>
                <w:bCs/>
                <w:color w:val="FFFFFF"/>
                <w:sz w:val="12"/>
                <w:szCs w:val="12"/>
                <w:lang w:eastAsia="da-DK"/>
              </w:rPr>
              <w:t>2009</w:t>
            </w:r>
          </w:p>
        </w:tc>
        <w:tc>
          <w:tcPr>
            <w:tcW w:w="313" w:type="pct"/>
            <w:gridSpan w:val="2"/>
            <w:tcBorders>
              <w:top w:val="single" w:sz="8" w:space="0" w:color="auto"/>
              <w:left w:val="nil"/>
              <w:bottom w:val="nil"/>
              <w:right w:val="nil"/>
            </w:tcBorders>
            <w:shd w:val="clear" w:color="000000" w:fill="000000"/>
            <w:noWrap/>
            <w:vAlign w:val="bottom"/>
          </w:tcPr>
          <w:p w:rsidR="00052899" w:rsidRPr="002F0C86" w:rsidRDefault="00052899" w:rsidP="00052899">
            <w:pPr>
              <w:jc w:val="both"/>
              <w:rPr>
                <w:rFonts w:ascii="Cambria" w:hAnsi="Cambria" w:cs="Cambria"/>
                <w:b/>
                <w:bCs/>
                <w:color w:val="FFFFFF"/>
                <w:sz w:val="12"/>
                <w:szCs w:val="12"/>
                <w:lang w:eastAsia="da-DK"/>
              </w:rPr>
            </w:pPr>
            <w:r w:rsidRPr="002F0C86">
              <w:rPr>
                <w:rFonts w:ascii="Cambria" w:hAnsi="Cambria" w:cs="Cambria"/>
                <w:b/>
                <w:bCs/>
                <w:color w:val="FFFFFF"/>
                <w:sz w:val="12"/>
                <w:szCs w:val="12"/>
                <w:lang w:eastAsia="da-DK"/>
              </w:rPr>
              <w:t>2010</w:t>
            </w:r>
          </w:p>
        </w:tc>
        <w:tc>
          <w:tcPr>
            <w:tcW w:w="313" w:type="pct"/>
            <w:gridSpan w:val="2"/>
            <w:tcBorders>
              <w:top w:val="single" w:sz="8" w:space="0" w:color="auto"/>
              <w:left w:val="nil"/>
              <w:bottom w:val="nil"/>
              <w:right w:val="nil"/>
            </w:tcBorders>
            <w:shd w:val="clear" w:color="000000" w:fill="000000"/>
            <w:noWrap/>
            <w:vAlign w:val="bottom"/>
          </w:tcPr>
          <w:p w:rsidR="00052899" w:rsidRPr="002F0C86" w:rsidRDefault="00052899" w:rsidP="00052899">
            <w:pPr>
              <w:jc w:val="both"/>
              <w:rPr>
                <w:rFonts w:ascii="Cambria" w:hAnsi="Cambria" w:cs="Cambria"/>
                <w:b/>
                <w:bCs/>
                <w:color w:val="FFFFFF"/>
                <w:sz w:val="12"/>
                <w:szCs w:val="12"/>
                <w:lang w:eastAsia="da-DK"/>
              </w:rPr>
            </w:pPr>
            <w:r w:rsidRPr="002F0C86">
              <w:rPr>
                <w:rFonts w:ascii="Cambria" w:hAnsi="Cambria" w:cs="Cambria"/>
                <w:b/>
                <w:bCs/>
                <w:color w:val="FFFFFF"/>
                <w:sz w:val="12"/>
                <w:szCs w:val="12"/>
                <w:lang w:eastAsia="da-DK"/>
              </w:rPr>
              <w:t>2011</w:t>
            </w:r>
          </w:p>
        </w:tc>
        <w:tc>
          <w:tcPr>
            <w:tcW w:w="241" w:type="pct"/>
            <w:tcBorders>
              <w:top w:val="single" w:sz="8" w:space="0" w:color="auto"/>
              <w:left w:val="single" w:sz="8" w:space="0" w:color="auto"/>
              <w:bottom w:val="nil"/>
              <w:right w:val="nil"/>
            </w:tcBorders>
            <w:shd w:val="clear" w:color="000000" w:fill="000000"/>
            <w:noWrap/>
            <w:vAlign w:val="bottom"/>
          </w:tcPr>
          <w:p w:rsidR="00052899" w:rsidRPr="002F0C86" w:rsidRDefault="00052899" w:rsidP="00052899">
            <w:pPr>
              <w:jc w:val="both"/>
              <w:rPr>
                <w:rFonts w:ascii="Cambria" w:hAnsi="Cambria" w:cs="Cambria"/>
                <w:b/>
                <w:bCs/>
                <w:color w:val="FFFFFF"/>
                <w:sz w:val="12"/>
                <w:szCs w:val="12"/>
                <w:lang w:eastAsia="da-DK"/>
              </w:rPr>
            </w:pPr>
            <w:r w:rsidRPr="002F0C86">
              <w:rPr>
                <w:rFonts w:ascii="Cambria" w:hAnsi="Cambria" w:cs="Cambria"/>
                <w:b/>
                <w:bCs/>
                <w:color w:val="FFFFFF"/>
                <w:sz w:val="12"/>
                <w:szCs w:val="12"/>
                <w:lang w:eastAsia="da-DK"/>
              </w:rPr>
              <w:t>Target</w:t>
            </w:r>
          </w:p>
        </w:tc>
        <w:tc>
          <w:tcPr>
            <w:tcW w:w="662" w:type="pct"/>
            <w:gridSpan w:val="3"/>
            <w:tcBorders>
              <w:top w:val="single" w:sz="8" w:space="0" w:color="auto"/>
              <w:left w:val="nil"/>
              <w:bottom w:val="nil"/>
              <w:right w:val="nil"/>
            </w:tcBorders>
            <w:shd w:val="clear" w:color="000000" w:fill="000000"/>
            <w:noWrap/>
            <w:vAlign w:val="bottom"/>
          </w:tcPr>
          <w:p w:rsidR="00052899" w:rsidRPr="002F0C86" w:rsidRDefault="00052899" w:rsidP="00052899">
            <w:pPr>
              <w:jc w:val="center"/>
              <w:rPr>
                <w:rFonts w:ascii="Cambria" w:hAnsi="Cambria" w:cs="Cambria"/>
                <w:b/>
                <w:bCs/>
                <w:color w:val="FFFFFF"/>
                <w:sz w:val="12"/>
                <w:szCs w:val="12"/>
                <w:lang w:eastAsia="da-DK"/>
              </w:rPr>
            </w:pPr>
            <w:r w:rsidRPr="002F0C86">
              <w:rPr>
                <w:rFonts w:ascii="Cambria" w:hAnsi="Cambria" w:cs="Cambria"/>
                <w:b/>
                <w:bCs/>
                <w:color w:val="FFFFFF"/>
                <w:sz w:val="12"/>
                <w:szCs w:val="12"/>
                <w:lang w:eastAsia="da-DK"/>
              </w:rPr>
              <w:t>Performance</w:t>
            </w:r>
            <w:r>
              <w:rPr>
                <w:rFonts w:ascii="Cambria" w:hAnsi="Cambria" w:cs="Cambria"/>
                <w:b/>
                <w:bCs/>
                <w:color w:val="FFFFFF"/>
                <w:sz w:val="12"/>
                <w:szCs w:val="12"/>
                <w:lang w:eastAsia="da-DK"/>
              </w:rPr>
              <w:t xml:space="preserve"> (4%)</w:t>
            </w:r>
          </w:p>
        </w:tc>
        <w:tc>
          <w:tcPr>
            <w:tcW w:w="542" w:type="pct"/>
            <w:tcBorders>
              <w:top w:val="single" w:sz="8" w:space="0" w:color="auto"/>
              <w:left w:val="single" w:sz="4" w:space="0" w:color="auto"/>
              <w:bottom w:val="nil"/>
              <w:right w:val="single" w:sz="8" w:space="0" w:color="auto"/>
            </w:tcBorders>
            <w:shd w:val="clear" w:color="000000" w:fill="000000"/>
            <w:noWrap/>
            <w:vAlign w:val="bottom"/>
          </w:tcPr>
          <w:p w:rsidR="00052899" w:rsidRPr="002F0C86" w:rsidRDefault="00052899" w:rsidP="00052899">
            <w:pPr>
              <w:jc w:val="center"/>
              <w:rPr>
                <w:rFonts w:ascii="Cambria" w:hAnsi="Cambria" w:cs="Cambria"/>
                <w:b/>
                <w:bCs/>
                <w:color w:val="FFFFFF"/>
                <w:sz w:val="12"/>
                <w:szCs w:val="12"/>
                <w:lang w:eastAsia="da-DK"/>
              </w:rPr>
            </w:pPr>
            <w:r w:rsidRPr="002F0C86">
              <w:rPr>
                <w:rFonts w:ascii="Cambria" w:hAnsi="Cambria" w:cs="Cambria"/>
                <w:b/>
                <w:bCs/>
                <w:color w:val="FFFFFF"/>
                <w:sz w:val="12"/>
                <w:szCs w:val="12"/>
                <w:lang w:eastAsia="da-DK"/>
              </w:rPr>
              <w:t>Performance</w:t>
            </w:r>
            <w:r>
              <w:rPr>
                <w:rFonts w:ascii="Cambria" w:hAnsi="Cambria" w:cs="Cambria"/>
                <w:b/>
                <w:bCs/>
                <w:color w:val="FFFFFF"/>
                <w:sz w:val="12"/>
                <w:szCs w:val="12"/>
                <w:lang w:eastAsia="da-DK"/>
              </w:rPr>
              <w:t xml:space="preserve"> (3%)</w:t>
            </w:r>
          </w:p>
        </w:tc>
        <w:tc>
          <w:tcPr>
            <w:tcW w:w="301" w:type="pct"/>
            <w:tcBorders>
              <w:top w:val="single" w:sz="8" w:space="0" w:color="auto"/>
              <w:left w:val="single" w:sz="4" w:space="0" w:color="auto"/>
              <w:bottom w:val="nil"/>
              <w:right w:val="single" w:sz="8" w:space="0" w:color="auto"/>
            </w:tcBorders>
            <w:shd w:val="clear" w:color="000000" w:fill="000000"/>
          </w:tcPr>
          <w:p w:rsidR="00052899" w:rsidRDefault="00052899" w:rsidP="00052899">
            <w:pPr>
              <w:jc w:val="both"/>
              <w:rPr>
                <w:rFonts w:ascii="Cambria" w:hAnsi="Cambria" w:cs="Cambria"/>
                <w:b/>
                <w:bCs/>
                <w:color w:val="FFFFFF"/>
                <w:sz w:val="12"/>
                <w:szCs w:val="12"/>
                <w:lang w:eastAsia="da-DK"/>
              </w:rPr>
            </w:pPr>
            <w:r w:rsidRPr="002F0C86">
              <w:rPr>
                <w:rFonts w:ascii="Cambria" w:hAnsi="Cambria" w:cs="Cambria"/>
                <w:b/>
                <w:bCs/>
                <w:color w:val="FFFFFF"/>
                <w:sz w:val="12"/>
                <w:szCs w:val="12"/>
                <w:lang w:eastAsia="da-DK"/>
              </w:rPr>
              <w:t>Source</w:t>
            </w:r>
          </w:p>
        </w:tc>
      </w:tr>
      <w:tr w:rsidR="00052899" w:rsidRPr="002F0C86">
        <w:trPr>
          <w:trHeight w:hRule="exact" w:val="170"/>
        </w:trPr>
        <w:tc>
          <w:tcPr>
            <w:tcW w:w="5000" w:type="pct"/>
            <w:gridSpan w:val="22"/>
            <w:tcBorders>
              <w:top w:val="single" w:sz="8" w:space="0" w:color="auto"/>
              <w:left w:val="single" w:sz="8" w:space="0" w:color="auto"/>
              <w:right w:val="single" w:sz="8" w:space="0" w:color="auto"/>
            </w:tcBorders>
            <w:shd w:val="clear" w:color="000000" w:fill="808080"/>
            <w:noWrap/>
            <w:vAlign w:val="bottom"/>
          </w:tcPr>
          <w:p w:rsidR="00052899" w:rsidRPr="002F0C86" w:rsidRDefault="00052899" w:rsidP="00052899">
            <w:pPr>
              <w:jc w:val="both"/>
              <w:rPr>
                <w:rFonts w:ascii="Cambria" w:hAnsi="Cambria" w:cs="Cambria"/>
                <w:b/>
                <w:bCs/>
                <w:color w:val="FFFFFF"/>
                <w:sz w:val="12"/>
                <w:szCs w:val="12"/>
                <w:lang w:eastAsia="da-DK"/>
              </w:rPr>
            </w:pPr>
            <w:r w:rsidRPr="002F0C86">
              <w:rPr>
                <w:rFonts w:ascii="Cambria" w:hAnsi="Cambria" w:cs="Cambria"/>
                <w:b/>
                <w:bCs/>
                <w:color w:val="FFFFFF"/>
                <w:sz w:val="12"/>
                <w:szCs w:val="12"/>
                <w:lang w:eastAsia="da-DK"/>
              </w:rPr>
              <w:t>Health Objective 1: Bridge equity gaps in health care and nutrition services and ensure sustainable financing arrangements that protect the poor</w:t>
            </w:r>
          </w:p>
        </w:tc>
      </w:tr>
      <w:tr w:rsidR="00052899" w:rsidRPr="002F0C86">
        <w:trPr>
          <w:trHeight w:val="141"/>
        </w:trPr>
        <w:tc>
          <w:tcPr>
            <w:tcW w:w="125" w:type="pct"/>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1</w:t>
            </w:r>
          </w:p>
        </w:tc>
        <w:tc>
          <w:tcPr>
            <w:tcW w:w="1565" w:type="pct"/>
            <w:tcBorders>
              <w:top w:val="nil"/>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children 0-6 months exclusive breastfed</w:t>
            </w:r>
          </w:p>
        </w:tc>
        <w:tc>
          <w:tcPr>
            <w:tcW w:w="304" w:type="pct"/>
            <w:gridSpan w:val="2"/>
            <w:tcBorders>
              <w:top w:val="nil"/>
              <w:left w:val="nil"/>
              <w:bottom w:val="single" w:sz="4" w:space="0" w:color="BFBFBF"/>
              <w:right w:val="single" w:sz="4"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w:t>
            </w:r>
          </w:p>
        </w:tc>
        <w:tc>
          <w:tcPr>
            <w:tcW w:w="304" w:type="pct"/>
            <w:gridSpan w:val="3"/>
            <w:tcBorders>
              <w:top w:val="nil"/>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62.8% </w:t>
            </w:r>
          </w:p>
        </w:tc>
        <w:tc>
          <w:tcPr>
            <w:tcW w:w="305" w:type="pct"/>
            <w:gridSpan w:val="4"/>
            <w:tcBorders>
              <w:top w:val="nil"/>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nil"/>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nil"/>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3"/>
            <w:tcBorders>
              <w:top w:val="nil"/>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70%</w:t>
            </w:r>
          </w:p>
        </w:tc>
        <w:tc>
          <w:tcPr>
            <w:tcW w:w="580" w:type="pct"/>
            <w:tcBorders>
              <w:top w:val="nil"/>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45.7%</w:t>
            </w:r>
          </w:p>
        </w:tc>
        <w:tc>
          <w:tcPr>
            <w:tcW w:w="602" w:type="pct"/>
            <w:gridSpan w:val="2"/>
            <w:tcBorders>
              <w:top w:val="nil"/>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45.7%</w:t>
            </w:r>
          </w:p>
        </w:tc>
        <w:tc>
          <w:tcPr>
            <w:tcW w:w="301" w:type="pct"/>
            <w:tcBorders>
              <w:top w:val="nil"/>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2</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Equity: Poverty (U5MR)</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1.72</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w:t>
            </w:r>
          </w:p>
        </w:tc>
        <w:tc>
          <w:tcPr>
            <w:tcW w:w="304" w:type="pct"/>
            <w:gridSpan w:val="2"/>
            <w:tcBorders>
              <w:top w:val="single" w:sz="4" w:space="0" w:color="BFBFBF"/>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1:1.5</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2.04</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2.04</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3</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Equity: Geography - Services (supervised deliveries)</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2.47</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2.17 </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1.49</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1.89* </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1.66* </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1:1.70</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1.48</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1.48</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 xml:space="preserve">GHS   </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4</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Equity: Geography - Resources (nurse: population)</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2.26</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2.03</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1.81</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1.99* </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1.73*</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1:1.95</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1.75</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1.75</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472AFA" w:rsidP="00052899">
            <w:pPr>
              <w:jc w:val="both"/>
              <w:rPr>
                <w:rFonts w:ascii="Cambria" w:hAnsi="Cambria" w:cs="Cambria"/>
                <w:color w:val="A6A6A6"/>
                <w:sz w:val="12"/>
                <w:szCs w:val="12"/>
                <w:lang w:eastAsia="da-DK"/>
              </w:rPr>
            </w:pPr>
            <w:r>
              <w:rPr>
                <w:rFonts w:ascii="Cambria" w:hAnsi="Cambria" w:cs="Cambria"/>
                <w:color w:val="A6A6A6"/>
                <w:sz w:val="12"/>
                <w:szCs w:val="12"/>
                <w:lang w:eastAsia="da-DK"/>
              </w:rPr>
              <w:t>MOH</w:t>
            </w:r>
            <w:r w:rsidR="00052899" w:rsidRPr="002F0C86">
              <w:rPr>
                <w:rFonts w:ascii="Cambria" w:hAnsi="Cambria" w:cs="Cambria"/>
                <w:color w:val="A6A6A6"/>
                <w:sz w:val="12"/>
                <w:szCs w:val="12"/>
                <w:lang w:eastAsia="da-DK"/>
              </w:rPr>
              <w:t xml:space="preserve">  </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5</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Equity: NHIS – Gender</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1.22 </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1.38   </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1.23</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1.23</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6</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Equity: NHIS – Poverty</w:t>
            </w:r>
          </w:p>
        </w:tc>
        <w:tc>
          <w:tcPr>
            <w:tcW w:w="304" w:type="pct"/>
            <w:gridSpan w:val="2"/>
            <w:tcBorders>
              <w:top w:val="single" w:sz="4" w:space="0" w:color="BFBFBF"/>
              <w:left w:val="nil"/>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0.82 (F)</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w:t>
            </w:r>
          </w:p>
        </w:tc>
        <w:tc>
          <w:tcPr>
            <w:tcW w:w="304" w:type="pct"/>
            <w:gridSpan w:val="2"/>
            <w:tcBorders>
              <w:top w:val="single" w:sz="4" w:space="0" w:color="BFBFBF"/>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0.69 (F)</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0.69 (F)</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Pr>
                <w:rFonts w:ascii="Cambria" w:hAnsi="Cambria" w:cs="Cambria"/>
                <w:color w:val="A6A6A6"/>
                <w:sz w:val="12"/>
                <w:szCs w:val="12"/>
                <w:lang w:eastAsia="da-DK"/>
              </w:rPr>
              <w:t>MICS</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7</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Outpatients attendance per capita (OPD)</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0.69</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0.77 </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0.81 </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0.91* </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1.04*</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0.88</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1.17</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1.17</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GHS /TH</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8</w:t>
            </w:r>
          </w:p>
        </w:tc>
        <w:tc>
          <w:tcPr>
            <w:tcW w:w="1565" w:type="pct"/>
            <w:tcBorders>
              <w:top w:val="single" w:sz="4" w:space="0" w:color="BFBFBF"/>
              <w:left w:val="nil"/>
              <w:bottom w:val="single" w:sz="4" w:space="0" w:color="BFBFBF"/>
              <w:right w:val="single" w:sz="8" w:space="0" w:color="auto"/>
            </w:tcBorders>
            <w:shd w:val="clear" w:color="auto" w:fill="D9D9D9"/>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population living within 8 km of health infrastructure</w:t>
            </w:r>
          </w:p>
        </w:tc>
        <w:tc>
          <w:tcPr>
            <w:tcW w:w="304" w:type="pct"/>
            <w:gridSpan w:val="2"/>
            <w:tcBorders>
              <w:top w:val="single" w:sz="4" w:space="0" w:color="BFBFBF"/>
              <w:left w:val="nil"/>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w:t>
            </w:r>
          </w:p>
        </w:tc>
        <w:tc>
          <w:tcPr>
            <w:tcW w:w="304" w:type="pct"/>
            <w:gridSpan w:val="2"/>
            <w:tcBorders>
              <w:top w:val="single" w:sz="4" w:space="0" w:color="BFBFBF"/>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N/A</w:t>
            </w:r>
          </w:p>
        </w:tc>
        <w:tc>
          <w:tcPr>
            <w:tcW w:w="580" w:type="pct"/>
            <w:tcBorders>
              <w:top w:val="single" w:sz="4" w:space="0" w:color="BFBFBF"/>
              <w:left w:val="single" w:sz="4" w:space="0" w:color="BFBFBF"/>
              <w:bottom w:val="single" w:sz="4" w:space="0" w:color="BFBFBF"/>
              <w:right w:val="single" w:sz="4" w:space="0" w:color="BFBFBF"/>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p>
        </w:tc>
        <w:tc>
          <w:tcPr>
            <w:tcW w:w="301" w:type="pct"/>
            <w:tcBorders>
              <w:top w:val="single" w:sz="4" w:space="0" w:color="BFBFBF"/>
              <w:left w:val="single" w:sz="4" w:space="0" w:color="BFBFBF"/>
              <w:bottom w:val="single" w:sz="4" w:space="0" w:color="BFBFBF"/>
              <w:right w:val="single" w:sz="8" w:space="0" w:color="auto"/>
            </w:tcBorders>
            <w:shd w:val="clear" w:color="auto" w:fill="D9D9D9"/>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9</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Doctor: population ratio</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1:13,683 </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1:13,499 </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1:11,698 </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1:11,833* </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1:10,217*</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1:9,700 </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1:10,452</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1:10,452</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 xml:space="preserve"> </w:t>
            </w:r>
            <w:r w:rsidR="00472AFA">
              <w:rPr>
                <w:rFonts w:ascii="Cambria" w:hAnsi="Cambria" w:cs="Cambria"/>
                <w:color w:val="A6A6A6"/>
                <w:sz w:val="12"/>
                <w:szCs w:val="12"/>
                <w:lang w:eastAsia="da-DK"/>
              </w:rPr>
              <w:t>MOH</w:t>
            </w:r>
          </w:p>
        </w:tc>
      </w:tr>
      <w:tr w:rsidR="00052899" w:rsidRPr="002F0C86">
        <w:trPr>
          <w:trHeight w:val="141"/>
        </w:trPr>
        <w:tc>
          <w:tcPr>
            <w:tcW w:w="125" w:type="pct"/>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10</w:t>
            </w:r>
          </w:p>
        </w:tc>
        <w:tc>
          <w:tcPr>
            <w:tcW w:w="1565" w:type="pct"/>
            <w:tcBorders>
              <w:top w:val="single" w:sz="4" w:space="0" w:color="BFBFBF"/>
              <w:left w:val="nil"/>
              <w:bottom w:val="nil"/>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Nurse: population ratio</w:t>
            </w:r>
          </w:p>
        </w:tc>
        <w:tc>
          <w:tcPr>
            <w:tcW w:w="304" w:type="pct"/>
            <w:gridSpan w:val="2"/>
            <w:tcBorders>
              <w:top w:val="single" w:sz="4" w:space="0" w:color="BFBFBF"/>
              <w:left w:val="nil"/>
              <w:bottom w:val="nil"/>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1:1,537 </w:t>
            </w:r>
          </w:p>
        </w:tc>
        <w:tc>
          <w:tcPr>
            <w:tcW w:w="304" w:type="pct"/>
            <w:gridSpan w:val="3"/>
            <w:tcBorders>
              <w:top w:val="single" w:sz="4" w:space="0" w:color="BFBFBF"/>
              <w:left w:val="single" w:sz="8" w:space="0" w:color="auto"/>
              <w:bottom w:val="nil"/>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1:1,353 </w:t>
            </w:r>
          </w:p>
        </w:tc>
        <w:tc>
          <w:tcPr>
            <w:tcW w:w="305" w:type="pct"/>
            <w:gridSpan w:val="4"/>
            <w:tcBorders>
              <w:top w:val="single" w:sz="4" w:space="0" w:color="BFBFBF"/>
              <w:left w:val="single" w:sz="8" w:space="0" w:color="auto"/>
              <w:bottom w:val="nil"/>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1:1,494* </w:t>
            </w:r>
          </w:p>
        </w:tc>
        <w:tc>
          <w:tcPr>
            <w:tcW w:w="304" w:type="pct"/>
            <w:gridSpan w:val="2"/>
            <w:tcBorders>
              <w:top w:val="single" w:sz="4" w:space="0" w:color="BFBFBF"/>
              <w:left w:val="single" w:sz="8" w:space="0" w:color="auto"/>
              <w:bottom w:val="nil"/>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1:1,516*</w:t>
            </w:r>
          </w:p>
        </w:tc>
        <w:tc>
          <w:tcPr>
            <w:tcW w:w="304" w:type="pct"/>
            <w:gridSpan w:val="2"/>
            <w:tcBorders>
              <w:top w:val="single" w:sz="4" w:space="0" w:color="BFBFBF"/>
              <w:left w:val="single" w:sz="8" w:space="0" w:color="auto"/>
              <w:bottom w:val="nil"/>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1:1,262*</w:t>
            </w:r>
          </w:p>
        </w:tc>
        <w:tc>
          <w:tcPr>
            <w:tcW w:w="305" w:type="pct"/>
            <w:gridSpan w:val="3"/>
            <w:tcBorders>
              <w:top w:val="single" w:sz="4" w:space="0" w:color="BFBFBF"/>
              <w:left w:val="single" w:sz="8" w:space="0" w:color="auto"/>
              <w:bottom w:val="nil"/>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1:900 </w:t>
            </w:r>
          </w:p>
        </w:tc>
        <w:tc>
          <w:tcPr>
            <w:tcW w:w="580" w:type="pct"/>
            <w:tcBorders>
              <w:top w:val="single" w:sz="4" w:space="0" w:color="BFBFBF"/>
              <w:left w:val="single" w:sz="4" w:space="0" w:color="BFBFBF"/>
              <w:bottom w:val="nil"/>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1:1,251</w:t>
            </w:r>
          </w:p>
        </w:tc>
        <w:tc>
          <w:tcPr>
            <w:tcW w:w="602" w:type="pct"/>
            <w:gridSpan w:val="2"/>
            <w:tcBorders>
              <w:top w:val="single" w:sz="4" w:space="0" w:color="BFBFBF"/>
              <w:left w:val="single" w:sz="4" w:space="0" w:color="BFBFBF"/>
              <w:bottom w:val="nil"/>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1:1,251</w:t>
            </w:r>
          </w:p>
        </w:tc>
        <w:tc>
          <w:tcPr>
            <w:tcW w:w="301" w:type="pct"/>
            <w:tcBorders>
              <w:top w:val="single" w:sz="4" w:space="0" w:color="BFBFBF"/>
              <w:left w:val="single" w:sz="4" w:space="0" w:color="BFBFBF"/>
              <w:bottom w:val="nil"/>
              <w:right w:val="single" w:sz="8" w:space="0" w:color="auto"/>
            </w:tcBorders>
            <w:vAlign w:val="bottom"/>
          </w:tcPr>
          <w:p w:rsidR="00052899" w:rsidRPr="002F0C86" w:rsidRDefault="00472AFA" w:rsidP="00052899">
            <w:pPr>
              <w:jc w:val="both"/>
              <w:rPr>
                <w:rFonts w:ascii="Cambria" w:hAnsi="Cambria" w:cs="Cambria"/>
                <w:color w:val="A6A6A6"/>
                <w:sz w:val="12"/>
                <w:szCs w:val="12"/>
                <w:lang w:eastAsia="da-DK"/>
              </w:rPr>
            </w:pPr>
            <w:r>
              <w:rPr>
                <w:rFonts w:ascii="Cambria" w:hAnsi="Cambria" w:cs="Cambria"/>
                <w:color w:val="A6A6A6"/>
                <w:sz w:val="12"/>
                <w:szCs w:val="12"/>
                <w:lang w:eastAsia="da-DK"/>
              </w:rPr>
              <w:t>MOH</w:t>
            </w:r>
          </w:p>
        </w:tc>
      </w:tr>
      <w:tr w:rsidR="00052899" w:rsidRPr="002F0C86">
        <w:trPr>
          <w:trHeight w:hRule="exact" w:val="170"/>
        </w:trPr>
        <w:tc>
          <w:tcPr>
            <w:tcW w:w="5000" w:type="pct"/>
            <w:gridSpan w:val="22"/>
            <w:tcBorders>
              <w:top w:val="single" w:sz="8" w:space="0" w:color="auto"/>
              <w:left w:val="single" w:sz="8" w:space="0" w:color="auto"/>
              <w:right w:val="single" w:sz="8" w:space="0" w:color="auto"/>
            </w:tcBorders>
            <w:shd w:val="clear" w:color="000000" w:fill="808080"/>
            <w:noWrap/>
            <w:vAlign w:val="bottom"/>
          </w:tcPr>
          <w:p w:rsidR="00052899" w:rsidRPr="002F0C86" w:rsidRDefault="00052899" w:rsidP="00052899">
            <w:pPr>
              <w:jc w:val="both"/>
              <w:rPr>
                <w:rFonts w:ascii="Cambria" w:hAnsi="Cambria" w:cs="Cambria"/>
                <w:b/>
                <w:bCs/>
                <w:color w:val="FFFFFF"/>
                <w:sz w:val="12"/>
                <w:szCs w:val="12"/>
                <w:lang w:eastAsia="da-DK"/>
              </w:rPr>
            </w:pPr>
            <w:r w:rsidRPr="002F0C86">
              <w:rPr>
                <w:rFonts w:ascii="Cambria" w:hAnsi="Cambria" w:cs="Cambria"/>
                <w:b/>
                <w:bCs/>
                <w:color w:val="FFFFFF"/>
                <w:sz w:val="12"/>
                <w:szCs w:val="12"/>
                <w:lang w:eastAsia="da-DK"/>
              </w:rPr>
              <w:t>Health Objective 2: Strengthen governance and improve efficiency and effectiveness in the health system</w:t>
            </w:r>
          </w:p>
        </w:tc>
      </w:tr>
      <w:tr w:rsidR="00052899" w:rsidRPr="002F0C86">
        <w:trPr>
          <w:trHeight w:val="141"/>
        </w:trPr>
        <w:tc>
          <w:tcPr>
            <w:tcW w:w="125" w:type="pct"/>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1</w:t>
            </w:r>
          </w:p>
        </w:tc>
        <w:tc>
          <w:tcPr>
            <w:tcW w:w="1565" w:type="pct"/>
            <w:tcBorders>
              <w:top w:val="nil"/>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total MTEF allocation on health</w:t>
            </w:r>
          </w:p>
        </w:tc>
        <w:tc>
          <w:tcPr>
            <w:tcW w:w="304" w:type="pct"/>
            <w:gridSpan w:val="2"/>
            <w:tcBorders>
              <w:top w:val="nil"/>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14.6%</w:t>
            </w:r>
          </w:p>
        </w:tc>
        <w:tc>
          <w:tcPr>
            <w:tcW w:w="304" w:type="pct"/>
            <w:gridSpan w:val="3"/>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14.9%</w:t>
            </w:r>
          </w:p>
        </w:tc>
        <w:tc>
          <w:tcPr>
            <w:tcW w:w="305" w:type="pct"/>
            <w:gridSpan w:val="4"/>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14.6%</w:t>
            </w:r>
          </w:p>
        </w:tc>
        <w:tc>
          <w:tcPr>
            <w:tcW w:w="304" w:type="pct"/>
            <w:gridSpan w:val="2"/>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15.1%</w:t>
            </w:r>
          </w:p>
        </w:tc>
        <w:tc>
          <w:tcPr>
            <w:tcW w:w="304" w:type="pct"/>
            <w:gridSpan w:val="2"/>
            <w:tcBorders>
              <w:top w:val="nil"/>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15.8%</w:t>
            </w:r>
          </w:p>
        </w:tc>
        <w:tc>
          <w:tcPr>
            <w:tcW w:w="305" w:type="pct"/>
            <w:gridSpan w:val="3"/>
            <w:tcBorders>
              <w:top w:val="nil"/>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≥15.0%</w:t>
            </w:r>
          </w:p>
        </w:tc>
        <w:tc>
          <w:tcPr>
            <w:tcW w:w="580" w:type="pct"/>
            <w:tcBorders>
              <w:top w:val="nil"/>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15.4%</w:t>
            </w:r>
          </w:p>
        </w:tc>
        <w:tc>
          <w:tcPr>
            <w:tcW w:w="602" w:type="pct"/>
            <w:gridSpan w:val="2"/>
            <w:tcBorders>
              <w:top w:val="nil"/>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15.4%</w:t>
            </w:r>
          </w:p>
        </w:tc>
        <w:tc>
          <w:tcPr>
            <w:tcW w:w="301" w:type="pct"/>
            <w:tcBorders>
              <w:top w:val="nil"/>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MOH</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2</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non-wage GOG recurrent budget to district level and below</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49.0%</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49.0%</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62.0%</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46.8%</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55.3%</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50.0%</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38.5%</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38.5%</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MOH</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3</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Per capita expenditure on health</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23.0</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23.2</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25.6</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28.6</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35.0</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30.0</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50.7</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50.7</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MOH</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4</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Budget execution rate (Item 3 as proxy)</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110.0%</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115.0%</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80.4%</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94.0%</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82.1%</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≥95.0%</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86.8%</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86.8%</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MOH</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5</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of annual budget allocations disbursed to BMC by end of year</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23.0%</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39.0%</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31.0%</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89.8%</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50.0%</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Pr>
                <w:rFonts w:ascii="Cambria" w:hAnsi="Cambria" w:cs="Cambria"/>
                <w:color w:val="A6A6A6"/>
                <w:sz w:val="12"/>
                <w:szCs w:val="12"/>
                <w:lang w:eastAsia="da-DK"/>
              </w:rPr>
              <w:t>-</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6</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of population with valid NHIS membership card</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33.7%</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33.4%</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70.3.0%</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34.0%</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34.0%</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NHIA</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7</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Proportion of claims settled within 12 weeks</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70.0%</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Pr>
                <w:rFonts w:ascii="Cambria" w:hAnsi="Cambria" w:cs="Cambria"/>
                <w:color w:val="A6A6A6"/>
                <w:sz w:val="12"/>
                <w:szCs w:val="12"/>
                <w:lang w:eastAsia="da-DK"/>
              </w:rPr>
              <w:t>-</w:t>
            </w:r>
          </w:p>
        </w:tc>
      </w:tr>
      <w:tr w:rsidR="00052899" w:rsidRPr="002F0C86">
        <w:trPr>
          <w:trHeight w:val="141"/>
        </w:trPr>
        <w:tc>
          <w:tcPr>
            <w:tcW w:w="125" w:type="pct"/>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8</w:t>
            </w:r>
          </w:p>
        </w:tc>
        <w:tc>
          <w:tcPr>
            <w:tcW w:w="1565" w:type="pct"/>
            <w:tcBorders>
              <w:top w:val="single" w:sz="4" w:space="0" w:color="BFBFBF"/>
              <w:left w:val="nil"/>
              <w:bottom w:val="single" w:sz="8" w:space="0" w:color="auto"/>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IGF from NHIS</w:t>
            </w:r>
          </w:p>
        </w:tc>
        <w:tc>
          <w:tcPr>
            <w:tcW w:w="304" w:type="pct"/>
            <w:gridSpan w:val="2"/>
            <w:tcBorders>
              <w:top w:val="single" w:sz="4" w:space="0" w:color="BFBFBF"/>
              <w:left w:val="nil"/>
              <w:bottom w:val="single" w:sz="8" w:space="0" w:color="auto"/>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N/A</w:t>
            </w:r>
          </w:p>
        </w:tc>
        <w:tc>
          <w:tcPr>
            <w:tcW w:w="304" w:type="pct"/>
            <w:gridSpan w:val="3"/>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66.5%</w:t>
            </w:r>
          </w:p>
        </w:tc>
        <w:tc>
          <w:tcPr>
            <w:tcW w:w="305" w:type="pct"/>
            <w:gridSpan w:val="4"/>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83.5%</w:t>
            </w:r>
          </w:p>
        </w:tc>
        <w:tc>
          <w:tcPr>
            <w:tcW w:w="304" w:type="pct"/>
            <w:gridSpan w:val="2"/>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79.4%</w:t>
            </w:r>
          </w:p>
        </w:tc>
        <w:tc>
          <w:tcPr>
            <w:tcW w:w="304" w:type="pct"/>
            <w:gridSpan w:val="2"/>
            <w:tcBorders>
              <w:top w:val="single" w:sz="4" w:space="0" w:color="BFBFBF"/>
              <w:left w:val="single" w:sz="8" w:space="0" w:color="auto"/>
              <w:bottom w:val="single" w:sz="8" w:space="0" w:color="auto"/>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85.0%</w:t>
            </w:r>
          </w:p>
        </w:tc>
        <w:tc>
          <w:tcPr>
            <w:tcW w:w="305" w:type="pct"/>
            <w:gridSpan w:val="3"/>
            <w:tcBorders>
              <w:top w:val="single" w:sz="4" w:space="0" w:color="BFBFBF"/>
              <w:left w:val="single" w:sz="8" w:space="0" w:color="auto"/>
              <w:bottom w:val="single" w:sz="8" w:space="0" w:color="auto"/>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75.0%</w:t>
            </w:r>
          </w:p>
        </w:tc>
        <w:tc>
          <w:tcPr>
            <w:tcW w:w="580" w:type="pct"/>
            <w:tcBorders>
              <w:top w:val="single" w:sz="4" w:space="0" w:color="BFBFBF"/>
              <w:left w:val="single" w:sz="4" w:space="0" w:color="BFBFBF"/>
              <w:bottom w:val="single" w:sz="8" w:space="0" w:color="auto"/>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602" w:type="pct"/>
            <w:gridSpan w:val="2"/>
            <w:tcBorders>
              <w:top w:val="single" w:sz="4" w:space="0" w:color="BFBFBF"/>
              <w:left w:val="single" w:sz="4" w:space="0" w:color="BFBFBF"/>
              <w:bottom w:val="nil"/>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1" w:type="pct"/>
            <w:tcBorders>
              <w:top w:val="single" w:sz="4" w:space="0" w:color="BFBFBF"/>
              <w:left w:val="single" w:sz="4" w:space="0" w:color="BFBFBF"/>
              <w:bottom w:val="nil"/>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Pr>
                <w:rFonts w:ascii="Cambria" w:hAnsi="Cambria" w:cs="Cambria"/>
                <w:color w:val="A6A6A6"/>
                <w:sz w:val="12"/>
                <w:szCs w:val="12"/>
                <w:lang w:eastAsia="da-DK"/>
              </w:rPr>
              <w:t>-</w:t>
            </w:r>
          </w:p>
        </w:tc>
      </w:tr>
      <w:tr w:rsidR="00052899" w:rsidRPr="002F0C86">
        <w:trPr>
          <w:trHeight w:hRule="exact" w:val="170"/>
        </w:trPr>
        <w:tc>
          <w:tcPr>
            <w:tcW w:w="5000" w:type="pct"/>
            <w:gridSpan w:val="22"/>
            <w:tcBorders>
              <w:top w:val="single" w:sz="8" w:space="0" w:color="auto"/>
              <w:left w:val="single" w:sz="8" w:space="0" w:color="auto"/>
              <w:right w:val="single" w:sz="8" w:space="0" w:color="auto"/>
            </w:tcBorders>
            <w:shd w:val="clear" w:color="000000" w:fill="808080"/>
            <w:noWrap/>
            <w:vAlign w:val="bottom"/>
          </w:tcPr>
          <w:p w:rsidR="00052899" w:rsidRPr="002F0C86" w:rsidRDefault="00052899" w:rsidP="00052899">
            <w:pPr>
              <w:jc w:val="both"/>
              <w:rPr>
                <w:rFonts w:ascii="Cambria" w:hAnsi="Cambria" w:cs="Cambria"/>
                <w:b/>
                <w:bCs/>
                <w:color w:val="FFFFFF"/>
                <w:sz w:val="12"/>
                <w:szCs w:val="12"/>
                <w:lang w:eastAsia="da-DK"/>
              </w:rPr>
            </w:pPr>
            <w:r w:rsidRPr="002F0C86">
              <w:rPr>
                <w:rFonts w:ascii="Cambria" w:hAnsi="Cambria" w:cs="Cambria"/>
                <w:b/>
                <w:bCs/>
                <w:color w:val="FFFFFF"/>
                <w:sz w:val="12"/>
                <w:szCs w:val="12"/>
                <w:lang w:eastAsia="da-DK"/>
              </w:rPr>
              <w:t>Health Objective 3: Improve access to quality maternal, neonatal, child and adolescent health services</w:t>
            </w:r>
          </w:p>
        </w:tc>
      </w:tr>
      <w:tr w:rsidR="00052899" w:rsidRPr="002F0C86">
        <w:trPr>
          <w:trHeight w:val="141"/>
        </w:trPr>
        <w:tc>
          <w:tcPr>
            <w:tcW w:w="125" w:type="pct"/>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1</w:t>
            </w:r>
          </w:p>
        </w:tc>
        <w:tc>
          <w:tcPr>
            <w:tcW w:w="1565" w:type="pct"/>
            <w:tcBorders>
              <w:top w:val="nil"/>
              <w:left w:val="nil"/>
              <w:bottom w:val="single" w:sz="4" w:space="0" w:color="BFBFBF"/>
              <w:right w:val="single" w:sz="8" w:space="0" w:color="auto"/>
            </w:tcBorders>
            <w:shd w:val="clear" w:color="auto" w:fill="D9D9D9"/>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Maternal Mortality Ratio (MMR) per 100,000 live births</w:t>
            </w:r>
          </w:p>
        </w:tc>
        <w:tc>
          <w:tcPr>
            <w:tcW w:w="304" w:type="pct"/>
            <w:gridSpan w:val="2"/>
            <w:tcBorders>
              <w:top w:val="nil"/>
              <w:left w:val="nil"/>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451</w:t>
            </w:r>
          </w:p>
        </w:tc>
        <w:tc>
          <w:tcPr>
            <w:tcW w:w="305" w:type="pct"/>
            <w:gridSpan w:val="4"/>
            <w:tcBorders>
              <w:top w:val="nil"/>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304" w:type="pct"/>
            <w:gridSpan w:val="2"/>
            <w:tcBorders>
              <w:top w:val="nil"/>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nil"/>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3"/>
            <w:tcBorders>
              <w:top w:val="nil"/>
              <w:left w:val="single" w:sz="8" w:space="0" w:color="auto"/>
              <w:bottom w:val="single" w:sz="4" w:space="0" w:color="BFBFBF"/>
              <w:right w:val="single" w:sz="4" w:space="0" w:color="BFBFBF"/>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80" w:type="pct"/>
            <w:tcBorders>
              <w:top w:val="nil"/>
              <w:left w:val="single" w:sz="4" w:space="0" w:color="BFBFBF"/>
              <w:bottom w:val="single" w:sz="4" w:space="0" w:color="BFBFBF"/>
              <w:right w:val="single" w:sz="4" w:space="0" w:color="BFBFBF"/>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p>
        </w:tc>
        <w:tc>
          <w:tcPr>
            <w:tcW w:w="602" w:type="pct"/>
            <w:gridSpan w:val="2"/>
            <w:tcBorders>
              <w:top w:val="nil"/>
              <w:left w:val="single" w:sz="4" w:space="0" w:color="BFBFBF"/>
              <w:bottom w:val="single" w:sz="4" w:space="0" w:color="BFBFBF"/>
              <w:right w:val="single" w:sz="4" w:space="0" w:color="BFBFBF"/>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p>
        </w:tc>
        <w:tc>
          <w:tcPr>
            <w:tcW w:w="301" w:type="pct"/>
            <w:tcBorders>
              <w:top w:val="nil"/>
              <w:left w:val="single" w:sz="4" w:space="0" w:color="BFBFBF"/>
              <w:bottom w:val="single" w:sz="4" w:space="0" w:color="BFBFBF"/>
              <w:right w:val="single" w:sz="8" w:space="0" w:color="auto"/>
            </w:tcBorders>
            <w:shd w:val="clear" w:color="auto" w:fill="D9D9D9"/>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2</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Total Fertility Rate</w:t>
            </w:r>
          </w:p>
        </w:tc>
        <w:tc>
          <w:tcPr>
            <w:tcW w:w="304" w:type="pct"/>
            <w:gridSpan w:val="2"/>
            <w:tcBorders>
              <w:top w:val="single" w:sz="4" w:space="0" w:color="BFBFBF"/>
              <w:left w:val="nil"/>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4.0</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3.8</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4.3</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4.3</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3</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Contraceptive Prevalence Rate</w:t>
            </w:r>
          </w:p>
        </w:tc>
        <w:tc>
          <w:tcPr>
            <w:tcW w:w="304" w:type="pct"/>
            <w:gridSpan w:val="2"/>
            <w:tcBorders>
              <w:top w:val="single" w:sz="4" w:space="0" w:color="BFBFBF"/>
              <w:left w:val="nil"/>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16.6%</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p>
        </w:tc>
        <w:tc>
          <w:tcPr>
            <w:tcW w:w="304" w:type="pct"/>
            <w:gridSpan w:val="2"/>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p>
        </w:tc>
        <w:tc>
          <w:tcPr>
            <w:tcW w:w="304" w:type="pct"/>
            <w:gridSpan w:val="2"/>
            <w:tcBorders>
              <w:top w:val="single" w:sz="4" w:space="0" w:color="BFBFBF"/>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23.4%</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23.4%</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4</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of pregnant women attending at least 4 antenatal visits</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62.8%</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63.8%</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81.6%</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71.1%</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71.3%</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80.1%</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72.3%</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96.4</w:t>
            </w:r>
            <w:r w:rsidRPr="002F0C86">
              <w:rPr>
                <w:rFonts w:ascii="Cambria" w:hAnsi="Cambria" w:cs="Cambria"/>
                <w:color w:val="000000"/>
                <w:sz w:val="12"/>
                <w:szCs w:val="12"/>
                <w:lang w:eastAsia="da-DK"/>
              </w:rPr>
              <w:t>%</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 xml:space="preserve">GHS   </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5</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Infant Mortality Rate (IMR) per 1,000 live births</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50</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&lt;30</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53</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53</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6</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Under 5 Mortality Rate (U5MR) per 1,000 live births</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80</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w:t>
            </w:r>
          </w:p>
        </w:tc>
        <w:tc>
          <w:tcPr>
            <w:tcW w:w="304" w:type="pct"/>
            <w:gridSpan w:val="2"/>
            <w:tcBorders>
              <w:top w:val="single" w:sz="4" w:space="0" w:color="BFBFBF"/>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&lt;50</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82</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82</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7</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deliveries attended by a trained health worker</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35.1%</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42.2%</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45.6%</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48.2%</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55.8%</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60.0%</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58.5%</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77.9</w:t>
            </w:r>
            <w:r w:rsidRPr="002F0C86">
              <w:rPr>
                <w:rFonts w:ascii="Cambria" w:hAnsi="Cambria" w:cs="Cambria"/>
                <w:color w:val="000000"/>
                <w:sz w:val="12"/>
                <w:szCs w:val="12"/>
                <w:lang w:eastAsia="da-DK"/>
              </w:rPr>
              <w:t>%</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GHS/TH</w:t>
            </w:r>
          </w:p>
        </w:tc>
      </w:tr>
      <w:tr w:rsidR="00052899" w:rsidRPr="002F0C86">
        <w:trPr>
          <w:trHeight w:val="141"/>
        </w:trPr>
        <w:tc>
          <w:tcPr>
            <w:tcW w:w="125" w:type="pct"/>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8</w:t>
            </w:r>
          </w:p>
        </w:tc>
        <w:tc>
          <w:tcPr>
            <w:tcW w:w="1565" w:type="pct"/>
            <w:tcBorders>
              <w:top w:val="single" w:sz="4" w:space="0" w:color="BFBFBF"/>
              <w:left w:val="nil"/>
              <w:bottom w:val="nil"/>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Under 5 prevalence of low weight for age</w:t>
            </w:r>
          </w:p>
        </w:tc>
        <w:tc>
          <w:tcPr>
            <w:tcW w:w="304" w:type="pct"/>
            <w:gridSpan w:val="2"/>
            <w:tcBorders>
              <w:top w:val="single" w:sz="4" w:space="0" w:color="BFBFBF"/>
              <w:left w:val="nil"/>
              <w:bottom w:val="nil"/>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single" w:sz="4" w:space="0" w:color="BFBFBF"/>
              <w:left w:val="single" w:sz="8" w:space="0" w:color="auto"/>
              <w:bottom w:val="nil"/>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13.9%</w:t>
            </w:r>
          </w:p>
        </w:tc>
        <w:tc>
          <w:tcPr>
            <w:tcW w:w="305" w:type="pct"/>
            <w:gridSpan w:val="4"/>
            <w:tcBorders>
              <w:top w:val="single" w:sz="4" w:space="0" w:color="BFBFBF"/>
              <w:left w:val="single" w:sz="8" w:space="0" w:color="auto"/>
              <w:bottom w:val="nil"/>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304" w:type="pct"/>
            <w:gridSpan w:val="2"/>
            <w:tcBorders>
              <w:top w:val="single" w:sz="4" w:space="0" w:color="BFBFBF"/>
              <w:left w:val="single" w:sz="8" w:space="0" w:color="auto"/>
              <w:bottom w:val="nil"/>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nil"/>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w:t>
            </w:r>
          </w:p>
        </w:tc>
        <w:tc>
          <w:tcPr>
            <w:tcW w:w="305" w:type="pct"/>
            <w:gridSpan w:val="3"/>
            <w:tcBorders>
              <w:top w:val="single" w:sz="4" w:space="0" w:color="BFBFBF"/>
              <w:left w:val="single" w:sz="8" w:space="0" w:color="auto"/>
              <w:bottom w:val="nil"/>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8.0%</w:t>
            </w:r>
          </w:p>
        </w:tc>
        <w:tc>
          <w:tcPr>
            <w:tcW w:w="580" w:type="pct"/>
            <w:tcBorders>
              <w:top w:val="single" w:sz="4" w:space="0" w:color="BFBFBF"/>
              <w:left w:val="single" w:sz="4" w:space="0" w:color="BFBFBF"/>
              <w:bottom w:val="nil"/>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13.4%</w:t>
            </w:r>
          </w:p>
        </w:tc>
        <w:tc>
          <w:tcPr>
            <w:tcW w:w="602" w:type="pct"/>
            <w:gridSpan w:val="2"/>
            <w:tcBorders>
              <w:top w:val="single" w:sz="4" w:space="0" w:color="BFBFBF"/>
              <w:left w:val="single" w:sz="4" w:space="0" w:color="BFBFBF"/>
              <w:bottom w:val="nil"/>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13.4%</w:t>
            </w:r>
          </w:p>
        </w:tc>
        <w:tc>
          <w:tcPr>
            <w:tcW w:w="301" w:type="pct"/>
            <w:tcBorders>
              <w:top w:val="single" w:sz="4" w:space="0" w:color="BFBFBF"/>
              <w:left w:val="single" w:sz="4" w:space="0" w:color="BFBFBF"/>
              <w:bottom w:val="nil"/>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hRule="exact" w:val="170"/>
        </w:trPr>
        <w:tc>
          <w:tcPr>
            <w:tcW w:w="5000" w:type="pct"/>
            <w:gridSpan w:val="22"/>
            <w:tcBorders>
              <w:top w:val="single" w:sz="8" w:space="0" w:color="auto"/>
              <w:left w:val="single" w:sz="8" w:space="0" w:color="auto"/>
              <w:right w:val="single" w:sz="8" w:space="0" w:color="auto"/>
            </w:tcBorders>
            <w:shd w:val="clear" w:color="000000" w:fill="808080"/>
            <w:noWrap/>
            <w:vAlign w:val="bottom"/>
          </w:tcPr>
          <w:p w:rsidR="00052899" w:rsidRPr="002F0C86" w:rsidRDefault="00052899" w:rsidP="00052899">
            <w:pPr>
              <w:jc w:val="both"/>
              <w:rPr>
                <w:rFonts w:ascii="Cambria" w:hAnsi="Cambria" w:cs="Cambria"/>
                <w:b/>
                <w:bCs/>
                <w:color w:val="FFFFFF"/>
                <w:sz w:val="12"/>
                <w:szCs w:val="12"/>
                <w:lang w:eastAsia="da-DK"/>
              </w:rPr>
            </w:pPr>
            <w:r w:rsidRPr="002F0C86">
              <w:rPr>
                <w:rFonts w:ascii="Cambria" w:hAnsi="Cambria" w:cs="Cambria"/>
                <w:b/>
                <w:bCs/>
                <w:color w:val="FFFFFF"/>
                <w:sz w:val="12"/>
                <w:szCs w:val="12"/>
                <w:lang w:eastAsia="da-DK"/>
              </w:rPr>
              <w:t>Health Objective 4: Intensify and control of communicable and non-communicable diseases and promote a healthy lifestyle</w:t>
            </w:r>
          </w:p>
        </w:tc>
      </w:tr>
      <w:tr w:rsidR="00052899" w:rsidRPr="002F0C86">
        <w:trPr>
          <w:trHeight w:val="141"/>
        </w:trPr>
        <w:tc>
          <w:tcPr>
            <w:tcW w:w="125" w:type="pct"/>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1</w:t>
            </w:r>
          </w:p>
        </w:tc>
        <w:tc>
          <w:tcPr>
            <w:tcW w:w="1565" w:type="pct"/>
            <w:tcBorders>
              <w:top w:val="nil"/>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HIV prevalence among pregnant women 15-24 years</w:t>
            </w:r>
          </w:p>
        </w:tc>
        <w:tc>
          <w:tcPr>
            <w:tcW w:w="304" w:type="pct"/>
            <w:gridSpan w:val="2"/>
            <w:tcBorders>
              <w:top w:val="nil"/>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2.6</w:t>
            </w:r>
          </w:p>
        </w:tc>
        <w:tc>
          <w:tcPr>
            <w:tcW w:w="304" w:type="pct"/>
            <w:gridSpan w:val="3"/>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1.9</w:t>
            </w:r>
          </w:p>
        </w:tc>
        <w:tc>
          <w:tcPr>
            <w:tcW w:w="305" w:type="pct"/>
            <w:gridSpan w:val="4"/>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2.1</w:t>
            </w:r>
          </w:p>
        </w:tc>
        <w:tc>
          <w:tcPr>
            <w:tcW w:w="304" w:type="pct"/>
            <w:gridSpan w:val="2"/>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1.5 </w:t>
            </w:r>
          </w:p>
        </w:tc>
        <w:tc>
          <w:tcPr>
            <w:tcW w:w="304" w:type="pct"/>
            <w:gridSpan w:val="2"/>
            <w:tcBorders>
              <w:top w:val="nil"/>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1.7 </w:t>
            </w:r>
          </w:p>
        </w:tc>
        <w:tc>
          <w:tcPr>
            <w:tcW w:w="305" w:type="pct"/>
            <w:gridSpan w:val="3"/>
            <w:tcBorders>
              <w:top w:val="nil"/>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&lt;1.7%</w:t>
            </w:r>
          </w:p>
        </w:tc>
        <w:tc>
          <w:tcPr>
            <w:tcW w:w="580" w:type="pct"/>
            <w:tcBorders>
              <w:top w:val="nil"/>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602" w:type="pct"/>
            <w:gridSpan w:val="2"/>
            <w:tcBorders>
              <w:top w:val="nil"/>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1" w:type="pct"/>
            <w:tcBorders>
              <w:top w:val="nil"/>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GHS</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2</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of U5s sleeping under ITN</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55.3%</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40.5%</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70.0%</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41.5%</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41.5%</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3</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of children fully immunized by age one - Penta 3</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87.8%</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86.6%</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89.3%</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87.4%</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88.1%</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91.4%</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87.8%</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117.1</w:t>
            </w:r>
            <w:r w:rsidRPr="002F0C86">
              <w:rPr>
                <w:rFonts w:ascii="Cambria" w:hAnsi="Cambria" w:cs="Cambria"/>
                <w:color w:val="000000"/>
                <w:sz w:val="12"/>
                <w:szCs w:val="12"/>
                <w:lang w:eastAsia="da-DK"/>
              </w:rPr>
              <w:t>%</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 xml:space="preserve">GHS   </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4</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HIV+ clients ARV treatment</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13,429 </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23,614 </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33,745 </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40,575</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59,007 </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80,014</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73.339</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73.339</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 xml:space="preserve">NACP  </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5</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Incidence of Guinea Worm</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3,358 </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501</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242</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0</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&lt;50</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0</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0</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 xml:space="preserve">GHS   </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6</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households with improved sanitary facilities</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12.4%</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21.3%</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15.0%</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15.0%</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7</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households with access to improved source of drinking water</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83.8%</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80%</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79.3%</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79.3%</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8</w:t>
            </w:r>
          </w:p>
        </w:tc>
        <w:tc>
          <w:tcPr>
            <w:tcW w:w="1565" w:type="pct"/>
            <w:tcBorders>
              <w:top w:val="single" w:sz="4" w:space="0" w:color="BFBFBF"/>
              <w:left w:val="nil"/>
              <w:bottom w:val="single" w:sz="4" w:space="0" w:color="BFBFBF"/>
              <w:right w:val="single" w:sz="8" w:space="0" w:color="auto"/>
            </w:tcBorders>
            <w:shd w:val="clear" w:color="auto" w:fill="D9D9D9"/>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Obesity in population (women aged 15-49 years)</w:t>
            </w:r>
          </w:p>
        </w:tc>
        <w:tc>
          <w:tcPr>
            <w:tcW w:w="304" w:type="pct"/>
            <w:gridSpan w:val="2"/>
            <w:tcBorders>
              <w:top w:val="single" w:sz="4" w:space="0" w:color="BFBFBF"/>
              <w:left w:val="nil"/>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9.3%</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w:t>
            </w:r>
          </w:p>
        </w:tc>
      </w:tr>
      <w:tr w:rsidR="00052899" w:rsidRPr="002F0C86">
        <w:trPr>
          <w:trHeight w:val="141"/>
        </w:trPr>
        <w:tc>
          <w:tcPr>
            <w:tcW w:w="125" w:type="pct"/>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9</w:t>
            </w:r>
          </w:p>
        </w:tc>
        <w:tc>
          <w:tcPr>
            <w:tcW w:w="1565" w:type="pct"/>
            <w:tcBorders>
              <w:top w:val="single" w:sz="4" w:space="0" w:color="BFBFBF"/>
              <w:left w:val="nil"/>
              <w:bottom w:val="single" w:sz="8" w:space="0" w:color="auto"/>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TB treatment success rate</w:t>
            </w:r>
          </w:p>
        </w:tc>
        <w:tc>
          <w:tcPr>
            <w:tcW w:w="304" w:type="pct"/>
            <w:gridSpan w:val="2"/>
            <w:tcBorders>
              <w:top w:val="single" w:sz="4" w:space="0" w:color="BFBFBF"/>
              <w:left w:val="nil"/>
              <w:bottom w:val="nil"/>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74.5%</w:t>
            </w:r>
          </w:p>
        </w:tc>
        <w:tc>
          <w:tcPr>
            <w:tcW w:w="304" w:type="pct"/>
            <w:gridSpan w:val="3"/>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84.6%</w:t>
            </w:r>
          </w:p>
        </w:tc>
        <w:tc>
          <w:tcPr>
            <w:tcW w:w="305" w:type="pct"/>
            <w:gridSpan w:val="4"/>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85.4%</w:t>
            </w:r>
          </w:p>
        </w:tc>
        <w:tc>
          <w:tcPr>
            <w:tcW w:w="304" w:type="pct"/>
            <w:gridSpan w:val="2"/>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87.0%</w:t>
            </w:r>
          </w:p>
        </w:tc>
        <w:tc>
          <w:tcPr>
            <w:tcW w:w="304" w:type="pct"/>
            <w:gridSpan w:val="2"/>
            <w:tcBorders>
              <w:top w:val="single" w:sz="4" w:space="0" w:color="BFBFBF"/>
              <w:left w:val="single" w:sz="8" w:space="0" w:color="auto"/>
              <w:bottom w:val="single" w:sz="8" w:space="0" w:color="auto"/>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85.3%</w:t>
            </w:r>
          </w:p>
        </w:tc>
        <w:tc>
          <w:tcPr>
            <w:tcW w:w="305" w:type="pct"/>
            <w:gridSpan w:val="3"/>
            <w:tcBorders>
              <w:top w:val="single" w:sz="4" w:space="0" w:color="BFBFBF"/>
              <w:left w:val="single" w:sz="8" w:space="0" w:color="auto"/>
              <w:bottom w:val="single" w:sz="8" w:space="0" w:color="auto"/>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89.0%</w:t>
            </w:r>
          </w:p>
        </w:tc>
        <w:tc>
          <w:tcPr>
            <w:tcW w:w="580" w:type="pct"/>
            <w:tcBorders>
              <w:top w:val="single" w:sz="4" w:space="0" w:color="BFBFBF"/>
              <w:left w:val="single" w:sz="4" w:space="0" w:color="BFBFBF"/>
              <w:bottom w:val="single" w:sz="8" w:space="0" w:color="auto"/>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86.2%</w:t>
            </w:r>
          </w:p>
        </w:tc>
        <w:tc>
          <w:tcPr>
            <w:tcW w:w="602" w:type="pct"/>
            <w:gridSpan w:val="2"/>
            <w:tcBorders>
              <w:top w:val="single" w:sz="4" w:space="0" w:color="BFBFBF"/>
              <w:left w:val="single" w:sz="4" w:space="0" w:color="BFBFBF"/>
              <w:bottom w:val="single" w:sz="8" w:space="0" w:color="auto"/>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86.2%</w:t>
            </w:r>
          </w:p>
        </w:tc>
        <w:tc>
          <w:tcPr>
            <w:tcW w:w="301" w:type="pct"/>
            <w:tcBorders>
              <w:top w:val="single" w:sz="4" w:space="0" w:color="BFBFBF"/>
              <w:left w:val="single" w:sz="4" w:space="0" w:color="BFBFBF"/>
              <w:bottom w:val="single" w:sz="8" w:space="0" w:color="auto"/>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NTP</w:t>
            </w:r>
          </w:p>
        </w:tc>
      </w:tr>
      <w:tr w:rsidR="00052899" w:rsidRPr="002F0C86">
        <w:trPr>
          <w:trHeight w:hRule="exact" w:val="170"/>
        </w:trPr>
        <w:tc>
          <w:tcPr>
            <w:tcW w:w="5000" w:type="pct"/>
            <w:gridSpan w:val="22"/>
            <w:tcBorders>
              <w:top w:val="single" w:sz="8" w:space="0" w:color="auto"/>
              <w:left w:val="single" w:sz="8" w:space="0" w:color="auto"/>
              <w:bottom w:val="single" w:sz="8" w:space="0" w:color="auto"/>
              <w:right w:val="single" w:sz="8" w:space="0" w:color="auto"/>
            </w:tcBorders>
            <w:shd w:val="clear" w:color="000000" w:fill="808080"/>
            <w:noWrap/>
            <w:vAlign w:val="bottom"/>
          </w:tcPr>
          <w:p w:rsidR="00052899" w:rsidRPr="002F0C86" w:rsidRDefault="00052899" w:rsidP="00052899">
            <w:pPr>
              <w:jc w:val="both"/>
              <w:rPr>
                <w:rFonts w:ascii="Cambria" w:hAnsi="Cambria" w:cs="Cambria"/>
                <w:b/>
                <w:bCs/>
                <w:color w:val="FFFFFF"/>
                <w:sz w:val="12"/>
                <w:szCs w:val="12"/>
                <w:lang w:eastAsia="da-DK"/>
              </w:rPr>
            </w:pPr>
            <w:r w:rsidRPr="002F0C86">
              <w:rPr>
                <w:rFonts w:ascii="Cambria" w:hAnsi="Cambria" w:cs="Cambria"/>
                <w:b/>
                <w:bCs/>
                <w:color w:val="FFFFFF"/>
                <w:sz w:val="12"/>
                <w:szCs w:val="12"/>
                <w:lang w:eastAsia="da-DK"/>
              </w:rPr>
              <w:t>Health Objective 5: Strengthen institutional care, including health service delivery</w:t>
            </w:r>
          </w:p>
        </w:tc>
      </w:tr>
      <w:tr w:rsidR="00052899" w:rsidRPr="002F0C86">
        <w:trPr>
          <w:trHeight w:val="141"/>
        </w:trPr>
        <w:tc>
          <w:tcPr>
            <w:tcW w:w="125" w:type="pct"/>
            <w:tcBorders>
              <w:top w:val="single" w:sz="8" w:space="0" w:color="auto"/>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1</w:t>
            </w:r>
          </w:p>
        </w:tc>
        <w:tc>
          <w:tcPr>
            <w:tcW w:w="1565" w:type="pct"/>
            <w:tcBorders>
              <w:top w:val="single" w:sz="8" w:space="0" w:color="auto"/>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Psychiatric patient treatment and rehabilitation rate</w:t>
            </w:r>
          </w:p>
        </w:tc>
        <w:tc>
          <w:tcPr>
            <w:tcW w:w="304" w:type="pct"/>
            <w:gridSpan w:val="2"/>
            <w:tcBorders>
              <w:top w:val="single" w:sz="8" w:space="0" w:color="auto"/>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single" w:sz="8" w:space="0" w:color="auto"/>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4"/>
            <w:tcBorders>
              <w:top w:val="single" w:sz="8" w:space="0" w:color="auto"/>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8" w:space="0" w:color="auto"/>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8" w:space="0" w:color="auto"/>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3"/>
            <w:tcBorders>
              <w:top w:val="single" w:sz="8" w:space="0" w:color="auto"/>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25% &gt;bl.</w:t>
            </w:r>
          </w:p>
        </w:tc>
        <w:tc>
          <w:tcPr>
            <w:tcW w:w="580" w:type="pct"/>
            <w:tcBorders>
              <w:top w:val="single" w:sz="8" w:space="0" w:color="auto"/>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84.8%</w:t>
            </w:r>
          </w:p>
        </w:tc>
        <w:tc>
          <w:tcPr>
            <w:tcW w:w="602" w:type="pct"/>
            <w:gridSpan w:val="2"/>
            <w:tcBorders>
              <w:top w:val="single" w:sz="8" w:space="0" w:color="auto"/>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84.8%</w:t>
            </w:r>
          </w:p>
        </w:tc>
        <w:tc>
          <w:tcPr>
            <w:tcW w:w="301" w:type="pct"/>
            <w:tcBorders>
              <w:top w:val="single" w:sz="8" w:space="0" w:color="auto"/>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Chief Psy.</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2</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Equity index: Ratio of mental health nurses to patient population</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25% &gt;bl.</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1:63</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1:63</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Chief Psy.</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3</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Number of community psychiatric nurses trained and deployed</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25% &gt;bl.</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400</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400</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Chief Psy.</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4</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tracer psychotropic drug availability in hospitals</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75.0%</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85.0%</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85.0%</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Chief Ph.</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5</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Institutional infant mortality rate</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7.0</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7.4</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6.8</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6.4</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2.2</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2.2</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GHS</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6</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Basket equipment functioning in hospitals</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80.0%</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7</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tracer drugs availability in hospitals</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94.1%</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90.0%</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85.7%</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85.7%</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Chief Ph.</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8</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of hospitals assessed for quality assurance and control</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90.0%</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w:t>
            </w:r>
          </w:p>
        </w:tc>
      </w:tr>
      <w:tr w:rsidR="00052899" w:rsidRPr="002F0C86">
        <w:trPr>
          <w:trHeight w:val="141"/>
        </w:trPr>
        <w:tc>
          <w:tcPr>
            <w:tcW w:w="125"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9</w:t>
            </w:r>
          </w:p>
        </w:tc>
        <w:tc>
          <w:tcPr>
            <w:tcW w:w="1565"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Institutional under-five mortality rate</w:t>
            </w:r>
          </w:p>
        </w:tc>
        <w:tc>
          <w:tcPr>
            <w:tcW w:w="304" w:type="pct"/>
            <w:gridSpan w:val="2"/>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9.0</w:t>
            </w:r>
          </w:p>
        </w:tc>
        <w:tc>
          <w:tcPr>
            <w:tcW w:w="305" w:type="pct"/>
            <w:gridSpan w:val="4"/>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10.2</w:t>
            </w:r>
          </w:p>
        </w:tc>
        <w:tc>
          <w:tcPr>
            <w:tcW w:w="304" w:type="pct"/>
            <w:gridSpan w:val="2"/>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9.7</w:t>
            </w:r>
          </w:p>
        </w:tc>
        <w:tc>
          <w:tcPr>
            <w:tcW w:w="304" w:type="pct"/>
            <w:gridSpan w:val="2"/>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9.7</w:t>
            </w:r>
          </w:p>
        </w:tc>
        <w:tc>
          <w:tcPr>
            <w:tcW w:w="305" w:type="pct"/>
            <w:gridSpan w:val="3"/>
            <w:tcBorders>
              <w:top w:val="single" w:sz="4" w:space="0" w:color="BFBFBF"/>
              <w:left w:val="single" w:sz="8" w:space="0" w:color="auto"/>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58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4.0</w:t>
            </w:r>
          </w:p>
        </w:tc>
        <w:tc>
          <w:tcPr>
            <w:tcW w:w="602" w:type="pct"/>
            <w:gridSpan w:val="2"/>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4.0</w:t>
            </w:r>
          </w:p>
        </w:tc>
        <w:tc>
          <w:tcPr>
            <w:tcW w:w="30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GHS</w:t>
            </w:r>
          </w:p>
        </w:tc>
      </w:tr>
      <w:tr w:rsidR="00052899" w:rsidRPr="002F0C86">
        <w:trPr>
          <w:trHeight w:val="141"/>
        </w:trPr>
        <w:tc>
          <w:tcPr>
            <w:tcW w:w="125" w:type="pct"/>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10</w:t>
            </w:r>
          </w:p>
        </w:tc>
        <w:tc>
          <w:tcPr>
            <w:tcW w:w="1565" w:type="pct"/>
            <w:tcBorders>
              <w:top w:val="single" w:sz="4" w:space="0" w:color="BFBFBF"/>
              <w:left w:val="nil"/>
              <w:bottom w:val="single" w:sz="8" w:space="0" w:color="auto"/>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Institutional MMR</w:t>
            </w:r>
          </w:p>
        </w:tc>
        <w:tc>
          <w:tcPr>
            <w:tcW w:w="304" w:type="pct"/>
            <w:gridSpan w:val="2"/>
            <w:tcBorders>
              <w:top w:val="single" w:sz="4" w:space="0" w:color="BFBFBF"/>
              <w:left w:val="nil"/>
              <w:bottom w:val="single" w:sz="8" w:space="0" w:color="auto"/>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3"/>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5" w:type="pct"/>
            <w:gridSpan w:val="4"/>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04" w:type="pct"/>
            <w:gridSpan w:val="2"/>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190</w:t>
            </w:r>
          </w:p>
        </w:tc>
        <w:tc>
          <w:tcPr>
            <w:tcW w:w="304" w:type="pct"/>
            <w:gridSpan w:val="2"/>
            <w:tcBorders>
              <w:top w:val="single" w:sz="4" w:space="0" w:color="BFBFBF"/>
              <w:left w:val="single" w:sz="8" w:space="0" w:color="auto"/>
              <w:bottom w:val="single" w:sz="8" w:space="0" w:color="auto"/>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211</w:t>
            </w:r>
          </w:p>
        </w:tc>
        <w:tc>
          <w:tcPr>
            <w:tcW w:w="305" w:type="pct"/>
            <w:gridSpan w:val="3"/>
            <w:tcBorders>
              <w:top w:val="single" w:sz="4" w:space="0" w:color="BFBFBF"/>
              <w:left w:val="single" w:sz="8" w:space="0" w:color="auto"/>
              <w:bottom w:val="single" w:sz="8" w:space="0" w:color="auto"/>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80" w:type="pct"/>
            <w:tcBorders>
              <w:top w:val="single" w:sz="4" w:space="0" w:color="BFBFBF"/>
              <w:left w:val="single" w:sz="4" w:space="0" w:color="BFBFBF"/>
              <w:bottom w:val="single" w:sz="8" w:space="0" w:color="auto"/>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193</w:t>
            </w:r>
          </w:p>
        </w:tc>
        <w:tc>
          <w:tcPr>
            <w:tcW w:w="602" w:type="pct"/>
            <w:gridSpan w:val="2"/>
            <w:tcBorders>
              <w:top w:val="single" w:sz="4" w:space="0" w:color="BFBFBF"/>
              <w:left w:val="single" w:sz="4" w:space="0" w:color="BFBFBF"/>
              <w:bottom w:val="single" w:sz="8" w:space="0" w:color="auto"/>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193</w:t>
            </w:r>
          </w:p>
        </w:tc>
        <w:tc>
          <w:tcPr>
            <w:tcW w:w="301" w:type="pct"/>
            <w:tcBorders>
              <w:top w:val="single" w:sz="4" w:space="0" w:color="BFBFBF"/>
              <w:left w:val="single" w:sz="4" w:space="0" w:color="BFBFBF"/>
              <w:bottom w:val="single" w:sz="8" w:space="0" w:color="auto"/>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GHS /TH</w:t>
            </w:r>
          </w:p>
        </w:tc>
      </w:tr>
    </w:tbl>
    <w:p w:rsidR="00052899" w:rsidRPr="009F192C" w:rsidRDefault="00052899" w:rsidP="00052899">
      <w:pPr>
        <w:sectPr w:rsidR="00052899" w:rsidRPr="009F192C">
          <w:pgSz w:w="15840" w:h="12240" w:orient="landscape"/>
          <w:pgMar w:top="1440" w:right="1440" w:bottom="1440" w:left="1440" w:header="709" w:footer="709" w:gutter="0"/>
          <w:cols w:space="708"/>
          <w:docGrid w:linePitch="360"/>
        </w:sectPr>
      </w:pPr>
    </w:p>
    <w:p w:rsidR="00052899" w:rsidRPr="00B40A7C" w:rsidRDefault="00052899" w:rsidP="00052899">
      <w:pPr>
        <w:spacing w:after="200" w:line="276" w:lineRule="auto"/>
        <w:jc w:val="both"/>
        <w:rPr>
          <w:rFonts w:cs="Arial"/>
          <w:szCs w:val="22"/>
        </w:rPr>
      </w:pPr>
    </w:p>
    <w:p w:rsidR="00052899" w:rsidRDefault="00052899" w:rsidP="00052899">
      <w:r w:rsidRPr="006F520E">
        <w:t>below</w:t>
      </w:r>
      <w:r>
        <w:t xml:space="preserve"> presents sector wide indicator trends recalculated for the previous years on basis of the 2010 census projections for expected pregnancies (3%), expected children under one year (3%) and WIFE (25.8%).</w:t>
      </w:r>
    </w:p>
    <w:tbl>
      <w:tblPr>
        <w:tblW w:w="5000" w:type="pct"/>
        <w:tblCellMar>
          <w:left w:w="70" w:type="dxa"/>
          <w:right w:w="70" w:type="dxa"/>
        </w:tblCellMar>
        <w:tblLook w:val="04A0"/>
      </w:tblPr>
      <w:tblGrid>
        <w:gridCol w:w="338"/>
        <w:gridCol w:w="4277"/>
        <w:gridCol w:w="737"/>
        <w:gridCol w:w="737"/>
        <w:gridCol w:w="802"/>
        <w:gridCol w:w="802"/>
        <w:gridCol w:w="1064"/>
        <w:gridCol w:w="743"/>
      </w:tblGrid>
      <w:tr w:rsidR="00052899" w:rsidRPr="002F0C86">
        <w:trPr>
          <w:trHeight w:val="20"/>
        </w:trPr>
        <w:tc>
          <w:tcPr>
            <w:tcW w:w="178" w:type="pct"/>
            <w:tcBorders>
              <w:top w:val="single" w:sz="4" w:space="0" w:color="auto"/>
              <w:left w:val="single" w:sz="4" w:space="0" w:color="auto"/>
              <w:bottom w:val="single" w:sz="4" w:space="0" w:color="auto"/>
              <w:right w:val="single" w:sz="4" w:space="0" w:color="auto"/>
            </w:tcBorders>
            <w:shd w:val="clear" w:color="000000" w:fill="000000"/>
            <w:noWrap/>
            <w:vAlign w:val="bottom"/>
          </w:tcPr>
          <w:p w:rsidR="00052899" w:rsidRPr="0020005B" w:rsidRDefault="00052899" w:rsidP="00052899">
            <w:pPr>
              <w:jc w:val="both"/>
              <w:rPr>
                <w:rFonts w:ascii="Cambria" w:hAnsi="Cambria" w:cs="Cambria"/>
                <w:sz w:val="12"/>
                <w:szCs w:val="12"/>
                <w:lang w:eastAsia="da-DK"/>
              </w:rPr>
            </w:pPr>
            <w:r w:rsidRPr="0020005B">
              <w:rPr>
                <w:i/>
              </w:rPr>
              <w:br w:type="column"/>
            </w:r>
            <w:r w:rsidRPr="0020005B">
              <w:rPr>
                <w:rFonts w:ascii="Cambria" w:hAnsi="Cambria" w:cs="Cambria"/>
                <w:sz w:val="12"/>
                <w:szCs w:val="12"/>
                <w:lang w:eastAsia="da-DK"/>
              </w:rPr>
              <w:t> </w:t>
            </w:r>
          </w:p>
        </w:tc>
        <w:tc>
          <w:tcPr>
            <w:tcW w:w="2251" w:type="pct"/>
            <w:tcBorders>
              <w:top w:val="single" w:sz="4" w:space="0" w:color="auto"/>
              <w:left w:val="single" w:sz="4" w:space="0" w:color="auto"/>
              <w:bottom w:val="single" w:sz="4" w:space="0" w:color="auto"/>
              <w:right w:val="single" w:sz="4" w:space="0" w:color="auto"/>
            </w:tcBorders>
            <w:shd w:val="clear" w:color="000000" w:fill="000000"/>
            <w:vAlign w:val="bottom"/>
          </w:tcPr>
          <w:p w:rsidR="00052899" w:rsidRPr="0020005B" w:rsidRDefault="00052899" w:rsidP="00052899">
            <w:pPr>
              <w:jc w:val="both"/>
              <w:rPr>
                <w:rFonts w:ascii="Cambria" w:hAnsi="Cambria" w:cs="Cambria"/>
                <w:sz w:val="12"/>
                <w:szCs w:val="12"/>
                <w:lang w:eastAsia="da-DK"/>
              </w:rPr>
            </w:pPr>
          </w:p>
        </w:tc>
        <w:tc>
          <w:tcPr>
            <w:tcW w:w="388" w:type="pct"/>
            <w:tcBorders>
              <w:top w:val="single" w:sz="4" w:space="0" w:color="auto"/>
              <w:left w:val="single" w:sz="4" w:space="0" w:color="auto"/>
              <w:bottom w:val="single" w:sz="4" w:space="0" w:color="auto"/>
              <w:right w:val="single" w:sz="4" w:space="0" w:color="auto"/>
            </w:tcBorders>
            <w:shd w:val="clear" w:color="000000" w:fill="000000"/>
            <w:noWrap/>
            <w:vAlign w:val="bottom"/>
          </w:tcPr>
          <w:p w:rsidR="00052899" w:rsidRPr="0020005B" w:rsidRDefault="00052899" w:rsidP="00052899">
            <w:pPr>
              <w:jc w:val="both"/>
              <w:rPr>
                <w:rFonts w:ascii="Cambria" w:hAnsi="Cambria" w:cs="Cambria"/>
                <w:b/>
                <w:bCs/>
                <w:sz w:val="12"/>
                <w:szCs w:val="12"/>
                <w:lang w:eastAsia="da-DK"/>
              </w:rPr>
            </w:pPr>
          </w:p>
        </w:tc>
        <w:tc>
          <w:tcPr>
            <w:tcW w:w="388" w:type="pct"/>
            <w:tcBorders>
              <w:top w:val="single" w:sz="4" w:space="0" w:color="auto"/>
              <w:left w:val="single" w:sz="4" w:space="0" w:color="auto"/>
              <w:bottom w:val="single" w:sz="4" w:space="0" w:color="auto"/>
              <w:right w:val="single" w:sz="4" w:space="0" w:color="auto"/>
            </w:tcBorders>
            <w:shd w:val="clear" w:color="000000" w:fill="000000"/>
            <w:noWrap/>
            <w:vAlign w:val="bottom"/>
          </w:tcPr>
          <w:p w:rsidR="00052899" w:rsidRPr="0020005B" w:rsidRDefault="00052899" w:rsidP="00052899">
            <w:pPr>
              <w:jc w:val="both"/>
              <w:rPr>
                <w:rFonts w:ascii="Cambria" w:hAnsi="Cambria" w:cs="Cambria"/>
                <w:b/>
                <w:bCs/>
                <w:sz w:val="12"/>
                <w:szCs w:val="12"/>
                <w:lang w:eastAsia="da-DK"/>
              </w:rPr>
            </w:pPr>
          </w:p>
        </w:tc>
        <w:tc>
          <w:tcPr>
            <w:tcW w:w="422" w:type="pct"/>
            <w:tcBorders>
              <w:top w:val="single" w:sz="4" w:space="0" w:color="auto"/>
              <w:left w:val="single" w:sz="4" w:space="0" w:color="auto"/>
              <w:bottom w:val="single" w:sz="4" w:space="0" w:color="auto"/>
              <w:right w:val="single" w:sz="4" w:space="0" w:color="auto"/>
            </w:tcBorders>
            <w:shd w:val="clear" w:color="000000" w:fill="000000"/>
            <w:noWrap/>
            <w:vAlign w:val="bottom"/>
          </w:tcPr>
          <w:p w:rsidR="00052899" w:rsidRPr="0020005B" w:rsidRDefault="00052899" w:rsidP="00052899">
            <w:pPr>
              <w:jc w:val="both"/>
              <w:rPr>
                <w:rFonts w:ascii="Cambria" w:hAnsi="Cambria" w:cs="Cambria"/>
                <w:b/>
                <w:bCs/>
                <w:sz w:val="12"/>
                <w:szCs w:val="12"/>
                <w:lang w:eastAsia="da-DK"/>
              </w:rPr>
            </w:pPr>
          </w:p>
        </w:tc>
        <w:tc>
          <w:tcPr>
            <w:tcW w:w="422" w:type="pct"/>
            <w:tcBorders>
              <w:top w:val="single" w:sz="4" w:space="0" w:color="auto"/>
              <w:left w:val="single" w:sz="4" w:space="0" w:color="auto"/>
              <w:bottom w:val="single" w:sz="4" w:space="0" w:color="auto"/>
              <w:right w:val="single" w:sz="4" w:space="0" w:color="auto"/>
            </w:tcBorders>
            <w:shd w:val="clear" w:color="000000" w:fill="000000"/>
            <w:noWrap/>
            <w:vAlign w:val="bottom"/>
          </w:tcPr>
          <w:p w:rsidR="00052899" w:rsidRPr="0020005B" w:rsidRDefault="00052899" w:rsidP="00052899">
            <w:pPr>
              <w:jc w:val="both"/>
              <w:rPr>
                <w:rFonts w:ascii="Cambria" w:hAnsi="Cambria" w:cs="Cambria"/>
                <w:b/>
                <w:bCs/>
                <w:sz w:val="12"/>
                <w:szCs w:val="12"/>
                <w:lang w:eastAsia="da-DK"/>
              </w:rPr>
            </w:pPr>
          </w:p>
        </w:tc>
        <w:tc>
          <w:tcPr>
            <w:tcW w:w="950" w:type="pct"/>
            <w:gridSpan w:val="2"/>
            <w:tcBorders>
              <w:top w:val="single" w:sz="4" w:space="0" w:color="auto"/>
              <w:left w:val="single" w:sz="4" w:space="0" w:color="auto"/>
              <w:bottom w:val="single" w:sz="4" w:space="0" w:color="auto"/>
              <w:right w:val="single" w:sz="4" w:space="0" w:color="auto"/>
            </w:tcBorders>
            <w:shd w:val="clear" w:color="000000" w:fill="000000"/>
            <w:vAlign w:val="bottom"/>
          </w:tcPr>
          <w:p w:rsidR="00052899" w:rsidRPr="0020005B" w:rsidRDefault="00052899" w:rsidP="00052899">
            <w:pPr>
              <w:jc w:val="center"/>
              <w:rPr>
                <w:rFonts w:ascii="Cambria" w:hAnsi="Cambria" w:cs="Cambria"/>
                <w:b/>
                <w:bCs/>
                <w:sz w:val="12"/>
                <w:szCs w:val="12"/>
                <w:lang w:eastAsia="da-DK"/>
              </w:rPr>
            </w:pPr>
            <w:r>
              <w:rPr>
                <w:rFonts w:ascii="Cambria" w:hAnsi="Cambria" w:cs="Cambria"/>
                <w:b/>
                <w:bCs/>
                <w:sz w:val="12"/>
                <w:szCs w:val="12"/>
                <w:lang w:eastAsia="da-DK"/>
              </w:rPr>
              <w:t>POW 2012</w:t>
            </w:r>
          </w:p>
        </w:tc>
      </w:tr>
      <w:tr w:rsidR="00052899" w:rsidRPr="002F0C86">
        <w:trPr>
          <w:trHeight w:val="20"/>
        </w:trPr>
        <w:tc>
          <w:tcPr>
            <w:tcW w:w="178" w:type="pct"/>
            <w:tcBorders>
              <w:top w:val="single" w:sz="4" w:space="0" w:color="auto"/>
              <w:left w:val="single" w:sz="4" w:space="0" w:color="auto"/>
              <w:bottom w:val="single" w:sz="4" w:space="0" w:color="auto"/>
              <w:right w:val="single" w:sz="4" w:space="0" w:color="auto"/>
            </w:tcBorders>
            <w:shd w:val="clear" w:color="000000" w:fill="000000"/>
            <w:noWrap/>
            <w:vAlign w:val="bottom"/>
          </w:tcPr>
          <w:p w:rsidR="00052899" w:rsidRPr="0020005B" w:rsidRDefault="00052899" w:rsidP="00052899">
            <w:pPr>
              <w:jc w:val="both"/>
              <w:rPr>
                <w:rFonts w:ascii="Cambria" w:hAnsi="Cambria" w:cs="Cambria"/>
                <w:sz w:val="12"/>
                <w:szCs w:val="12"/>
                <w:lang w:eastAsia="da-DK"/>
              </w:rPr>
            </w:pPr>
          </w:p>
        </w:tc>
        <w:tc>
          <w:tcPr>
            <w:tcW w:w="2251" w:type="pct"/>
            <w:tcBorders>
              <w:top w:val="single" w:sz="4" w:space="0" w:color="auto"/>
              <w:left w:val="single" w:sz="4" w:space="0" w:color="auto"/>
              <w:bottom w:val="single" w:sz="4" w:space="0" w:color="auto"/>
              <w:right w:val="single" w:sz="4" w:space="0" w:color="auto"/>
            </w:tcBorders>
            <w:shd w:val="clear" w:color="000000" w:fill="000000"/>
            <w:vAlign w:val="bottom"/>
          </w:tcPr>
          <w:p w:rsidR="00052899" w:rsidRPr="0020005B" w:rsidRDefault="00052899" w:rsidP="00052899">
            <w:pPr>
              <w:jc w:val="both"/>
              <w:rPr>
                <w:rFonts w:ascii="Cambria" w:hAnsi="Cambria" w:cs="Cambria"/>
                <w:sz w:val="12"/>
                <w:szCs w:val="12"/>
                <w:lang w:eastAsia="da-DK"/>
              </w:rPr>
            </w:pPr>
          </w:p>
        </w:tc>
        <w:tc>
          <w:tcPr>
            <w:tcW w:w="388" w:type="pct"/>
            <w:tcBorders>
              <w:top w:val="single" w:sz="4" w:space="0" w:color="auto"/>
              <w:left w:val="single" w:sz="4" w:space="0" w:color="auto"/>
              <w:bottom w:val="single" w:sz="4" w:space="0" w:color="auto"/>
              <w:right w:val="single" w:sz="4" w:space="0" w:color="auto"/>
            </w:tcBorders>
            <w:shd w:val="clear" w:color="000000" w:fill="000000"/>
            <w:noWrap/>
            <w:vAlign w:val="bottom"/>
          </w:tcPr>
          <w:p w:rsidR="00052899" w:rsidRPr="0020005B" w:rsidRDefault="00052899" w:rsidP="00052899">
            <w:pPr>
              <w:jc w:val="both"/>
              <w:rPr>
                <w:rFonts w:ascii="Cambria" w:hAnsi="Cambria" w:cs="Cambria"/>
                <w:b/>
                <w:bCs/>
                <w:sz w:val="12"/>
                <w:szCs w:val="12"/>
                <w:lang w:eastAsia="da-DK"/>
              </w:rPr>
            </w:pPr>
            <w:r w:rsidRPr="0020005B">
              <w:rPr>
                <w:rFonts w:ascii="Cambria" w:hAnsi="Cambria" w:cs="Cambria"/>
                <w:b/>
                <w:bCs/>
                <w:sz w:val="12"/>
                <w:szCs w:val="12"/>
                <w:lang w:eastAsia="da-DK"/>
              </w:rPr>
              <w:t>2008</w:t>
            </w:r>
          </w:p>
        </w:tc>
        <w:tc>
          <w:tcPr>
            <w:tcW w:w="388" w:type="pct"/>
            <w:tcBorders>
              <w:top w:val="single" w:sz="4" w:space="0" w:color="auto"/>
              <w:left w:val="single" w:sz="4" w:space="0" w:color="auto"/>
              <w:bottom w:val="single" w:sz="4" w:space="0" w:color="auto"/>
              <w:right w:val="single" w:sz="4" w:space="0" w:color="auto"/>
            </w:tcBorders>
            <w:shd w:val="clear" w:color="000000" w:fill="000000"/>
            <w:noWrap/>
            <w:vAlign w:val="bottom"/>
          </w:tcPr>
          <w:p w:rsidR="00052899" w:rsidRPr="0020005B" w:rsidRDefault="00052899" w:rsidP="00052899">
            <w:pPr>
              <w:jc w:val="both"/>
              <w:rPr>
                <w:rFonts w:ascii="Cambria" w:hAnsi="Cambria" w:cs="Cambria"/>
                <w:b/>
                <w:bCs/>
                <w:sz w:val="12"/>
                <w:szCs w:val="12"/>
                <w:lang w:eastAsia="da-DK"/>
              </w:rPr>
            </w:pPr>
            <w:r w:rsidRPr="0020005B">
              <w:rPr>
                <w:rFonts w:ascii="Cambria" w:hAnsi="Cambria" w:cs="Cambria"/>
                <w:b/>
                <w:bCs/>
                <w:sz w:val="12"/>
                <w:szCs w:val="12"/>
                <w:lang w:eastAsia="da-DK"/>
              </w:rPr>
              <w:t>2009</w:t>
            </w:r>
          </w:p>
        </w:tc>
        <w:tc>
          <w:tcPr>
            <w:tcW w:w="422" w:type="pct"/>
            <w:tcBorders>
              <w:top w:val="single" w:sz="4" w:space="0" w:color="auto"/>
              <w:left w:val="single" w:sz="4" w:space="0" w:color="auto"/>
              <w:bottom w:val="single" w:sz="4" w:space="0" w:color="auto"/>
              <w:right w:val="single" w:sz="4" w:space="0" w:color="auto"/>
            </w:tcBorders>
            <w:shd w:val="clear" w:color="000000" w:fill="000000"/>
            <w:noWrap/>
            <w:vAlign w:val="bottom"/>
          </w:tcPr>
          <w:p w:rsidR="00052899" w:rsidRPr="0020005B" w:rsidRDefault="00052899" w:rsidP="00052899">
            <w:pPr>
              <w:jc w:val="both"/>
              <w:rPr>
                <w:rFonts w:ascii="Cambria" w:hAnsi="Cambria" w:cs="Cambria"/>
                <w:b/>
                <w:bCs/>
                <w:sz w:val="12"/>
                <w:szCs w:val="12"/>
                <w:lang w:eastAsia="da-DK"/>
              </w:rPr>
            </w:pPr>
            <w:r w:rsidRPr="0020005B">
              <w:rPr>
                <w:rFonts w:ascii="Cambria" w:hAnsi="Cambria" w:cs="Cambria"/>
                <w:b/>
                <w:bCs/>
                <w:sz w:val="12"/>
                <w:szCs w:val="12"/>
                <w:lang w:eastAsia="da-DK"/>
              </w:rPr>
              <w:t>2010</w:t>
            </w:r>
          </w:p>
        </w:tc>
        <w:tc>
          <w:tcPr>
            <w:tcW w:w="422" w:type="pct"/>
            <w:tcBorders>
              <w:top w:val="single" w:sz="4" w:space="0" w:color="auto"/>
              <w:left w:val="single" w:sz="4" w:space="0" w:color="auto"/>
              <w:bottom w:val="single" w:sz="4" w:space="0" w:color="auto"/>
              <w:right w:val="single" w:sz="4" w:space="0" w:color="auto"/>
            </w:tcBorders>
            <w:shd w:val="clear" w:color="000000" w:fill="000000"/>
            <w:noWrap/>
            <w:vAlign w:val="bottom"/>
          </w:tcPr>
          <w:p w:rsidR="00052899" w:rsidRPr="0020005B" w:rsidRDefault="00052899" w:rsidP="00052899">
            <w:pPr>
              <w:jc w:val="both"/>
              <w:rPr>
                <w:rFonts w:ascii="Cambria" w:hAnsi="Cambria" w:cs="Cambria"/>
                <w:b/>
                <w:bCs/>
                <w:sz w:val="12"/>
                <w:szCs w:val="12"/>
                <w:lang w:eastAsia="da-DK"/>
              </w:rPr>
            </w:pPr>
            <w:r w:rsidRPr="0020005B">
              <w:rPr>
                <w:rFonts w:ascii="Cambria" w:hAnsi="Cambria" w:cs="Cambria"/>
                <w:b/>
                <w:bCs/>
                <w:sz w:val="12"/>
                <w:szCs w:val="12"/>
                <w:lang w:eastAsia="da-DK"/>
              </w:rPr>
              <w:t>2011</w:t>
            </w:r>
          </w:p>
        </w:tc>
        <w:tc>
          <w:tcPr>
            <w:tcW w:w="560" w:type="pct"/>
            <w:tcBorders>
              <w:top w:val="single" w:sz="4" w:space="0" w:color="auto"/>
              <w:left w:val="single" w:sz="4" w:space="0" w:color="auto"/>
              <w:bottom w:val="single" w:sz="4" w:space="0" w:color="auto"/>
              <w:right w:val="single" w:sz="4" w:space="0" w:color="auto"/>
            </w:tcBorders>
            <w:shd w:val="clear" w:color="000000" w:fill="000000"/>
            <w:noWrap/>
            <w:vAlign w:val="bottom"/>
          </w:tcPr>
          <w:p w:rsidR="00052899" w:rsidRPr="0020005B" w:rsidRDefault="00052899" w:rsidP="00052899">
            <w:pPr>
              <w:jc w:val="center"/>
              <w:rPr>
                <w:rFonts w:ascii="Cambria" w:hAnsi="Cambria" w:cs="Cambria"/>
                <w:b/>
                <w:bCs/>
                <w:sz w:val="12"/>
                <w:szCs w:val="12"/>
                <w:lang w:eastAsia="da-DK"/>
              </w:rPr>
            </w:pPr>
            <w:r>
              <w:rPr>
                <w:rFonts w:ascii="Cambria" w:hAnsi="Cambria" w:cs="Cambria"/>
                <w:b/>
                <w:bCs/>
                <w:sz w:val="12"/>
                <w:szCs w:val="12"/>
                <w:lang w:eastAsia="da-DK"/>
              </w:rPr>
              <w:t>Performance</w:t>
            </w:r>
          </w:p>
        </w:tc>
        <w:tc>
          <w:tcPr>
            <w:tcW w:w="391" w:type="pct"/>
            <w:tcBorders>
              <w:top w:val="single" w:sz="4" w:space="0" w:color="auto"/>
              <w:left w:val="single" w:sz="4" w:space="0" w:color="auto"/>
              <w:bottom w:val="single" w:sz="4" w:space="0" w:color="auto"/>
              <w:right w:val="single" w:sz="4" w:space="0" w:color="auto"/>
            </w:tcBorders>
            <w:shd w:val="clear" w:color="000000" w:fill="000000"/>
          </w:tcPr>
          <w:p w:rsidR="00052899" w:rsidRPr="0020005B" w:rsidRDefault="00052899" w:rsidP="00052899">
            <w:pPr>
              <w:jc w:val="both"/>
              <w:rPr>
                <w:rFonts w:ascii="Cambria" w:hAnsi="Cambria" w:cs="Cambria"/>
                <w:b/>
                <w:bCs/>
                <w:sz w:val="12"/>
                <w:szCs w:val="12"/>
                <w:lang w:eastAsia="da-DK"/>
              </w:rPr>
            </w:pPr>
            <w:r w:rsidRPr="0020005B">
              <w:rPr>
                <w:rFonts w:ascii="Cambria" w:hAnsi="Cambria" w:cs="Cambria"/>
                <w:b/>
                <w:bCs/>
                <w:sz w:val="12"/>
                <w:szCs w:val="12"/>
                <w:lang w:eastAsia="da-DK"/>
              </w:rPr>
              <w:t>Source</w:t>
            </w:r>
          </w:p>
        </w:tc>
      </w:tr>
      <w:tr w:rsidR="00052899" w:rsidRPr="002F0C86">
        <w:trPr>
          <w:trHeight w:hRule="exact" w:val="170"/>
        </w:trPr>
        <w:tc>
          <w:tcPr>
            <w:tcW w:w="5000" w:type="pct"/>
            <w:gridSpan w:val="8"/>
            <w:tcBorders>
              <w:top w:val="single" w:sz="4" w:space="0" w:color="auto"/>
              <w:left w:val="single" w:sz="8" w:space="0" w:color="auto"/>
              <w:right w:val="single" w:sz="8" w:space="0" w:color="auto"/>
            </w:tcBorders>
            <w:shd w:val="clear" w:color="000000" w:fill="808080"/>
            <w:noWrap/>
            <w:vAlign w:val="bottom"/>
          </w:tcPr>
          <w:p w:rsidR="00052899" w:rsidRPr="002F0C86" w:rsidRDefault="00052899" w:rsidP="00052899">
            <w:pPr>
              <w:jc w:val="both"/>
              <w:rPr>
                <w:rFonts w:ascii="Cambria" w:hAnsi="Cambria" w:cs="Cambria"/>
                <w:b/>
                <w:bCs/>
                <w:color w:val="FFFFFF"/>
                <w:sz w:val="12"/>
                <w:szCs w:val="12"/>
                <w:lang w:eastAsia="da-DK"/>
              </w:rPr>
            </w:pPr>
            <w:r w:rsidRPr="002F0C86">
              <w:rPr>
                <w:rFonts w:ascii="Cambria" w:hAnsi="Cambria" w:cs="Cambria"/>
                <w:b/>
                <w:bCs/>
                <w:color w:val="FFFFFF"/>
                <w:sz w:val="12"/>
                <w:szCs w:val="12"/>
                <w:lang w:eastAsia="da-DK"/>
              </w:rPr>
              <w:t>Health Objective 1: Bridge equity gaps in health care and nutrition services and ensure sustainable financing arrangements that protect the poor</w:t>
            </w:r>
          </w:p>
        </w:tc>
      </w:tr>
      <w:tr w:rsidR="00052899" w:rsidRPr="002F0C86">
        <w:trPr>
          <w:trHeight w:val="141"/>
        </w:trPr>
        <w:tc>
          <w:tcPr>
            <w:tcW w:w="178" w:type="pct"/>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1</w:t>
            </w:r>
          </w:p>
        </w:tc>
        <w:tc>
          <w:tcPr>
            <w:tcW w:w="2251" w:type="pct"/>
            <w:tcBorders>
              <w:top w:val="nil"/>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children 0-6 months exclusive breastfed</w:t>
            </w:r>
          </w:p>
        </w:tc>
        <w:tc>
          <w:tcPr>
            <w:tcW w:w="388" w:type="pct"/>
            <w:tcBorders>
              <w:top w:val="nil"/>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62.8% </w:t>
            </w:r>
          </w:p>
        </w:tc>
        <w:tc>
          <w:tcPr>
            <w:tcW w:w="388" w:type="pct"/>
            <w:tcBorders>
              <w:top w:val="nil"/>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nil"/>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nil"/>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60" w:type="pct"/>
            <w:tcBorders>
              <w:top w:val="nil"/>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45.7%</w:t>
            </w:r>
          </w:p>
        </w:tc>
        <w:tc>
          <w:tcPr>
            <w:tcW w:w="391" w:type="pct"/>
            <w:tcBorders>
              <w:top w:val="nil"/>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2</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Equity: Poverty (U5MR)</w:t>
            </w:r>
          </w:p>
        </w:tc>
        <w:tc>
          <w:tcPr>
            <w:tcW w:w="388"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1.72</w:t>
            </w:r>
          </w:p>
        </w:tc>
        <w:tc>
          <w:tcPr>
            <w:tcW w:w="388"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w:t>
            </w:r>
          </w:p>
        </w:tc>
        <w:tc>
          <w:tcPr>
            <w:tcW w:w="422"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w:t>
            </w:r>
          </w:p>
        </w:tc>
        <w:tc>
          <w:tcPr>
            <w:tcW w:w="422" w:type="pct"/>
            <w:tcBorders>
              <w:top w:val="single" w:sz="4" w:space="0" w:color="BFBFBF"/>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2.04</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3</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Equity: Geography - Services (supervised deliveries)</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2.17 </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1.49</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1.89* </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1.66* </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1.48</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 xml:space="preserve">GHS   </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4</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Equity: Geography - Resources (nurse: population)</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2.03</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1.81</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1.99* </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1.73*</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1.75</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472AFA" w:rsidP="00052899">
            <w:pPr>
              <w:jc w:val="both"/>
              <w:rPr>
                <w:rFonts w:ascii="Cambria" w:hAnsi="Cambria" w:cs="Cambria"/>
                <w:color w:val="A6A6A6"/>
                <w:sz w:val="12"/>
                <w:szCs w:val="12"/>
                <w:lang w:eastAsia="da-DK"/>
              </w:rPr>
            </w:pPr>
            <w:r>
              <w:rPr>
                <w:rFonts w:ascii="Cambria" w:hAnsi="Cambria" w:cs="Cambria"/>
                <w:color w:val="A6A6A6"/>
                <w:sz w:val="12"/>
                <w:szCs w:val="12"/>
                <w:lang w:eastAsia="da-DK"/>
              </w:rPr>
              <w:t>MOH</w:t>
            </w:r>
            <w:r w:rsidR="00052899" w:rsidRPr="002F0C86">
              <w:rPr>
                <w:rFonts w:ascii="Cambria" w:hAnsi="Cambria" w:cs="Cambria"/>
                <w:color w:val="A6A6A6"/>
                <w:sz w:val="12"/>
                <w:szCs w:val="12"/>
                <w:lang w:eastAsia="da-DK"/>
              </w:rPr>
              <w:t xml:space="preserve">  </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5</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Equity: NHIS – Gender</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1.27</w:t>
            </w:r>
          </w:p>
        </w:tc>
        <w:tc>
          <w:tcPr>
            <w:tcW w:w="388"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w:t>
            </w:r>
          </w:p>
        </w:tc>
        <w:tc>
          <w:tcPr>
            <w:tcW w:w="422"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1.38   </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1.23</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6</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Equity: NHIS – Poverty</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0.82 (F)</w:t>
            </w:r>
          </w:p>
        </w:tc>
        <w:tc>
          <w:tcPr>
            <w:tcW w:w="388"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w:t>
            </w:r>
          </w:p>
        </w:tc>
        <w:tc>
          <w:tcPr>
            <w:tcW w:w="422"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w:t>
            </w:r>
          </w:p>
        </w:tc>
        <w:tc>
          <w:tcPr>
            <w:tcW w:w="422" w:type="pct"/>
            <w:tcBorders>
              <w:top w:val="single" w:sz="4" w:space="0" w:color="BFBFBF"/>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0.69 (F)</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Pr>
                <w:rFonts w:ascii="Cambria" w:hAnsi="Cambria" w:cs="Cambria"/>
                <w:color w:val="A6A6A6"/>
                <w:sz w:val="12"/>
                <w:szCs w:val="12"/>
                <w:lang w:eastAsia="da-DK"/>
              </w:rPr>
              <w:t>MICS</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7</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Outpatients attendance per capita (OPD)</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0.77 </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0.81 </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0.91* </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1.04*</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1.17</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GHS /TH</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8</w:t>
            </w:r>
          </w:p>
        </w:tc>
        <w:tc>
          <w:tcPr>
            <w:tcW w:w="2251" w:type="pct"/>
            <w:tcBorders>
              <w:top w:val="single" w:sz="4" w:space="0" w:color="BFBFBF"/>
              <w:left w:val="nil"/>
              <w:bottom w:val="single" w:sz="4" w:space="0" w:color="BFBFBF"/>
              <w:right w:val="single" w:sz="8" w:space="0" w:color="auto"/>
            </w:tcBorders>
            <w:shd w:val="clear" w:color="auto" w:fill="D9D9D9"/>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population living within 8 km of health infrastructure</w:t>
            </w:r>
          </w:p>
        </w:tc>
        <w:tc>
          <w:tcPr>
            <w:tcW w:w="388"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88"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w:t>
            </w:r>
          </w:p>
        </w:tc>
        <w:tc>
          <w:tcPr>
            <w:tcW w:w="422" w:type="pct"/>
            <w:tcBorders>
              <w:top w:val="single" w:sz="4" w:space="0" w:color="BFBFBF"/>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560" w:type="pct"/>
            <w:tcBorders>
              <w:top w:val="single" w:sz="4" w:space="0" w:color="BFBFBF"/>
              <w:left w:val="single" w:sz="4" w:space="0" w:color="BFBFBF"/>
              <w:bottom w:val="single" w:sz="4" w:space="0" w:color="BFBFBF"/>
              <w:right w:val="single" w:sz="4" w:space="0" w:color="BFBFBF"/>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91" w:type="pct"/>
            <w:tcBorders>
              <w:top w:val="single" w:sz="4" w:space="0" w:color="BFBFBF"/>
              <w:left w:val="single" w:sz="4" w:space="0" w:color="BFBFBF"/>
              <w:bottom w:val="single" w:sz="4" w:space="0" w:color="BFBFBF"/>
              <w:right w:val="single" w:sz="8" w:space="0" w:color="auto"/>
            </w:tcBorders>
            <w:shd w:val="clear" w:color="auto" w:fill="D9D9D9"/>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9</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Doctor: population ratio</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1:13,499 </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1:11,698 </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1:11,833* </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1:10,217*</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1:10,452</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 xml:space="preserve"> </w:t>
            </w:r>
            <w:r w:rsidR="00472AFA">
              <w:rPr>
                <w:rFonts w:ascii="Cambria" w:hAnsi="Cambria" w:cs="Cambria"/>
                <w:color w:val="A6A6A6"/>
                <w:sz w:val="12"/>
                <w:szCs w:val="12"/>
                <w:lang w:eastAsia="da-DK"/>
              </w:rPr>
              <w:t>MOH</w:t>
            </w:r>
          </w:p>
        </w:tc>
      </w:tr>
      <w:tr w:rsidR="00052899" w:rsidRPr="002F0C86">
        <w:trPr>
          <w:trHeight w:val="141"/>
        </w:trPr>
        <w:tc>
          <w:tcPr>
            <w:tcW w:w="178" w:type="pct"/>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10</w:t>
            </w:r>
          </w:p>
        </w:tc>
        <w:tc>
          <w:tcPr>
            <w:tcW w:w="2251" w:type="pct"/>
            <w:tcBorders>
              <w:top w:val="single" w:sz="4" w:space="0" w:color="BFBFBF"/>
              <w:left w:val="nil"/>
              <w:bottom w:val="nil"/>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Nurse: population ratio</w:t>
            </w:r>
          </w:p>
        </w:tc>
        <w:tc>
          <w:tcPr>
            <w:tcW w:w="388" w:type="pct"/>
            <w:tcBorders>
              <w:top w:val="single" w:sz="4" w:space="0" w:color="BFBFBF"/>
              <w:left w:val="single" w:sz="8" w:space="0" w:color="auto"/>
              <w:bottom w:val="nil"/>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1:1,353 </w:t>
            </w:r>
          </w:p>
        </w:tc>
        <w:tc>
          <w:tcPr>
            <w:tcW w:w="388" w:type="pct"/>
            <w:tcBorders>
              <w:top w:val="single" w:sz="4" w:space="0" w:color="BFBFBF"/>
              <w:left w:val="single" w:sz="8" w:space="0" w:color="auto"/>
              <w:bottom w:val="nil"/>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1:1,494* </w:t>
            </w:r>
          </w:p>
        </w:tc>
        <w:tc>
          <w:tcPr>
            <w:tcW w:w="422" w:type="pct"/>
            <w:tcBorders>
              <w:top w:val="single" w:sz="4" w:space="0" w:color="BFBFBF"/>
              <w:left w:val="single" w:sz="8" w:space="0" w:color="auto"/>
              <w:bottom w:val="nil"/>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1:1,516*</w:t>
            </w:r>
          </w:p>
        </w:tc>
        <w:tc>
          <w:tcPr>
            <w:tcW w:w="422" w:type="pct"/>
            <w:tcBorders>
              <w:top w:val="single" w:sz="4" w:space="0" w:color="BFBFBF"/>
              <w:left w:val="single" w:sz="8" w:space="0" w:color="auto"/>
              <w:bottom w:val="nil"/>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1:1,262*</w:t>
            </w:r>
          </w:p>
        </w:tc>
        <w:tc>
          <w:tcPr>
            <w:tcW w:w="560" w:type="pct"/>
            <w:tcBorders>
              <w:top w:val="single" w:sz="4" w:space="0" w:color="BFBFBF"/>
              <w:left w:val="single" w:sz="4" w:space="0" w:color="BFBFBF"/>
              <w:bottom w:val="nil"/>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1:1,251</w:t>
            </w:r>
          </w:p>
        </w:tc>
        <w:tc>
          <w:tcPr>
            <w:tcW w:w="391" w:type="pct"/>
            <w:tcBorders>
              <w:top w:val="single" w:sz="4" w:space="0" w:color="BFBFBF"/>
              <w:left w:val="single" w:sz="4" w:space="0" w:color="BFBFBF"/>
              <w:bottom w:val="nil"/>
              <w:right w:val="single" w:sz="8" w:space="0" w:color="auto"/>
            </w:tcBorders>
            <w:vAlign w:val="bottom"/>
          </w:tcPr>
          <w:p w:rsidR="00052899" w:rsidRPr="002F0C86" w:rsidRDefault="00472AFA" w:rsidP="00052899">
            <w:pPr>
              <w:jc w:val="both"/>
              <w:rPr>
                <w:rFonts w:ascii="Cambria" w:hAnsi="Cambria" w:cs="Cambria"/>
                <w:color w:val="A6A6A6"/>
                <w:sz w:val="12"/>
                <w:szCs w:val="12"/>
                <w:lang w:eastAsia="da-DK"/>
              </w:rPr>
            </w:pPr>
            <w:r>
              <w:rPr>
                <w:rFonts w:ascii="Cambria" w:hAnsi="Cambria" w:cs="Cambria"/>
                <w:color w:val="A6A6A6"/>
                <w:sz w:val="12"/>
                <w:szCs w:val="12"/>
                <w:lang w:eastAsia="da-DK"/>
              </w:rPr>
              <w:t>MOH</w:t>
            </w:r>
          </w:p>
        </w:tc>
      </w:tr>
      <w:tr w:rsidR="00052899" w:rsidRPr="002F0C86">
        <w:trPr>
          <w:trHeight w:hRule="exact" w:val="170"/>
        </w:trPr>
        <w:tc>
          <w:tcPr>
            <w:tcW w:w="5000" w:type="pct"/>
            <w:gridSpan w:val="8"/>
            <w:tcBorders>
              <w:top w:val="single" w:sz="8" w:space="0" w:color="auto"/>
              <w:left w:val="single" w:sz="8" w:space="0" w:color="auto"/>
              <w:right w:val="single" w:sz="8" w:space="0" w:color="auto"/>
            </w:tcBorders>
            <w:shd w:val="clear" w:color="000000" w:fill="808080"/>
            <w:noWrap/>
            <w:vAlign w:val="bottom"/>
          </w:tcPr>
          <w:p w:rsidR="00052899" w:rsidRPr="002F0C86" w:rsidRDefault="00052899" w:rsidP="00052899">
            <w:pPr>
              <w:jc w:val="both"/>
              <w:rPr>
                <w:rFonts w:ascii="Cambria" w:hAnsi="Cambria" w:cs="Cambria"/>
                <w:b/>
                <w:bCs/>
                <w:color w:val="FFFFFF"/>
                <w:sz w:val="12"/>
                <w:szCs w:val="12"/>
                <w:lang w:eastAsia="da-DK"/>
              </w:rPr>
            </w:pPr>
            <w:r w:rsidRPr="002F0C86">
              <w:rPr>
                <w:rFonts w:ascii="Cambria" w:hAnsi="Cambria" w:cs="Cambria"/>
                <w:b/>
                <w:bCs/>
                <w:color w:val="FFFFFF"/>
                <w:sz w:val="12"/>
                <w:szCs w:val="12"/>
                <w:lang w:eastAsia="da-DK"/>
              </w:rPr>
              <w:t>Health Objective 2: Strengthen governance and improve efficiency and effectiveness in the health system</w:t>
            </w:r>
          </w:p>
        </w:tc>
      </w:tr>
      <w:tr w:rsidR="00052899" w:rsidRPr="002F0C86">
        <w:trPr>
          <w:trHeight w:val="141"/>
        </w:trPr>
        <w:tc>
          <w:tcPr>
            <w:tcW w:w="178" w:type="pct"/>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1</w:t>
            </w:r>
          </w:p>
        </w:tc>
        <w:tc>
          <w:tcPr>
            <w:tcW w:w="2251" w:type="pct"/>
            <w:tcBorders>
              <w:top w:val="nil"/>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total MTEF allocation on health</w:t>
            </w:r>
          </w:p>
        </w:tc>
        <w:tc>
          <w:tcPr>
            <w:tcW w:w="388" w:type="pct"/>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14.9%</w:t>
            </w:r>
          </w:p>
        </w:tc>
        <w:tc>
          <w:tcPr>
            <w:tcW w:w="388" w:type="pct"/>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14.6%</w:t>
            </w:r>
          </w:p>
        </w:tc>
        <w:tc>
          <w:tcPr>
            <w:tcW w:w="422" w:type="pct"/>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15.1%</w:t>
            </w:r>
          </w:p>
        </w:tc>
        <w:tc>
          <w:tcPr>
            <w:tcW w:w="422" w:type="pct"/>
            <w:tcBorders>
              <w:top w:val="nil"/>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15.8%</w:t>
            </w:r>
          </w:p>
        </w:tc>
        <w:tc>
          <w:tcPr>
            <w:tcW w:w="560" w:type="pct"/>
            <w:tcBorders>
              <w:top w:val="nil"/>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15.4%</w:t>
            </w:r>
          </w:p>
        </w:tc>
        <w:tc>
          <w:tcPr>
            <w:tcW w:w="391" w:type="pct"/>
            <w:tcBorders>
              <w:top w:val="nil"/>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MOH</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2</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non-wage GOG recurrent budget to district level and below</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49.0%</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62.0%</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46.8%</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55.3%</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38.5%</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MOH</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3</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Per capita expenditure on health</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23.2</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25.6</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28.6</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35.0</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50.7</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MOH</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4</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Budget execution rate (Item 3 as proxy)</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115.0%</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80.4%</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94.0%</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82.1%</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86.8%</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MOH</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5</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of annual budget allocations disbursed to BMC by end of year</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23.0%</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39.0%</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31.0%</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89.8%</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Pr>
                <w:rFonts w:ascii="Cambria" w:hAnsi="Cambria" w:cs="Cambria"/>
                <w:color w:val="A6A6A6"/>
                <w:sz w:val="12"/>
                <w:szCs w:val="12"/>
                <w:lang w:eastAsia="da-DK"/>
              </w:rPr>
              <w:t>-</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6</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of population with valid NHIS membership card</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33.7%</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33.4%</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34.0%</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NHIA</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7</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Proportion of claims settled within 12 weeks</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Pr>
                <w:rFonts w:ascii="Cambria" w:hAnsi="Cambria" w:cs="Cambria"/>
                <w:color w:val="A6A6A6"/>
                <w:sz w:val="12"/>
                <w:szCs w:val="12"/>
                <w:lang w:eastAsia="da-DK"/>
              </w:rPr>
              <w:t>-</w:t>
            </w:r>
          </w:p>
        </w:tc>
      </w:tr>
      <w:tr w:rsidR="00052899" w:rsidRPr="002F0C86">
        <w:trPr>
          <w:trHeight w:val="141"/>
        </w:trPr>
        <w:tc>
          <w:tcPr>
            <w:tcW w:w="178" w:type="pct"/>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8</w:t>
            </w:r>
          </w:p>
        </w:tc>
        <w:tc>
          <w:tcPr>
            <w:tcW w:w="2251" w:type="pct"/>
            <w:tcBorders>
              <w:top w:val="single" w:sz="4" w:space="0" w:color="BFBFBF"/>
              <w:left w:val="nil"/>
              <w:bottom w:val="single" w:sz="8" w:space="0" w:color="auto"/>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IGF from NHIS</w:t>
            </w:r>
          </w:p>
        </w:tc>
        <w:tc>
          <w:tcPr>
            <w:tcW w:w="388" w:type="pct"/>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66.5%</w:t>
            </w:r>
          </w:p>
        </w:tc>
        <w:tc>
          <w:tcPr>
            <w:tcW w:w="388" w:type="pct"/>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83.5%</w:t>
            </w:r>
          </w:p>
        </w:tc>
        <w:tc>
          <w:tcPr>
            <w:tcW w:w="422" w:type="pct"/>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79.4%</w:t>
            </w:r>
          </w:p>
        </w:tc>
        <w:tc>
          <w:tcPr>
            <w:tcW w:w="422" w:type="pct"/>
            <w:tcBorders>
              <w:top w:val="single" w:sz="4" w:space="0" w:color="BFBFBF"/>
              <w:left w:val="single" w:sz="8" w:space="0" w:color="auto"/>
              <w:bottom w:val="single" w:sz="8" w:space="0" w:color="auto"/>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85.0%</w:t>
            </w:r>
          </w:p>
        </w:tc>
        <w:tc>
          <w:tcPr>
            <w:tcW w:w="560" w:type="pct"/>
            <w:tcBorders>
              <w:top w:val="single" w:sz="4" w:space="0" w:color="BFBFBF"/>
              <w:left w:val="single" w:sz="4" w:space="0" w:color="BFBFBF"/>
              <w:bottom w:val="nil"/>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91" w:type="pct"/>
            <w:tcBorders>
              <w:top w:val="single" w:sz="4" w:space="0" w:color="BFBFBF"/>
              <w:left w:val="single" w:sz="4" w:space="0" w:color="BFBFBF"/>
              <w:bottom w:val="nil"/>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Pr>
                <w:rFonts w:ascii="Cambria" w:hAnsi="Cambria" w:cs="Cambria"/>
                <w:color w:val="A6A6A6"/>
                <w:sz w:val="12"/>
                <w:szCs w:val="12"/>
                <w:lang w:eastAsia="da-DK"/>
              </w:rPr>
              <w:t>-</w:t>
            </w:r>
          </w:p>
        </w:tc>
      </w:tr>
      <w:tr w:rsidR="00052899" w:rsidRPr="002F0C86">
        <w:trPr>
          <w:trHeight w:hRule="exact" w:val="170"/>
        </w:trPr>
        <w:tc>
          <w:tcPr>
            <w:tcW w:w="5000" w:type="pct"/>
            <w:gridSpan w:val="8"/>
            <w:tcBorders>
              <w:top w:val="single" w:sz="8" w:space="0" w:color="auto"/>
              <w:left w:val="single" w:sz="8" w:space="0" w:color="auto"/>
              <w:right w:val="single" w:sz="8" w:space="0" w:color="auto"/>
            </w:tcBorders>
            <w:shd w:val="clear" w:color="000000" w:fill="808080"/>
            <w:noWrap/>
            <w:vAlign w:val="bottom"/>
          </w:tcPr>
          <w:p w:rsidR="00052899" w:rsidRPr="002F0C86" w:rsidRDefault="00052899" w:rsidP="00052899">
            <w:pPr>
              <w:jc w:val="both"/>
              <w:rPr>
                <w:rFonts w:ascii="Cambria" w:hAnsi="Cambria" w:cs="Cambria"/>
                <w:b/>
                <w:bCs/>
                <w:color w:val="FFFFFF"/>
                <w:sz w:val="12"/>
                <w:szCs w:val="12"/>
                <w:lang w:eastAsia="da-DK"/>
              </w:rPr>
            </w:pPr>
            <w:r w:rsidRPr="002F0C86">
              <w:rPr>
                <w:rFonts w:ascii="Cambria" w:hAnsi="Cambria" w:cs="Cambria"/>
                <w:b/>
                <w:bCs/>
                <w:color w:val="FFFFFF"/>
                <w:sz w:val="12"/>
                <w:szCs w:val="12"/>
                <w:lang w:eastAsia="da-DK"/>
              </w:rPr>
              <w:t>Health Objective 3: Improve access to quality maternal, neonatal, child and adolescent health services</w:t>
            </w:r>
          </w:p>
        </w:tc>
      </w:tr>
      <w:tr w:rsidR="00052899" w:rsidRPr="002F0C86">
        <w:trPr>
          <w:trHeight w:val="141"/>
        </w:trPr>
        <w:tc>
          <w:tcPr>
            <w:tcW w:w="178" w:type="pct"/>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1</w:t>
            </w:r>
          </w:p>
        </w:tc>
        <w:tc>
          <w:tcPr>
            <w:tcW w:w="2251" w:type="pct"/>
            <w:tcBorders>
              <w:top w:val="nil"/>
              <w:left w:val="nil"/>
              <w:bottom w:val="single" w:sz="4" w:space="0" w:color="BFBFBF"/>
              <w:right w:val="single" w:sz="8" w:space="0" w:color="auto"/>
            </w:tcBorders>
            <w:shd w:val="clear" w:color="auto" w:fill="D9D9D9"/>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Maternal Mortality Ratio (MMR) per 100,000 live births</w:t>
            </w:r>
          </w:p>
        </w:tc>
        <w:tc>
          <w:tcPr>
            <w:tcW w:w="388" w:type="pct"/>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451</w:t>
            </w:r>
          </w:p>
        </w:tc>
        <w:tc>
          <w:tcPr>
            <w:tcW w:w="388" w:type="pct"/>
            <w:tcBorders>
              <w:top w:val="nil"/>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422" w:type="pct"/>
            <w:tcBorders>
              <w:top w:val="nil"/>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nil"/>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60" w:type="pct"/>
            <w:tcBorders>
              <w:top w:val="nil"/>
              <w:left w:val="single" w:sz="4" w:space="0" w:color="BFBFBF"/>
              <w:bottom w:val="single" w:sz="4" w:space="0" w:color="BFBFBF"/>
              <w:right w:val="single" w:sz="4" w:space="0" w:color="BFBFBF"/>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p>
        </w:tc>
        <w:tc>
          <w:tcPr>
            <w:tcW w:w="391" w:type="pct"/>
            <w:tcBorders>
              <w:top w:val="nil"/>
              <w:left w:val="single" w:sz="4" w:space="0" w:color="BFBFBF"/>
              <w:bottom w:val="single" w:sz="4" w:space="0" w:color="BFBFBF"/>
              <w:right w:val="single" w:sz="8" w:space="0" w:color="auto"/>
            </w:tcBorders>
            <w:shd w:val="clear" w:color="auto" w:fill="D9D9D9"/>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2</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Total Fertility Rate</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4.0</w:t>
            </w:r>
          </w:p>
        </w:tc>
        <w:tc>
          <w:tcPr>
            <w:tcW w:w="388"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422"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4.3</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3</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Contraceptive Prevalence Rate</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16.6%</w:t>
            </w:r>
          </w:p>
        </w:tc>
        <w:tc>
          <w:tcPr>
            <w:tcW w:w="388"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422"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422" w:type="pct"/>
            <w:tcBorders>
              <w:top w:val="single" w:sz="4" w:space="0" w:color="BFBFBF"/>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23.4%</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4</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of pregnant women attending at least 4 antenatal visits</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81.1%</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81.6%</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71.1%</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71.3%</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96.4</w:t>
            </w:r>
            <w:r w:rsidRPr="002F0C86">
              <w:rPr>
                <w:rFonts w:ascii="Cambria" w:hAnsi="Cambria" w:cs="Cambria"/>
                <w:color w:val="000000"/>
                <w:sz w:val="12"/>
                <w:szCs w:val="12"/>
                <w:lang w:eastAsia="da-DK"/>
              </w:rPr>
              <w:t>%</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 xml:space="preserve">GHS   </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5</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Infant Mortality Rate (IMR) per 1,000 live births</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50</w:t>
            </w:r>
          </w:p>
        </w:tc>
        <w:tc>
          <w:tcPr>
            <w:tcW w:w="388"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422"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53</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6</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Under 5 Mortality Rate (U5MR) per 1,000 live births</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80</w:t>
            </w:r>
          </w:p>
        </w:tc>
        <w:tc>
          <w:tcPr>
            <w:tcW w:w="388"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422"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w:t>
            </w:r>
          </w:p>
        </w:tc>
        <w:tc>
          <w:tcPr>
            <w:tcW w:w="422" w:type="pct"/>
            <w:tcBorders>
              <w:top w:val="single" w:sz="4" w:space="0" w:color="BFBFBF"/>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82</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7</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deliveries attended by a trained health worker</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56.3</w:t>
            </w:r>
            <w:r w:rsidRPr="002F0C86">
              <w:rPr>
                <w:rFonts w:ascii="Cambria" w:hAnsi="Cambria" w:cs="Cambria"/>
                <w:color w:val="000000"/>
                <w:sz w:val="12"/>
                <w:szCs w:val="12"/>
                <w:lang w:eastAsia="da-DK"/>
              </w:rPr>
              <w:t>%</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60.8%</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65.0%</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73.0</w:t>
            </w:r>
            <w:r w:rsidRPr="002F0C86">
              <w:rPr>
                <w:rFonts w:ascii="Cambria" w:hAnsi="Cambria" w:cs="Cambria"/>
                <w:color w:val="000000"/>
                <w:sz w:val="12"/>
                <w:szCs w:val="12"/>
                <w:lang w:eastAsia="da-DK"/>
              </w:rPr>
              <w:t>%</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77.9</w:t>
            </w:r>
            <w:r w:rsidRPr="002F0C86">
              <w:rPr>
                <w:rFonts w:ascii="Cambria" w:hAnsi="Cambria" w:cs="Cambria"/>
                <w:color w:val="000000"/>
                <w:sz w:val="12"/>
                <w:szCs w:val="12"/>
                <w:lang w:eastAsia="da-DK"/>
              </w:rPr>
              <w:t>%</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GHS/TH</w:t>
            </w:r>
          </w:p>
        </w:tc>
      </w:tr>
      <w:tr w:rsidR="00052899" w:rsidRPr="002F0C86">
        <w:trPr>
          <w:trHeight w:val="141"/>
        </w:trPr>
        <w:tc>
          <w:tcPr>
            <w:tcW w:w="178" w:type="pct"/>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8</w:t>
            </w:r>
          </w:p>
        </w:tc>
        <w:tc>
          <w:tcPr>
            <w:tcW w:w="2251" w:type="pct"/>
            <w:tcBorders>
              <w:top w:val="single" w:sz="4" w:space="0" w:color="BFBFBF"/>
              <w:left w:val="nil"/>
              <w:bottom w:val="nil"/>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Under 5 prevalence of low weight for age</w:t>
            </w:r>
          </w:p>
        </w:tc>
        <w:tc>
          <w:tcPr>
            <w:tcW w:w="388" w:type="pct"/>
            <w:tcBorders>
              <w:top w:val="single" w:sz="4" w:space="0" w:color="BFBFBF"/>
              <w:left w:val="single" w:sz="8" w:space="0" w:color="auto"/>
              <w:bottom w:val="nil"/>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13.9%</w:t>
            </w:r>
          </w:p>
        </w:tc>
        <w:tc>
          <w:tcPr>
            <w:tcW w:w="388" w:type="pct"/>
            <w:tcBorders>
              <w:top w:val="single" w:sz="4" w:space="0" w:color="BFBFBF"/>
              <w:left w:val="single" w:sz="8" w:space="0" w:color="auto"/>
              <w:bottom w:val="nil"/>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422" w:type="pct"/>
            <w:tcBorders>
              <w:top w:val="single" w:sz="4" w:space="0" w:color="BFBFBF"/>
              <w:left w:val="single" w:sz="8" w:space="0" w:color="auto"/>
              <w:bottom w:val="nil"/>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nil"/>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w:t>
            </w:r>
          </w:p>
        </w:tc>
        <w:tc>
          <w:tcPr>
            <w:tcW w:w="560" w:type="pct"/>
            <w:tcBorders>
              <w:top w:val="single" w:sz="4" w:space="0" w:color="BFBFBF"/>
              <w:left w:val="single" w:sz="4" w:space="0" w:color="BFBFBF"/>
              <w:bottom w:val="nil"/>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13.4%</w:t>
            </w:r>
          </w:p>
        </w:tc>
        <w:tc>
          <w:tcPr>
            <w:tcW w:w="391" w:type="pct"/>
            <w:tcBorders>
              <w:top w:val="single" w:sz="4" w:space="0" w:color="BFBFBF"/>
              <w:left w:val="single" w:sz="4" w:space="0" w:color="BFBFBF"/>
              <w:bottom w:val="nil"/>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hRule="exact" w:val="170"/>
        </w:trPr>
        <w:tc>
          <w:tcPr>
            <w:tcW w:w="5000" w:type="pct"/>
            <w:gridSpan w:val="8"/>
            <w:tcBorders>
              <w:top w:val="single" w:sz="8" w:space="0" w:color="auto"/>
              <w:left w:val="single" w:sz="8" w:space="0" w:color="auto"/>
              <w:right w:val="single" w:sz="8" w:space="0" w:color="auto"/>
            </w:tcBorders>
            <w:shd w:val="clear" w:color="000000" w:fill="808080"/>
            <w:noWrap/>
            <w:vAlign w:val="bottom"/>
          </w:tcPr>
          <w:p w:rsidR="00052899" w:rsidRPr="002F0C86" w:rsidRDefault="00052899" w:rsidP="00052899">
            <w:pPr>
              <w:jc w:val="both"/>
              <w:rPr>
                <w:rFonts w:ascii="Cambria" w:hAnsi="Cambria" w:cs="Cambria"/>
                <w:b/>
                <w:bCs/>
                <w:color w:val="FFFFFF"/>
                <w:sz w:val="12"/>
                <w:szCs w:val="12"/>
                <w:lang w:eastAsia="da-DK"/>
              </w:rPr>
            </w:pPr>
            <w:r w:rsidRPr="002F0C86">
              <w:rPr>
                <w:rFonts w:ascii="Cambria" w:hAnsi="Cambria" w:cs="Cambria"/>
                <w:b/>
                <w:bCs/>
                <w:color w:val="FFFFFF"/>
                <w:sz w:val="12"/>
                <w:szCs w:val="12"/>
                <w:lang w:eastAsia="da-DK"/>
              </w:rPr>
              <w:t>Health Objective 4: Intensify and control of communicable and non-communicable diseases and promote a healthy lifestyle</w:t>
            </w:r>
          </w:p>
        </w:tc>
      </w:tr>
      <w:tr w:rsidR="00052899" w:rsidRPr="002F0C86">
        <w:trPr>
          <w:trHeight w:val="141"/>
        </w:trPr>
        <w:tc>
          <w:tcPr>
            <w:tcW w:w="178" w:type="pct"/>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1</w:t>
            </w:r>
          </w:p>
        </w:tc>
        <w:tc>
          <w:tcPr>
            <w:tcW w:w="2251" w:type="pct"/>
            <w:tcBorders>
              <w:top w:val="nil"/>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HIV prevalence among pregnant women 15-24 years</w:t>
            </w:r>
          </w:p>
        </w:tc>
        <w:tc>
          <w:tcPr>
            <w:tcW w:w="388" w:type="pct"/>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1.9</w:t>
            </w:r>
          </w:p>
        </w:tc>
        <w:tc>
          <w:tcPr>
            <w:tcW w:w="388" w:type="pct"/>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2.1</w:t>
            </w:r>
          </w:p>
        </w:tc>
        <w:tc>
          <w:tcPr>
            <w:tcW w:w="422" w:type="pct"/>
            <w:tcBorders>
              <w:top w:val="nil"/>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1.5 </w:t>
            </w:r>
          </w:p>
        </w:tc>
        <w:tc>
          <w:tcPr>
            <w:tcW w:w="422" w:type="pct"/>
            <w:tcBorders>
              <w:top w:val="nil"/>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1.7 </w:t>
            </w:r>
          </w:p>
        </w:tc>
        <w:tc>
          <w:tcPr>
            <w:tcW w:w="560" w:type="pct"/>
            <w:tcBorders>
              <w:top w:val="nil"/>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91" w:type="pct"/>
            <w:tcBorders>
              <w:top w:val="nil"/>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GHS</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2</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of U5s sleeping under ITN</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40.5%</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41.5%</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3</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of children fully immunized by age one - Penta 3</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115.5%</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119.1%</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114.5%</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115.3%</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Pr>
                <w:rFonts w:ascii="Cambria" w:hAnsi="Cambria" w:cs="Cambria"/>
                <w:color w:val="000000"/>
                <w:sz w:val="12"/>
                <w:szCs w:val="12"/>
                <w:lang w:eastAsia="da-DK"/>
              </w:rPr>
              <w:t>117.1%</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 xml:space="preserve">GHS   </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4</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HIV+ clients ARV treatment</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23,614 </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33,745 </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40,575</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59,007 </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73.339</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 xml:space="preserve">NACP  </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5</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Incidence of Guinea Worm</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501</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242</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0</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0</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 xml:space="preserve">GHS   </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6</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households with improved sanitary facilities</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12.4%</w:t>
            </w:r>
          </w:p>
        </w:tc>
        <w:tc>
          <w:tcPr>
            <w:tcW w:w="388"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422"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15.0%</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7</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households with access to improved source of drinking water</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83.8%</w:t>
            </w:r>
          </w:p>
        </w:tc>
        <w:tc>
          <w:tcPr>
            <w:tcW w:w="388"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422"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nil"/>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79.3%</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MICS</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8</w:t>
            </w:r>
          </w:p>
        </w:tc>
        <w:tc>
          <w:tcPr>
            <w:tcW w:w="2251" w:type="pct"/>
            <w:tcBorders>
              <w:top w:val="single" w:sz="4" w:space="0" w:color="BFBFBF"/>
              <w:left w:val="nil"/>
              <w:bottom w:val="single" w:sz="4" w:space="0" w:color="BFBFBF"/>
              <w:right w:val="single" w:sz="8" w:space="0" w:color="auto"/>
            </w:tcBorders>
            <w:shd w:val="clear" w:color="auto" w:fill="D9D9D9"/>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Obesity in population (women aged 15-49 years)</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9.3%</w:t>
            </w:r>
          </w:p>
        </w:tc>
        <w:tc>
          <w:tcPr>
            <w:tcW w:w="388"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 xml:space="preserve">           -   </w:t>
            </w:r>
          </w:p>
        </w:tc>
        <w:tc>
          <w:tcPr>
            <w:tcW w:w="422"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single" w:sz="8" w:space="0" w:color="auto"/>
            </w:tcBorders>
            <w:shd w:val="clear" w:color="auto" w:fill="D9D9D9"/>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w:t>
            </w:r>
          </w:p>
        </w:tc>
      </w:tr>
      <w:tr w:rsidR="00052899" w:rsidRPr="002F0C86">
        <w:trPr>
          <w:trHeight w:val="141"/>
        </w:trPr>
        <w:tc>
          <w:tcPr>
            <w:tcW w:w="178" w:type="pct"/>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9</w:t>
            </w:r>
          </w:p>
        </w:tc>
        <w:tc>
          <w:tcPr>
            <w:tcW w:w="2251" w:type="pct"/>
            <w:tcBorders>
              <w:top w:val="single" w:sz="4" w:space="0" w:color="BFBFBF"/>
              <w:left w:val="nil"/>
              <w:bottom w:val="single" w:sz="8" w:space="0" w:color="auto"/>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TB treatment success rate</w:t>
            </w:r>
          </w:p>
        </w:tc>
        <w:tc>
          <w:tcPr>
            <w:tcW w:w="388" w:type="pct"/>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84.6%</w:t>
            </w:r>
          </w:p>
        </w:tc>
        <w:tc>
          <w:tcPr>
            <w:tcW w:w="388" w:type="pct"/>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85.4%</w:t>
            </w:r>
          </w:p>
        </w:tc>
        <w:tc>
          <w:tcPr>
            <w:tcW w:w="422" w:type="pct"/>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87.0%</w:t>
            </w:r>
          </w:p>
        </w:tc>
        <w:tc>
          <w:tcPr>
            <w:tcW w:w="422" w:type="pct"/>
            <w:tcBorders>
              <w:top w:val="single" w:sz="4" w:space="0" w:color="BFBFBF"/>
              <w:left w:val="single" w:sz="8" w:space="0" w:color="auto"/>
              <w:bottom w:val="single" w:sz="8" w:space="0" w:color="auto"/>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85.3%</w:t>
            </w:r>
          </w:p>
        </w:tc>
        <w:tc>
          <w:tcPr>
            <w:tcW w:w="560" w:type="pct"/>
            <w:tcBorders>
              <w:top w:val="single" w:sz="4" w:space="0" w:color="BFBFBF"/>
              <w:left w:val="single" w:sz="4" w:space="0" w:color="BFBFBF"/>
              <w:bottom w:val="single" w:sz="8" w:space="0" w:color="auto"/>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86.2%</w:t>
            </w:r>
          </w:p>
        </w:tc>
        <w:tc>
          <w:tcPr>
            <w:tcW w:w="391" w:type="pct"/>
            <w:tcBorders>
              <w:top w:val="single" w:sz="4" w:space="0" w:color="BFBFBF"/>
              <w:left w:val="single" w:sz="4" w:space="0" w:color="BFBFBF"/>
              <w:bottom w:val="single" w:sz="8" w:space="0" w:color="auto"/>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NTP</w:t>
            </w:r>
          </w:p>
        </w:tc>
      </w:tr>
      <w:tr w:rsidR="00052899" w:rsidRPr="002F0C86">
        <w:trPr>
          <w:trHeight w:hRule="exact" w:val="170"/>
        </w:trPr>
        <w:tc>
          <w:tcPr>
            <w:tcW w:w="5000" w:type="pct"/>
            <w:gridSpan w:val="8"/>
            <w:tcBorders>
              <w:top w:val="single" w:sz="8" w:space="0" w:color="auto"/>
              <w:left w:val="single" w:sz="8" w:space="0" w:color="auto"/>
              <w:bottom w:val="single" w:sz="8" w:space="0" w:color="auto"/>
              <w:right w:val="single" w:sz="8" w:space="0" w:color="auto"/>
            </w:tcBorders>
            <w:shd w:val="clear" w:color="000000" w:fill="808080"/>
            <w:noWrap/>
            <w:vAlign w:val="bottom"/>
          </w:tcPr>
          <w:p w:rsidR="00052899" w:rsidRPr="002F0C86" w:rsidRDefault="00052899" w:rsidP="00052899">
            <w:pPr>
              <w:jc w:val="both"/>
              <w:rPr>
                <w:rFonts w:ascii="Cambria" w:hAnsi="Cambria" w:cs="Cambria"/>
                <w:b/>
                <w:bCs/>
                <w:color w:val="FFFFFF"/>
                <w:sz w:val="12"/>
                <w:szCs w:val="12"/>
                <w:lang w:eastAsia="da-DK"/>
              </w:rPr>
            </w:pPr>
            <w:r w:rsidRPr="002F0C86">
              <w:rPr>
                <w:rFonts w:ascii="Cambria" w:hAnsi="Cambria" w:cs="Cambria"/>
                <w:b/>
                <w:bCs/>
                <w:color w:val="FFFFFF"/>
                <w:sz w:val="12"/>
                <w:szCs w:val="12"/>
                <w:lang w:eastAsia="da-DK"/>
              </w:rPr>
              <w:t>Health Objective 5: Strengthen institutional care, including health service delivery</w:t>
            </w:r>
          </w:p>
        </w:tc>
      </w:tr>
      <w:tr w:rsidR="00052899" w:rsidRPr="002F0C86">
        <w:trPr>
          <w:trHeight w:val="141"/>
        </w:trPr>
        <w:tc>
          <w:tcPr>
            <w:tcW w:w="178" w:type="pct"/>
            <w:tcBorders>
              <w:top w:val="single" w:sz="8" w:space="0" w:color="auto"/>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1</w:t>
            </w:r>
          </w:p>
        </w:tc>
        <w:tc>
          <w:tcPr>
            <w:tcW w:w="2251" w:type="pct"/>
            <w:tcBorders>
              <w:top w:val="single" w:sz="8" w:space="0" w:color="auto"/>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Psychiatric patient treatment and rehabilitation rate</w:t>
            </w:r>
          </w:p>
        </w:tc>
        <w:tc>
          <w:tcPr>
            <w:tcW w:w="388" w:type="pct"/>
            <w:tcBorders>
              <w:top w:val="single" w:sz="8" w:space="0" w:color="auto"/>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88" w:type="pct"/>
            <w:tcBorders>
              <w:top w:val="single" w:sz="8" w:space="0" w:color="auto"/>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8" w:space="0" w:color="auto"/>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8" w:space="0" w:color="auto"/>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60" w:type="pct"/>
            <w:tcBorders>
              <w:top w:val="single" w:sz="8" w:space="0" w:color="auto"/>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84.8%</w:t>
            </w:r>
          </w:p>
        </w:tc>
        <w:tc>
          <w:tcPr>
            <w:tcW w:w="391" w:type="pct"/>
            <w:tcBorders>
              <w:top w:val="single" w:sz="8" w:space="0" w:color="auto"/>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Chief Psy.</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2</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Equity index: Ratio of mental health nurses to patient population</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1:63</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Chief Psy.</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3</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Number of community psychiatric nurses trained and deployed</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400</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Chief Psy.</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4</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tracer psychotropic drug availability in hospitals</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85.0%</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Chief Ph.</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5</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Institutional infant mortality rate</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7.0</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7.4</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6.8</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6.4</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2.2</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GHS</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6</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Basket equipment functioning in hospitals</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7</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tracer drugs availability in hospitals</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94.1%</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85.7%</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Chief Ph.</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8</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 of hospitals assessed for quality assurance and control</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w:t>
            </w:r>
          </w:p>
        </w:tc>
      </w:tr>
      <w:tr w:rsidR="00052899" w:rsidRPr="002F0C86">
        <w:trPr>
          <w:trHeight w:val="141"/>
        </w:trPr>
        <w:tc>
          <w:tcPr>
            <w:tcW w:w="17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9</w:t>
            </w:r>
          </w:p>
        </w:tc>
        <w:tc>
          <w:tcPr>
            <w:tcW w:w="2251" w:type="pct"/>
            <w:tcBorders>
              <w:top w:val="single" w:sz="4" w:space="0" w:color="BFBFBF"/>
              <w:left w:val="nil"/>
              <w:bottom w:val="single" w:sz="4" w:space="0" w:color="BFBFBF"/>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Institutional under-five mortality rate</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9.0</w:t>
            </w:r>
          </w:p>
        </w:tc>
        <w:tc>
          <w:tcPr>
            <w:tcW w:w="388"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10.2</w:t>
            </w:r>
          </w:p>
        </w:tc>
        <w:tc>
          <w:tcPr>
            <w:tcW w:w="422" w:type="pct"/>
            <w:tcBorders>
              <w:top w:val="single" w:sz="4" w:space="0" w:color="BFBFBF"/>
              <w:left w:val="single" w:sz="8" w:space="0" w:color="auto"/>
              <w:bottom w:val="single" w:sz="4" w:space="0" w:color="BFBFBF"/>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9.7</w:t>
            </w:r>
          </w:p>
        </w:tc>
        <w:tc>
          <w:tcPr>
            <w:tcW w:w="422" w:type="pct"/>
            <w:tcBorders>
              <w:top w:val="single" w:sz="4" w:space="0" w:color="BFBFBF"/>
              <w:left w:val="single" w:sz="8" w:space="0" w:color="auto"/>
              <w:bottom w:val="single" w:sz="4" w:space="0" w:color="BFBFBF"/>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9.7</w:t>
            </w:r>
          </w:p>
        </w:tc>
        <w:tc>
          <w:tcPr>
            <w:tcW w:w="560" w:type="pct"/>
            <w:tcBorders>
              <w:top w:val="single" w:sz="4" w:space="0" w:color="BFBFBF"/>
              <w:left w:val="single" w:sz="4" w:space="0" w:color="BFBFBF"/>
              <w:bottom w:val="single" w:sz="4" w:space="0" w:color="BFBFBF"/>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4.0</w:t>
            </w:r>
          </w:p>
        </w:tc>
        <w:tc>
          <w:tcPr>
            <w:tcW w:w="391" w:type="pct"/>
            <w:tcBorders>
              <w:top w:val="single" w:sz="4" w:space="0" w:color="BFBFBF"/>
              <w:left w:val="single" w:sz="4" w:space="0" w:color="BFBFBF"/>
              <w:bottom w:val="single" w:sz="4" w:space="0" w:color="BFBFBF"/>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GHS</w:t>
            </w:r>
          </w:p>
        </w:tc>
      </w:tr>
      <w:tr w:rsidR="00052899" w:rsidRPr="002F0C86">
        <w:trPr>
          <w:trHeight w:val="141"/>
        </w:trPr>
        <w:tc>
          <w:tcPr>
            <w:tcW w:w="178" w:type="pct"/>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10</w:t>
            </w:r>
          </w:p>
        </w:tc>
        <w:tc>
          <w:tcPr>
            <w:tcW w:w="2251" w:type="pct"/>
            <w:tcBorders>
              <w:top w:val="single" w:sz="4" w:space="0" w:color="BFBFBF"/>
              <w:left w:val="nil"/>
              <w:bottom w:val="single" w:sz="8" w:space="0" w:color="auto"/>
              <w:right w:val="single" w:sz="8" w:space="0" w:color="auto"/>
            </w:tcBorders>
            <w:shd w:val="clear" w:color="auto" w:fill="auto"/>
            <w:noWrap/>
            <w:vAlign w:val="bottom"/>
          </w:tcPr>
          <w:p w:rsidR="00052899" w:rsidRPr="002F0C86" w:rsidRDefault="00052899" w:rsidP="00052899">
            <w:pPr>
              <w:jc w:val="both"/>
              <w:rPr>
                <w:rFonts w:ascii="Cambria" w:hAnsi="Cambria" w:cs="Cambria"/>
                <w:color w:val="000000"/>
                <w:sz w:val="12"/>
                <w:szCs w:val="12"/>
                <w:lang w:eastAsia="da-DK"/>
              </w:rPr>
            </w:pPr>
            <w:r w:rsidRPr="002F0C86">
              <w:rPr>
                <w:rFonts w:ascii="Cambria" w:hAnsi="Cambria" w:cs="Cambria"/>
                <w:color w:val="000000"/>
                <w:sz w:val="12"/>
                <w:szCs w:val="12"/>
                <w:lang w:eastAsia="da-DK"/>
              </w:rPr>
              <w:t>Institutional MMR</w:t>
            </w:r>
          </w:p>
        </w:tc>
        <w:tc>
          <w:tcPr>
            <w:tcW w:w="388" w:type="pct"/>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388" w:type="pct"/>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w:t>
            </w:r>
          </w:p>
        </w:tc>
        <w:tc>
          <w:tcPr>
            <w:tcW w:w="422" w:type="pct"/>
            <w:tcBorders>
              <w:top w:val="single" w:sz="4" w:space="0" w:color="BFBFBF"/>
              <w:left w:val="single" w:sz="8" w:space="0" w:color="auto"/>
              <w:bottom w:val="single" w:sz="8" w:space="0" w:color="auto"/>
              <w:right w:val="single" w:sz="8" w:space="0" w:color="auto"/>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190</w:t>
            </w:r>
          </w:p>
        </w:tc>
        <w:tc>
          <w:tcPr>
            <w:tcW w:w="422" w:type="pct"/>
            <w:tcBorders>
              <w:top w:val="single" w:sz="4" w:space="0" w:color="BFBFBF"/>
              <w:left w:val="single" w:sz="8" w:space="0" w:color="auto"/>
              <w:bottom w:val="single" w:sz="8" w:space="0" w:color="auto"/>
              <w:right w:val="nil"/>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211</w:t>
            </w:r>
          </w:p>
        </w:tc>
        <w:tc>
          <w:tcPr>
            <w:tcW w:w="560" w:type="pct"/>
            <w:tcBorders>
              <w:top w:val="single" w:sz="4" w:space="0" w:color="BFBFBF"/>
              <w:left w:val="single" w:sz="4" w:space="0" w:color="BFBFBF"/>
              <w:bottom w:val="single" w:sz="8" w:space="0" w:color="auto"/>
              <w:right w:val="single" w:sz="4" w:space="0" w:color="BFBFBF"/>
            </w:tcBorders>
            <w:shd w:val="clear" w:color="auto" w:fill="auto"/>
            <w:noWrap/>
            <w:vAlign w:val="bottom"/>
          </w:tcPr>
          <w:p w:rsidR="00052899" w:rsidRPr="002F0C86" w:rsidRDefault="00052899" w:rsidP="00052899">
            <w:pPr>
              <w:jc w:val="right"/>
              <w:rPr>
                <w:rFonts w:ascii="Cambria" w:hAnsi="Cambria" w:cs="Cambria"/>
                <w:color w:val="000000"/>
                <w:sz w:val="12"/>
                <w:szCs w:val="12"/>
                <w:lang w:eastAsia="da-DK"/>
              </w:rPr>
            </w:pPr>
            <w:r w:rsidRPr="002F0C86">
              <w:rPr>
                <w:rFonts w:ascii="Cambria" w:hAnsi="Cambria" w:cs="Cambria"/>
                <w:color w:val="000000"/>
                <w:sz w:val="12"/>
                <w:szCs w:val="12"/>
                <w:lang w:eastAsia="da-DK"/>
              </w:rPr>
              <w:t>193</w:t>
            </w:r>
          </w:p>
        </w:tc>
        <w:tc>
          <w:tcPr>
            <w:tcW w:w="391" w:type="pct"/>
            <w:tcBorders>
              <w:top w:val="single" w:sz="4" w:space="0" w:color="BFBFBF"/>
              <w:left w:val="single" w:sz="4" w:space="0" w:color="BFBFBF"/>
              <w:bottom w:val="single" w:sz="8" w:space="0" w:color="auto"/>
              <w:right w:val="single" w:sz="8" w:space="0" w:color="auto"/>
            </w:tcBorders>
            <w:vAlign w:val="bottom"/>
          </w:tcPr>
          <w:p w:rsidR="00052899" w:rsidRPr="002F0C86" w:rsidRDefault="00052899" w:rsidP="00052899">
            <w:pPr>
              <w:jc w:val="both"/>
              <w:rPr>
                <w:rFonts w:ascii="Cambria" w:hAnsi="Cambria" w:cs="Cambria"/>
                <w:color w:val="A6A6A6"/>
                <w:sz w:val="12"/>
                <w:szCs w:val="12"/>
                <w:lang w:eastAsia="da-DK"/>
              </w:rPr>
            </w:pPr>
            <w:r w:rsidRPr="002F0C86">
              <w:rPr>
                <w:rFonts w:ascii="Cambria" w:hAnsi="Cambria" w:cs="Cambria"/>
                <w:color w:val="A6A6A6"/>
                <w:sz w:val="12"/>
                <w:szCs w:val="12"/>
                <w:lang w:eastAsia="da-DK"/>
              </w:rPr>
              <w:t>GHS /TH</w:t>
            </w:r>
          </w:p>
        </w:tc>
      </w:tr>
    </w:tbl>
    <w:p w:rsidR="00052899" w:rsidRPr="002F0C86" w:rsidRDefault="00052899" w:rsidP="00347D84">
      <w:pPr>
        <w:keepNext/>
        <w:keepLines/>
        <w:jc w:val="both"/>
        <w:outlineLvl w:val="2"/>
      </w:pPr>
      <w:bookmarkStart w:id="670" w:name="_Toc377543819"/>
      <w:bookmarkStart w:id="671" w:name="_Toc377545416"/>
      <w:r>
        <w:rPr>
          <w:b/>
          <w:bCs/>
          <w:color w:val="4F81BD"/>
          <w:sz w:val="18"/>
          <w:szCs w:val="18"/>
        </w:rPr>
        <w:t>Sector wide indicators 2007</w:t>
      </w:r>
      <w:r w:rsidRPr="002F0C86">
        <w:rPr>
          <w:b/>
          <w:bCs/>
          <w:color w:val="4F81BD"/>
          <w:sz w:val="18"/>
          <w:szCs w:val="18"/>
        </w:rPr>
        <w:t>-2012</w:t>
      </w:r>
      <w:r>
        <w:rPr>
          <w:b/>
          <w:bCs/>
          <w:color w:val="4F81BD"/>
          <w:sz w:val="18"/>
          <w:szCs w:val="18"/>
        </w:rPr>
        <w:t xml:space="preserve"> based on both 3% of children under 1-year/expected pregnancies</w:t>
      </w:r>
      <w:r w:rsidRPr="002F0C86">
        <w:rPr>
          <w:b/>
          <w:bCs/>
          <w:color w:val="4F81BD"/>
          <w:sz w:val="18"/>
          <w:szCs w:val="18"/>
        </w:rPr>
        <w:t>, greyed out indicators are not measured on annual basis.</w:t>
      </w:r>
      <w:bookmarkEnd w:id="670"/>
      <w:bookmarkEnd w:id="671"/>
    </w:p>
    <w:p w:rsidR="00000000" w:rsidRDefault="00B02BEF">
      <w:pPr>
        <w:pStyle w:val="Heading1"/>
        <w:jc w:val="left"/>
        <w:rPr>
          <w:rFonts w:cs="Arial"/>
        </w:rPr>
      </w:pPr>
    </w:p>
    <w:p w:rsidR="005B469A" w:rsidRDefault="005B469A" w:rsidP="00052899">
      <w:pPr>
        <w:pStyle w:val="Heading1"/>
        <w:rPr>
          <w:rFonts w:cs="Arial"/>
        </w:rPr>
      </w:pPr>
    </w:p>
    <w:p w:rsidR="005B469A" w:rsidRDefault="005B469A" w:rsidP="00052899">
      <w:pPr>
        <w:pStyle w:val="Heading1"/>
        <w:rPr>
          <w:rFonts w:cs="Arial"/>
        </w:rPr>
      </w:pPr>
    </w:p>
    <w:p w:rsidR="005B469A" w:rsidRDefault="005B469A" w:rsidP="00052899">
      <w:pPr>
        <w:pStyle w:val="Heading1"/>
        <w:rPr>
          <w:rFonts w:cs="Arial"/>
        </w:rPr>
      </w:pPr>
    </w:p>
    <w:p w:rsidR="005B469A" w:rsidRDefault="005B469A" w:rsidP="00052899">
      <w:pPr>
        <w:pStyle w:val="Heading1"/>
        <w:rPr>
          <w:rFonts w:cs="Arial"/>
        </w:rPr>
      </w:pPr>
    </w:p>
    <w:p w:rsidR="005B469A" w:rsidRDefault="005B469A" w:rsidP="00052899">
      <w:pPr>
        <w:pStyle w:val="Heading1"/>
        <w:rPr>
          <w:rFonts w:cs="Arial"/>
        </w:rPr>
      </w:pPr>
    </w:p>
    <w:p w:rsidR="005B469A" w:rsidRDefault="005B469A" w:rsidP="00052899">
      <w:pPr>
        <w:pStyle w:val="Heading1"/>
        <w:rPr>
          <w:rFonts w:cs="Arial"/>
        </w:rPr>
      </w:pPr>
    </w:p>
    <w:p w:rsidR="005B469A" w:rsidRDefault="005B469A" w:rsidP="00052899">
      <w:pPr>
        <w:pStyle w:val="Heading1"/>
        <w:rPr>
          <w:rFonts w:cs="Arial"/>
        </w:rPr>
      </w:pPr>
    </w:p>
    <w:p w:rsidR="005B469A" w:rsidRDefault="005B469A" w:rsidP="00052899">
      <w:pPr>
        <w:pStyle w:val="Heading1"/>
        <w:rPr>
          <w:rFonts w:cs="Arial"/>
        </w:rPr>
      </w:pPr>
    </w:p>
    <w:p w:rsidR="005B469A" w:rsidRPr="0089643C" w:rsidRDefault="005B469A" w:rsidP="00052899">
      <w:pPr>
        <w:pStyle w:val="Heading1"/>
        <w:rPr>
          <w:rFonts w:cs="Arial"/>
        </w:rPr>
      </w:pPr>
      <w:r>
        <w:rPr>
          <w:rFonts w:cs="Arial"/>
        </w:rPr>
        <w:br w:type="page"/>
      </w:r>
    </w:p>
    <w:p w:rsidR="00000000" w:rsidRDefault="00B02BEF">
      <w:pPr>
        <w:pStyle w:val="Heading1"/>
        <w:jc w:val="left"/>
        <w:rPr>
          <w:rFonts w:cs="Arial"/>
          <w:color w:val="auto"/>
          <w:szCs w:val="22"/>
        </w:rPr>
      </w:pPr>
    </w:p>
    <w:p w:rsidR="00052899" w:rsidRPr="00291E76" w:rsidRDefault="00052899" w:rsidP="00052899">
      <w:pPr>
        <w:pStyle w:val="Heading1"/>
      </w:pPr>
      <w:bookmarkStart w:id="672" w:name="_Toc372016116"/>
      <w:bookmarkStart w:id="673" w:name="_Toc372099709"/>
      <w:bookmarkStart w:id="674" w:name="_Toc377545417"/>
      <w:r w:rsidRPr="00291E76">
        <w:rPr>
          <w:shd w:val="clear" w:color="auto" w:fill="008080"/>
        </w:rPr>
        <w:t>SUMMARY OF A COMPLETE APPLICATION</w:t>
      </w:r>
      <w:bookmarkEnd w:id="672"/>
      <w:bookmarkEnd w:id="673"/>
      <w:bookmarkEnd w:id="674"/>
      <w:r w:rsidRPr="00291E76">
        <w:tab/>
      </w:r>
    </w:p>
    <w:p w:rsidR="00052899" w:rsidRPr="00B40A7C" w:rsidRDefault="00052899" w:rsidP="00052899">
      <w:pPr>
        <w:pStyle w:val="Heading1"/>
        <w:jc w:val="both"/>
        <w:rPr>
          <w:rFonts w:cs="Arial"/>
          <w:color w:val="auto"/>
          <w:szCs w:val="22"/>
        </w:rPr>
      </w:pPr>
    </w:p>
    <w:tbl>
      <w:tblPr>
        <w:tblpPr w:leftFromText="180" w:rightFromText="180" w:vertAnchor="text" w:horzAnchor="margin" w:tblpX="108" w:tblpY="15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03"/>
        <w:gridCol w:w="7871"/>
        <w:gridCol w:w="802"/>
      </w:tblGrid>
      <w:tr w:rsidR="00052899" w:rsidRPr="00B40A7C">
        <w:tc>
          <w:tcPr>
            <w:tcW w:w="5000" w:type="pct"/>
            <w:gridSpan w:val="3"/>
            <w:shd w:val="clear" w:color="auto" w:fill="006460"/>
          </w:tcPr>
          <w:p w:rsidR="00052899" w:rsidRPr="00B40A7C" w:rsidRDefault="00052899" w:rsidP="00052899">
            <w:pPr>
              <w:jc w:val="both"/>
              <w:rPr>
                <w:rFonts w:cs="Arial"/>
                <w:b/>
                <w:color w:val="FFFFFF"/>
                <w:szCs w:val="22"/>
              </w:rPr>
            </w:pPr>
            <w:r w:rsidRPr="00B40A7C">
              <w:rPr>
                <w:rFonts w:cs="Arial"/>
                <w:b/>
                <w:color w:val="FFFFFF"/>
                <w:szCs w:val="22"/>
              </w:rPr>
              <w:t>HSS Proposal Forms and Mandatory GAVI attachments</w:t>
            </w:r>
          </w:p>
          <w:p w:rsidR="00052899" w:rsidRPr="00B40A7C" w:rsidRDefault="00052899" w:rsidP="00052899">
            <w:pPr>
              <w:jc w:val="both"/>
              <w:rPr>
                <w:rFonts w:cs="Arial"/>
                <w:b/>
                <w:color w:val="FFFFFF"/>
                <w:szCs w:val="22"/>
              </w:rPr>
            </w:pPr>
            <w:r w:rsidRPr="00B40A7C">
              <w:rPr>
                <w:rFonts w:cs="Arial"/>
                <w:i/>
                <w:color w:val="FFFFFF"/>
                <w:szCs w:val="22"/>
              </w:rPr>
              <w:t>→ Please place an ‘X’ in the box when the attachment is included</w:t>
            </w:r>
          </w:p>
        </w:tc>
      </w:tr>
      <w:tr w:rsidR="00052899" w:rsidRPr="00B40A7C">
        <w:tc>
          <w:tcPr>
            <w:tcW w:w="471" w:type="pct"/>
            <w:shd w:val="clear" w:color="006460" w:fill="99CCCC"/>
          </w:tcPr>
          <w:p w:rsidR="00052899" w:rsidRPr="00B40A7C" w:rsidRDefault="00052899" w:rsidP="00052899">
            <w:pPr>
              <w:jc w:val="both"/>
              <w:rPr>
                <w:rFonts w:cs="Arial"/>
                <w:i/>
                <w:color w:val="404040"/>
                <w:szCs w:val="22"/>
              </w:rPr>
            </w:pPr>
            <w:r w:rsidRPr="00B40A7C">
              <w:rPr>
                <w:rFonts w:cs="Arial"/>
                <w:i/>
                <w:color w:val="404040"/>
                <w:szCs w:val="22"/>
              </w:rPr>
              <w:t>No.</w:t>
            </w:r>
          </w:p>
        </w:tc>
        <w:tc>
          <w:tcPr>
            <w:tcW w:w="4110" w:type="pct"/>
            <w:shd w:val="clear" w:color="006460" w:fill="99CCCC"/>
          </w:tcPr>
          <w:p w:rsidR="00052899" w:rsidRPr="00B40A7C" w:rsidRDefault="00052899" w:rsidP="00052899">
            <w:pPr>
              <w:jc w:val="both"/>
              <w:rPr>
                <w:rFonts w:cs="Arial"/>
                <w:i/>
                <w:szCs w:val="22"/>
              </w:rPr>
            </w:pPr>
            <w:r w:rsidRPr="00B40A7C">
              <w:rPr>
                <w:rFonts w:cs="Arial"/>
                <w:i/>
                <w:szCs w:val="22"/>
              </w:rPr>
              <w:t>Attachment</w:t>
            </w:r>
          </w:p>
        </w:tc>
        <w:tc>
          <w:tcPr>
            <w:tcW w:w="418" w:type="pct"/>
            <w:shd w:val="clear" w:color="006460" w:fill="99CCCC"/>
          </w:tcPr>
          <w:p w:rsidR="00052899" w:rsidRPr="00B40A7C" w:rsidRDefault="00052899" w:rsidP="00052899">
            <w:pPr>
              <w:jc w:val="both"/>
              <w:rPr>
                <w:rFonts w:cs="Arial"/>
                <w:b/>
                <w:i/>
                <w:color w:val="005199"/>
                <w:szCs w:val="22"/>
              </w:rPr>
            </w:pPr>
            <w:r w:rsidRPr="00B40A7C">
              <w:rPr>
                <w:rFonts w:cs="Arial"/>
                <w:b/>
                <w:i/>
                <w:color w:val="005199"/>
                <w:szCs w:val="22"/>
              </w:rPr>
              <w:t>X</w:t>
            </w:r>
          </w:p>
        </w:tc>
      </w:tr>
      <w:tr w:rsidR="00052899" w:rsidRPr="00B40A7C">
        <w:tc>
          <w:tcPr>
            <w:tcW w:w="471" w:type="pct"/>
            <w:tcBorders>
              <w:top w:val="single" w:sz="4" w:space="0" w:color="auto"/>
            </w:tcBorders>
          </w:tcPr>
          <w:p w:rsidR="00052899" w:rsidRPr="00B40A7C" w:rsidRDefault="00052899" w:rsidP="00052899">
            <w:pPr>
              <w:pStyle w:val="ColorfulList-Accent11"/>
              <w:numPr>
                <w:ilvl w:val="0"/>
                <w:numId w:val="18"/>
              </w:numPr>
              <w:spacing w:after="0"/>
              <w:jc w:val="both"/>
              <w:rPr>
                <w:rFonts w:ascii="Arial" w:hAnsi="Arial" w:cs="Arial"/>
                <w:sz w:val="22"/>
                <w:szCs w:val="22"/>
                <w:lang w:eastAsia="en-US"/>
              </w:rPr>
            </w:pPr>
          </w:p>
        </w:tc>
        <w:tc>
          <w:tcPr>
            <w:tcW w:w="4110" w:type="pct"/>
            <w:tcBorders>
              <w:top w:val="nil"/>
            </w:tcBorders>
          </w:tcPr>
          <w:p w:rsidR="00052899" w:rsidRPr="00B40A7C" w:rsidRDefault="00052899" w:rsidP="00052899">
            <w:pPr>
              <w:jc w:val="both"/>
              <w:rPr>
                <w:rFonts w:cs="Arial"/>
                <w:szCs w:val="22"/>
              </w:rPr>
            </w:pPr>
            <w:r w:rsidRPr="00B40A7C">
              <w:rPr>
                <w:rFonts w:cs="Arial"/>
                <w:szCs w:val="22"/>
              </w:rPr>
              <w:t xml:space="preserve">HSS Proposal Form </w:t>
            </w:r>
          </w:p>
        </w:tc>
        <w:tc>
          <w:tcPr>
            <w:tcW w:w="418" w:type="pct"/>
            <w:tcBorders>
              <w:top w:val="nil"/>
            </w:tcBorders>
            <w:vAlign w:val="center"/>
          </w:tcPr>
          <w:p w:rsidR="00052899" w:rsidRPr="00B40A7C" w:rsidRDefault="00052899" w:rsidP="00052899">
            <w:pPr>
              <w:jc w:val="both"/>
              <w:rPr>
                <w:rFonts w:cs="Arial"/>
                <w:i/>
                <w:szCs w:val="22"/>
              </w:rPr>
            </w:pPr>
            <w:r>
              <w:rPr>
                <w:rFonts w:cs="Arial"/>
                <w:i/>
                <w:szCs w:val="22"/>
              </w:rPr>
              <w:t>X</w:t>
            </w:r>
          </w:p>
        </w:tc>
      </w:tr>
      <w:tr w:rsidR="00052899" w:rsidRPr="00B40A7C">
        <w:tc>
          <w:tcPr>
            <w:tcW w:w="471" w:type="pct"/>
            <w:tcBorders>
              <w:top w:val="single" w:sz="4" w:space="0" w:color="auto"/>
            </w:tcBorders>
          </w:tcPr>
          <w:p w:rsidR="00052899" w:rsidRPr="00B40A7C" w:rsidDel="00892BB6" w:rsidRDefault="00052899" w:rsidP="00052899">
            <w:pPr>
              <w:pStyle w:val="ColorfulList-Accent11"/>
              <w:numPr>
                <w:ilvl w:val="0"/>
                <w:numId w:val="18"/>
              </w:numPr>
              <w:spacing w:after="0"/>
              <w:jc w:val="both"/>
              <w:rPr>
                <w:rFonts w:ascii="Arial" w:hAnsi="Arial" w:cs="Arial"/>
                <w:sz w:val="22"/>
                <w:szCs w:val="22"/>
                <w:lang w:eastAsia="en-US"/>
              </w:rPr>
            </w:pPr>
          </w:p>
        </w:tc>
        <w:tc>
          <w:tcPr>
            <w:tcW w:w="4110" w:type="pct"/>
            <w:tcBorders>
              <w:top w:val="nil"/>
            </w:tcBorders>
          </w:tcPr>
          <w:p w:rsidR="00052899" w:rsidRPr="00B40A7C" w:rsidRDefault="00052899" w:rsidP="00052899">
            <w:pPr>
              <w:jc w:val="both"/>
              <w:rPr>
                <w:rFonts w:cs="Arial"/>
                <w:szCs w:val="22"/>
              </w:rPr>
            </w:pPr>
            <w:r w:rsidRPr="00B40A7C">
              <w:rPr>
                <w:rFonts w:cs="Arial"/>
                <w:szCs w:val="22"/>
              </w:rPr>
              <w:t>Signature Sheet for Ministry of Health, Ministry of Finance and Health Sector Coordinating Committee (HSCC) members</w:t>
            </w:r>
          </w:p>
        </w:tc>
        <w:tc>
          <w:tcPr>
            <w:tcW w:w="418" w:type="pct"/>
            <w:tcBorders>
              <w:top w:val="nil"/>
            </w:tcBorders>
            <w:vAlign w:val="center"/>
          </w:tcPr>
          <w:p w:rsidR="00052899" w:rsidRPr="00B40A7C" w:rsidRDefault="00626D54" w:rsidP="00052899">
            <w:pPr>
              <w:jc w:val="both"/>
              <w:rPr>
                <w:rFonts w:cs="Arial"/>
                <w:i/>
                <w:szCs w:val="22"/>
              </w:rPr>
            </w:pPr>
            <w:r>
              <w:rPr>
                <w:rFonts w:cs="Arial"/>
                <w:i/>
                <w:szCs w:val="22"/>
              </w:rPr>
              <w:t>x</w:t>
            </w:r>
          </w:p>
        </w:tc>
      </w:tr>
      <w:tr w:rsidR="00052899" w:rsidRPr="00B40A7C">
        <w:tc>
          <w:tcPr>
            <w:tcW w:w="471" w:type="pct"/>
            <w:tcBorders>
              <w:top w:val="single" w:sz="4" w:space="0" w:color="auto"/>
            </w:tcBorders>
          </w:tcPr>
          <w:p w:rsidR="00052899" w:rsidRPr="00B40A7C" w:rsidRDefault="00052899" w:rsidP="00052899">
            <w:pPr>
              <w:pStyle w:val="ColorfulList-Accent11"/>
              <w:numPr>
                <w:ilvl w:val="0"/>
                <w:numId w:val="18"/>
              </w:numPr>
              <w:spacing w:after="0"/>
              <w:jc w:val="both"/>
              <w:rPr>
                <w:rFonts w:ascii="Arial" w:hAnsi="Arial" w:cs="Arial"/>
                <w:sz w:val="22"/>
                <w:szCs w:val="22"/>
                <w:lang w:eastAsia="en-US"/>
              </w:rPr>
            </w:pPr>
          </w:p>
        </w:tc>
        <w:tc>
          <w:tcPr>
            <w:tcW w:w="4110" w:type="pct"/>
            <w:tcBorders>
              <w:top w:val="nil"/>
              <w:bottom w:val="single" w:sz="6" w:space="0" w:color="000000"/>
            </w:tcBorders>
          </w:tcPr>
          <w:p w:rsidR="00052899" w:rsidRPr="00B40A7C" w:rsidRDefault="00052899" w:rsidP="00052899">
            <w:pPr>
              <w:jc w:val="both"/>
              <w:rPr>
                <w:rFonts w:cs="Arial"/>
                <w:szCs w:val="22"/>
              </w:rPr>
            </w:pPr>
            <w:r w:rsidRPr="00B40A7C">
              <w:rPr>
                <w:rFonts w:cs="Arial"/>
                <w:szCs w:val="22"/>
              </w:rPr>
              <w:t>Minutes of HSCC meeting endorsing Proposal</w:t>
            </w:r>
          </w:p>
        </w:tc>
        <w:tc>
          <w:tcPr>
            <w:tcW w:w="418" w:type="pct"/>
            <w:tcBorders>
              <w:top w:val="nil"/>
              <w:bottom w:val="single" w:sz="6" w:space="0" w:color="000000"/>
            </w:tcBorders>
            <w:vAlign w:val="center"/>
          </w:tcPr>
          <w:p w:rsidR="00052899" w:rsidRPr="00B40A7C" w:rsidRDefault="00295EE2" w:rsidP="00052899">
            <w:pPr>
              <w:jc w:val="both"/>
              <w:rPr>
                <w:rFonts w:cs="Arial"/>
                <w:i/>
                <w:szCs w:val="22"/>
              </w:rPr>
            </w:pPr>
            <w:r>
              <w:rPr>
                <w:rFonts w:cs="Arial"/>
                <w:i/>
                <w:szCs w:val="22"/>
              </w:rPr>
              <w:t>x</w:t>
            </w:r>
          </w:p>
        </w:tc>
      </w:tr>
      <w:tr w:rsidR="00052899" w:rsidRPr="00B40A7C">
        <w:tc>
          <w:tcPr>
            <w:tcW w:w="471" w:type="pct"/>
            <w:tcBorders>
              <w:top w:val="single" w:sz="4" w:space="0" w:color="auto"/>
            </w:tcBorders>
          </w:tcPr>
          <w:p w:rsidR="00052899" w:rsidRPr="00B40A7C" w:rsidRDefault="00052899" w:rsidP="00052899">
            <w:pPr>
              <w:pStyle w:val="ColorfulList-Accent11"/>
              <w:numPr>
                <w:ilvl w:val="0"/>
                <w:numId w:val="18"/>
              </w:numPr>
              <w:spacing w:after="0"/>
              <w:jc w:val="both"/>
              <w:rPr>
                <w:rFonts w:ascii="Arial" w:hAnsi="Arial" w:cs="Arial"/>
                <w:sz w:val="22"/>
                <w:szCs w:val="22"/>
                <w:lang w:eastAsia="en-US"/>
              </w:rPr>
            </w:pPr>
          </w:p>
        </w:tc>
        <w:tc>
          <w:tcPr>
            <w:tcW w:w="4110" w:type="pct"/>
            <w:tcBorders>
              <w:top w:val="nil"/>
              <w:bottom w:val="single" w:sz="6" w:space="0" w:color="000000"/>
            </w:tcBorders>
          </w:tcPr>
          <w:p w:rsidR="00052899" w:rsidRPr="00B40A7C" w:rsidRDefault="00052899" w:rsidP="00052899">
            <w:pPr>
              <w:jc w:val="both"/>
              <w:rPr>
                <w:rFonts w:cs="Arial"/>
                <w:szCs w:val="22"/>
              </w:rPr>
            </w:pPr>
            <w:r w:rsidRPr="00B40A7C">
              <w:rPr>
                <w:rFonts w:cs="Arial"/>
                <w:szCs w:val="22"/>
              </w:rPr>
              <w:t>Minutes of the last three meetings of the HSCC or equivalent</w:t>
            </w:r>
          </w:p>
        </w:tc>
        <w:tc>
          <w:tcPr>
            <w:tcW w:w="418" w:type="pct"/>
            <w:tcBorders>
              <w:top w:val="nil"/>
              <w:bottom w:val="single" w:sz="6" w:space="0" w:color="000000"/>
            </w:tcBorders>
            <w:vAlign w:val="center"/>
          </w:tcPr>
          <w:p w:rsidR="00052899" w:rsidRPr="00B40A7C" w:rsidRDefault="00295EE2" w:rsidP="00052899">
            <w:pPr>
              <w:jc w:val="both"/>
              <w:rPr>
                <w:rFonts w:cs="Arial"/>
                <w:i/>
                <w:szCs w:val="22"/>
              </w:rPr>
            </w:pPr>
            <w:r>
              <w:rPr>
                <w:rFonts w:cs="Arial"/>
                <w:i/>
                <w:szCs w:val="22"/>
              </w:rPr>
              <w:t>X</w:t>
            </w:r>
          </w:p>
        </w:tc>
      </w:tr>
      <w:tr w:rsidR="00052899" w:rsidRPr="00B40A7C">
        <w:tc>
          <w:tcPr>
            <w:tcW w:w="471" w:type="pct"/>
            <w:tcBorders>
              <w:top w:val="single" w:sz="4" w:space="0" w:color="auto"/>
            </w:tcBorders>
          </w:tcPr>
          <w:p w:rsidR="00052899" w:rsidRPr="00B40A7C" w:rsidRDefault="00052899" w:rsidP="00052899">
            <w:pPr>
              <w:pStyle w:val="ColorfulList-Accent11"/>
              <w:numPr>
                <w:ilvl w:val="0"/>
                <w:numId w:val="18"/>
              </w:numPr>
              <w:spacing w:after="0"/>
              <w:jc w:val="both"/>
              <w:rPr>
                <w:rFonts w:ascii="Arial" w:hAnsi="Arial" w:cs="Arial"/>
                <w:sz w:val="22"/>
                <w:szCs w:val="22"/>
                <w:lang w:eastAsia="en-US"/>
              </w:rPr>
            </w:pPr>
          </w:p>
        </w:tc>
        <w:tc>
          <w:tcPr>
            <w:tcW w:w="4110" w:type="pct"/>
            <w:tcBorders>
              <w:top w:val="nil"/>
              <w:bottom w:val="single" w:sz="6" w:space="0" w:color="000000"/>
            </w:tcBorders>
          </w:tcPr>
          <w:p w:rsidR="00052899" w:rsidRPr="00B40A7C" w:rsidRDefault="00052899" w:rsidP="00052899">
            <w:pPr>
              <w:jc w:val="both"/>
              <w:rPr>
                <w:rFonts w:cs="Arial"/>
                <w:szCs w:val="22"/>
              </w:rPr>
            </w:pPr>
            <w:r w:rsidRPr="00B40A7C">
              <w:rPr>
                <w:rFonts w:cs="Arial"/>
                <w:szCs w:val="22"/>
              </w:rPr>
              <w:t xml:space="preserve">HSS Monitoring &amp; Evaluation Framework </w:t>
            </w:r>
          </w:p>
        </w:tc>
        <w:tc>
          <w:tcPr>
            <w:tcW w:w="418" w:type="pct"/>
            <w:tcBorders>
              <w:top w:val="nil"/>
              <w:bottom w:val="single" w:sz="6" w:space="0" w:color="000000"/>
            </w:tcBorders>
            <w:vAlign w:val="center"/>
          </w:tcPr>
          <w:p w:rsidR="00052899" w:rsidRPr="00B40A7C" w:rsidRDefault="00052899" w:rsidP="00052899">
            <w:pPr>
              <w:jc w:val="both"/>
              <w:rPr>
                <w:rFonts w:cs="Arial"/>
                <w:i/>
                <w:szCs w:val="22"/>
              </w:rPr>
            </w:pPr>
            <w:r>
              <w:rPr>
                <w:rFonts w:cs="Arial"/>
                <w:i/>
                <w:szCs w:val="22"/>
              </w:rPr>
              <w:t>X</w:t>
            </w:r>
          </w:p>
        </w:tc>
      </w:tr>
      <w:tr w:rsidR="00052899" w:rsidRPr="00B40A7C">
        <w:tc>
          <w:tcPr>
            <w:tcW w:w="471" w:type="pct"/>
            <w:tcBorders>
              <w:top w:val="single" w:sz="4" w:space="0" w:color="auto"/>
              <w:bottom w:val="single" w:sz="4" w:space="0" w:color="auto"/>
            </w:tcBorders>
          </w:tcPr>
          <w:p w:rsidR="00052899" w:rsidRPr="00B40A7C" w:rsidRDefault="00052899" w:rsidP="00052899">
            <w:pPr>
              <w:pStyle w:val="ColorfulList-Accent11"/>
              <w:numPr>
                <w:ilvl w:val="0"/>
                <w:numId w:val="18"/>
              </w:numPr>
              <w:spacing w:after="0"/>
              <w:jc w:val="both"/>
              <w:rPr>
                <w:rFonts w:ascii="Arial" w:hAnsi="Arial" w:cs="Arial"/>
                <w:sz w:val="22"/>
                <w:szCs w:val="22"/>
                <w:lang w:eastAsia="en-US"/>
              </w:rPr>
            </w:pPr>
          </w:p>
        </w:tc>
        <w:tc>
          <w:tcPr>
            <w:tcW w:w="4110" w:type="pct"/>
            <w:tcBorders>
              <w:top w:val="single" w:sz="6" w:space="0" w:color="000000"/>
              <w:bottom w:val="single" w:sz="4" w:space="0" w:color="auto"/>
            </w:tcBorders>
          </w:tcPr>
          <w:p w:rsidR="00052899" w:rsidRPr="00B40A7C" w:rsidRDefault="00052899" w:rsidP="00052899">
            <w:pPr>
              <w:jc w:val="both"/>
              <w:rPr>
                <w:rFonts w:cs="Arial"/>
                <w:szCs w:val="22"/>
              </w:rPr>
            </w:pPr>
            <w:r w:rsidRPr="00B40A7C">
              <w:rPr>
                <w:rFonts w:cs="Arial"/>
                <w:szCs w:val="22"/>
              </w:rPr>
              <w:t xml:space="preserve">Detailed work plan and detailed budget </w:t>
            </w:r>
          </w:p>
        </w:tc>
        <w:tc>
          <w:tcPr>
            <w:tcW w:w="418" w:type="pct"/>
            <w:tcBorders>
              <w:top w:val="single" w:sz="6" w:space="0" w:color="000000"/>
              <w:bottom w:val="single" w:sz="4" w:space="0" w:color="auto"/>
            </w:tcBorders>
            <w:vAlign w:val="center"/>
          </w:tcPr>
          <w:p w:rsidR="00052899" w:rsidRPr="00B40A7C" w:rsidRDefault="00052899" w:rsidP="00052899">
            <w:pPr>
              <w:jc w:val="both"/>
              <w:rPr>
                <w:rFonts w:cs="Arial"/>
                <w:i/>
                <w:szCs w:val="22"/>
              </w:rPr>
            </w:pPr>
            <w:r>
              <w:rPr>
                <w:rFonts w:cs="Arial"/>
                <w:i/>
                <w:szCs w:val="22"/>
              </w:rPr>
              <w:t>X</w:t>
            </w:r>
          </w:p>
        </w:tc>
      </w:tr>
    </w:tbl>
    <w:p w:rsidR="00052899" w:rsidRPr="00B40A7C" w:rsidRDefault="00052899" w:rsidP="00052899">
      <w:pPr>
        <w:jc w:val="both"/>
        <w:rPr>
          <w:rFonts w:cs="Arial"/>
          <w:color w:val="000000"/>
          <w:szCs w:val="22"/>
        </w:rPr>
      </w:pPr>
    </w:p>
    <w:tbl>
      <w:tblPr>
        <w:tblpPr w:leftFromText="180" w:rightFromText="180" w:vertAnchor="text" w:horzAnchor="margin" w:tblpX="108" w:tblpY="15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03"/>
        <w:gridCol w:w="7871"/>
        <w:gridCol w:w="802"/>
      </w:tblGrid>
      <w:tr w:rsidR="00052899" w:rsidRPr="00B40A7C">
        <w:tc>
          <w:tcPr>
            <w:tcW w:w="5000" w:type="pct"/>
            <w:gridSpan w:val="3"/>
            <w:shd w:val="clear" w:color="auto" w:fill="006460"/>
          </w:tcPr>
          <w:p w:rsidR="00052899" w:rsidRPr="00B40A7C" w:rsidRDefault="00052899" w:rsidP="00052899">
            <w:pPr>
              <w:jc w:val="both"/>
              <w:rPr>
                <w:rFonts w:cs="Arial"/>
                <w:b/>
                <w:color w:val="FFFFFF"/>
                <w:szCs w:val="22"/>
              </w:rPr>
            </w:pPr>
            <w:r w:rsidRPr="00B40A7C">
              <w:rPr>
                <w:rFonts w:cs="Arial"/>
                <w:b/>
                <w:color w:val="FFFFFF"/>
                <w:szCs w:val="22"/>
              </w:rPr>
              <w:t xml:space="preserve">Existing National Documents - Mandatory Attachments </w:t>
            </w:r>
          </w:p>
          <w:p w:rsidR="00052899" w:rsidRPr="00B40A7C" w:rsidRDefault="00052899" w:rsidP="00052899">
            <w:pPr>
              <w:jc w:val="both"/>
              <w:rPr>
                <w:rFonts w:cs="Arial"/>
                <w:color w:val="FFFFFF"/>
                <w:szCs w:val="22"/>
              </w:rPr>
            </w:pPr>
            <w:r w:rsidRPr="00B40A7C">
              <w:rPr>
                <w:rFonts w:cs="Arial"/>
                <w:color w:val="FFFFFF"/>
                <w:szCs w:val="22"/>
              </w:rPr>
              <w:t>Where possible, please attach approved national documents rather than drafts. For a highly decentralised country, provide relevant state/provincial level plan as well as any relevant national level documents.</w:t>
            </w:r>
          </w:p>
          <w:p w:rsidR="00052899" w:rsidRPr="00B40A7C" w:rsidRDefault="00052899" w:rsidP="00052899">
            <w:pPr>
              <w:jc w:val="both"/>
              <w:rPr>
                <w:rFonts w:cs="Arial"/>
                <w:b/>
                <w:color w:val="FFFFFF"/>
                <w:szCs w:val="22"/>
              </w:rPr>
            </w:pPr>
            <w:r w:rsidRPr="00B40A7C">
              <w:rPr>
                <w:rFonts w:cs="Arial"/>
                <w:i/>
                <w:color w:val="FFFFFF"/>
                <w:szCs w:val="22"/>
              </w:rPr>
              <w:t>→  Please place an ‘X’ in the box when the attachment is included</w:t>
            </w:r>
          </w:p>
        </w:tc>
      </w:tr>
      <w:tr w:rsidR="00052899" w:rsidRPr="00B40A7C">
        <w:tc>
          <w:tcPr>
            <w:tcW w:w="471" w:type="pct"/>
            <w:shd w:val="clear" w:color="auto" w:fill="99CCCC"/>
          </w:tcPr>
          <w:p w:rsidR="00052899" w:rsidRPr="00B40A7C" w:rsidRDefault="00052899" w:rsidP="00052899">
            <w:pPr>
              <w:jc w:val="both"/>
              <w:rPr>
                <w:rFonts w:cs="Arial"/>
                <w:i/>
                <w:color w:val="404040"/>
                <w:szCs w:val="22"/>
              </w:rPr>
            </w:pPr>
            <w:r w:rsidRPr="00B40A7C">
              <w:rPr>
                <w:rFonts w:cs="Arial"/>
                <w:i/>
                <w:color w:val="404040"/>
                <w:szCs w:val="22"/>
              </w:rPr>
              <w:t>No.</w:t>
            </w:r>
          </w:p>
        </w:tc>
        <w:tc>
          <w:tcPr>
            <w:tcW w:w="4110" w:type="pct"/>
            <w:shd w:val="clear" w:color="auto" w:fill="99CCCC"/>
          </w:tcPr>
          <w:p w:rsidR="00052899" w:rsidRPr="00B40A7C" w:rsidRDefault="00052899" w:rsidP="00052899">
            <w:pPr>
              <w:jc w:val="both"/>
              <w:rPr>
                <w:rFonts w:cs="Arial"/>
                <w:i/>
                <w:szCs w:val="22"/>
              </w:rPr>
            </w:pPr>
            <w:r w:rsidRPr="00B40A7C">
              <w:rPr>
                <w:rFonts w:cs="Arial"/>
                <w:i/>
                <w:szCs w:val="22"/>
              </w:rPr>
              <w:t>Attachment</w:t>
            </w:r>
          </w:p>
        </w:tc>
        <w:tc>
          <w:tcPr>
            <w:tcW w:w="418" w:type="pct"/>
            <w:shd w:val="clear" w:color="auto" w:fill="99CCCC"/>
          </w:tcPr>
          <w:p w:rsidR="00052899" w:rsidRPr="00B40A7C" w:rsidRDefault="00052899" w:rsidP="00052899">
            <w:pPr>
              <w:jc w:val="both"/>
              <w:rPr>
                <w:rFonts w:cs="Arial"/>
                <w:b/>
                <w:i/>
                <w:color w:val="005199"/>
                <w:szCs w:val="22"/>
              </w:rPr>
            </w:pPr>
            <w:r w:rsidRPr="00B40A7C">
              <w:rPr>
                <w:rFonts w:cs="Arial"/>
                <w:b/>
                <w:i/>
                <w:color w:val="005199"/>
                <w:szCs w:val="22"/>
              </w:rPr>
              <w:t>X</w:t>
            </w:r>
          </w:p>
        </w:tc>
      </w:tr>
      <w:tr w:rsidR="00052899" w:rsidRPr="00B40A7C">
        <w:tc>
          <w:tcPr>
            <w:tcW w:w="471" w:type="pct"/>
            <w:tcBorders>
              <w:top w:val="single" w:sz="4" w:space="0" w:color="auto"/>
            </w:tcBorders>
          </w:tcPr>
          <w:p w:rsidR="00052899" w:rsidRPr="00B40A7C" w:rsidRDefault="00052899" w:rsidP="00052899">
            <w:pPr>
              <w:pStyle w:val="ColorfulList-Accent11"/>
              <w:numPr>
                <w:ilvl w:val="0"/>
                <w:numId w:val="18"/>
              </w:numPr>
              <w:spacing w:after="0"/>
              <w:jc w:val="both"/>
              <w:rPr>
                <w:rFonts w:ascii="Arial" w:hAnsi="Arial" w:cs="Arial"/>
                <w:sz w:val="22"/>
                <w:szCs w:val="22"/>
                <w:lang w:eastAsia="en-US"/>
              </w:rPr>
            </w:pPr>
          </w:p>
        </w:tc>
        <w:tc>
          <w:tcPr>
            <w:tcW w:w="4110" w:type="pct"/>
            <w:tcBorders>
              <w:top w:val="nil"/>
            </w:tcBorders>
          </w:tcPr>
          <w:p w:rsidR="00052899" w:rsidRPr="00B40A7C" w:rsidRDefault="00052899" w:rsidP="00052899">
            <w:pPr>
              <w:jc w:val="both"/>
              <w:rPr>
                <w:rFonts w:cs="Arial"/>
                <w:szCs w:val="22"/>
              </w:rPr>
            </w:pPr>
            <w:r w:rsidRPr="00B40A7C">
              <w:rPr>
                <w:rFonts w:cs="Arial"/>
                <w:szCs w:val="22"/>
              </w:rPr>
              <w:t>National health strategy, plan or national health policy, or other documents attached to the proposal, which highlight strategic HSS interventions</w:t>
            </w:r>
          </w:p>
        </w:tc>
        <w:tc>
          <w:tcPr>
            <w:tcW w:w="418" w:type="pct"/>
            <w:tcBorders>
              <w:top w:val="nil"/>
            </w:tcBorders>
            <w:vAlign w:val="center"/>
          </w:tcPr>
          <w:p w:rsidR="00052899" w:rsidRPr="00B40A7C" w:rsidRDefault="00052899" w:rsidP="00052899">
            <w:pPr>
              <w:jc w:val="both"/>
              <w:rPr>
                <w:rFonts w:cs="Arial"/>
                <w:i/>
                <w:szCs w:val="22"/>
              </w:rPr>
            </w:pPr>
            <w:r>
              <w:rPr>
                <w:rFonts w:cs="Arial"/>
                <w:i/>
                <w:szCs w:val="22"/>
              </w:rPr>
              <w:t>X</w:t>
            </w:r>
          </w:p>
        </w:tc>
      </w:tr>
      <w:tr w:rsidR="00052899" w:rsidRPr="00B40A7C">
        <w:tc>
          <w:tcPr>
            <w:tcW w:w="471" w:type="pct"/>
            <w:tcBorders>
              <w:top w:val="single" w:sz="4" w:space="0" w:color="auto"/>
            </w:tcBorders>
          </w:tcPr>
          <w:p w:rsidR="00052899" w:rsidRPr="00B40A7C" w:rsidRDefault="00052899" w:rsidP="00052899">
            <w:pPr>
              <w:pStyle w:val="ColorfulList-Accent11"/>
              <w:numPr>
                <w:ilvl w:val="0"/>
                <w:numId w:val="18"/>
              </w:numPr>
              <w:spacing w:after="0"/>
              <w:jc w:val="both"/>
              <w:rPr>
                <w:rFonts w:ascii="Arial" w:hAnsi="Arial" w:cs="Arial"/>
                <w:sz w:val="22"/>
                <w:szCs w:val="22"/>
                <w:lang w:eastAsia="en-US"/>
              </w:rPr>
            </w:pPr>
          </w:p>
        </w:tc>
        <w:tc>
          <w:tcPr>
            <w:tcW w:w="4110" w:type="pct"/>
            <w:tcBorders>
              <w:top w:val="nil"/>
            </w:tcBorders>
          </w:tcPr>
          <w:p w:rsidR="00052899" w:rsidRPr="00B40A7C" w:rsidRDefault="00052899" w:rsidP="00052899">
            <w:pPr>
              <w:jc w:val="both"/>
              <w:rPr>
                <w:rFonts w:cs="Arial"/>
                <w:szCs w:val="22"/>
              </w:rPr>
            </w:pPr>
            <w:r w:rsidRPr="00B40A7C">
              <w:rPr>
                <w:rFonts w:cs="Arial"/>
                <w:szCs w:val="22"/>
              </w:rPr>
              <w:t>National M&amp;E Plan (for the health sector/strategy)</w:t>
            </w:r>
          </w:p>
        </w:tc>
        <w:tc>
          <w:tcPr>
            <w:tcW w:w="418" w:type="pct"/>
            <w:tcBorders>
              <w:top w:val="nil"/>
            </w:tcBorders>
            <w:vAlign w:val="center"/>
          </w:tcPr>
          <w:p w:rsidR="00052899" w:rsidRPr="00B40A7C" w:rsidRDefault="00052899" w:rsidP="00052899">
            <w:pPr>
              <w:jc w:val="both"/>
              <w:rPr>
                <w:rFonts w:cs="Arial"/>
                <w:i/>
                <w:szCs w:val="22"/>
              </w:rPr>
            </w:pPr>
            <w:r>
              <w:rPr>
                <w:rFonts w:cs="Arial"/>
                <w:i/>
                <w:szCs w:val="22"/>
              </w:rPr>
              <w:t>X</w:t>
            </w:r>
          </w:p>
        </w:tc>
      </w:tr>
      <w:tr w:rsidR="00052899" w:rsidRPr="00B40A7C" w:rsidDel="00892BB6">
        <w:tc>
          <w:tcPr>
            <w:tcW w:w="471" w:type="pct"/>
            <w:tcBorders>
              <w:top w:val="single" w:sz="4" w:space="0" w:color="auto"/>
              <w:right w:val="single" w:sz="4" w:space="0" w:color="auto"/>
            </w:tcBorders>
          </w:tcPr>
          <w:p w:rsidR="00052899" w:rsidRPr="00B40A7C" w:rsidRDefault="00052899" w:rsidP="00052899">
            <w:pPr>
              <w:pStyle w:val="ColorfulList-Accent11"/>
              <w:numPr>
                <w:ilvl w:val="0"/>
                <w:numId w:val="18"/>
              </w:numPr>
              <w:spacing w:after="0"/>
              <w:jc w:val="both"/>
              <w:rPr>
                <w:rFonts w:ascii="Arial" w:hAnsi="Arial" w:cs="Arial"/>
                <w:sz w:val="22"/>
                <w:szCs w:val="22"/>
                <w:lang w:eastAsia="en-US"/>
              </w:rPr>
            </w:pPr>
          </w:p>
        </w:tc>
        <w:tc>
          <w:tcPr>
            <w:tcW w:w="4110" w:type="pct"/>
            <w:tcBorders>
              <w:top w:val="single" w:sz="4" w:space="0" w:color="auto"/>
              <w:left w:val="single" w:sz="4" w:space="0" w:color="auto"/>
              <w:bottom w:val="single" w:sz="4" w:space="0" w:color="auto"/>
              <w:right w:val="single" w:sz="4" w:space="0" w:color="auto"/>
            </w:tcBorders>
          </w:tcPr>
          <w:p w:rsidR="00052899" w:rsidRPr="00B40A7C" w:rsidRDefault="00052899" w:rsidP="00052899">
            <w:pPr>
              <w:jc w:val="both"/>
              <w:rPr>
                <w:rFonts w:cs="Arial"/>
                <w:szCs w:val="22"/>
              </w:rPr>
            </w:pPr>
            <w:r w:rsidRPr="00B40A7C">
              <w:rPr>
                <w:rFonts w:cs="Arial"/>
                <w:szCs w:val="22"/>
              </w:rPr>
              <w:t>National Immunisation Plan</w:t>
            </w:r>
          </w:p>
        </w:tc>
        <w:tc>
          <w:tcPr>
            <w:tcW w:w="418" w:type="pct"/>
            <w:tcBorders>
              <w:top w:val="single" w:sz="4" w:space="0" w:color="auto"/>
              <w:left w:val="single" w:sz="4" w:space="0" w:color="auto"/>
              <w:bottom w:val="single" w:sz="4" w:space="0" w:color="auto"/>
              <w:right w:val="single" w:sz="4" w:space="0" w:color="auto"/>
            </w:tcBorders>
            <w:vAlign w:val="center"/>
          </w:tcPr>
          <w:p w:rsidR="00052899" w:rsidRPr="00B40A7C" w:rsidDel="00892BB6" w:rsidRDefault="00052899" w:rsidP="00052899">
            <w:pPr>
              <w:jc w:val="both"/>
              <w:rPr>
                <w:rFonts w:cs="Arial"/>
                <w:i/>
                <w:szCs w:val="22"/>
              </w:rPr>
            </w:pPr>
          </w:p>
        </w:tc>
      </w:tr>
      <w:tr w:rsidR="00052899" w:rsidRPr="00B40A7C" w:rsidDel="00892BB6">
        <w:tc>
          <w:tcPr>
            <w:tcW w:w="471" w:type="pct"/>
            <w:tcBorders>
              <w:top w:val="single" w:sz="4" w:space="0" w:color="auto"/>
              <w:right w:val="single" w:sz="4" w:space="0" w:color="auto"/>
            </w:tcBorders>
          </w:tcPr>
          <w:p w:rsidR="00052899" w:rsidRPr="00B40A7C" w:rsidDel="00892BB6" w:rsidRDefault="00052899" w:rsidP="00052899">
            <w:pPr>
              <w:pStyle w:val="ColorfulList-Accent11"/>
              <w:numPr>
                <w:ilvl w:val="0"/>
                <w:numId w:val="18"/>
              </w:numPr>
              <w:spacing w:after="0"/>
              <w:jc w:val="both"/>
              <w:rPr>
                <w:rFonts w:ascii="Arial" w:hAnsi="Arial" w:cs="Arial"/>
                <w:sz w:val="22"/>
                <w:szCs w:val="22"/>
                <w:lang w:eastAsia="en-US"/>
              </w:rPr>
            </w:pPr>
          </w:p>
        </w:tc>
        <w:tc>
          <w:tcPr>
            <w:tcW w:w="4110" w:type="pct"/>
            <w:tcBorders>
              <w:top w:val="single" w:sz="4" w:space="0" w:color="auto"/>
              <w:left w:val="single" w:sz="4" w:space="0" w:color="auto"/>
              <w:bottom w:val="single" w:sz="4" w:space="0" w:color="auto"/>
              <w:right w:val="single" w:sz="4" w:space="0" w:color="auto"/>
            </w:tcBorders>
          </w:tcPr>
          <w:p w:rsidR="00052899" w:rsidRPr="00B40A7C" w:rsidDel="00892BB6" w:rsidRDefault="00052899" w:rsidP="00052899">
            <w:pPr>
              <w:jc w:val="both"/>
              <w:rPr>
                <w:rFonts w:cs="Arial"/>
                <w:szCs w:val="22"/>
              </w:rPr>
            </w:pPr>
            <w:r w:rsidRPr="00B40A7C">
              <w:rPr>
                <w:rFonts w:cs="Arial"/>
                <w:szCs w:val="22"/>
              </w:rPr>
              <w:t>Country cMYP</w:t>
            </w:r>
          </w:p>
        </w:tc>
        <w:tc>
          <w:tcPr>
            <w:tcW w:w="418" w:type="pct"/>
            <w:tcBorders>
              <w:top w:val="single" w:sz="4" w:space="0" w:color="auto"/>
              <w:left w:val="single" w:sz="4" w:space="0" w:color="auto"/>
              <w:bottom w:val="single" w:sz="4" w:space="0" w:color="auto"/>
              <w:right w:val="single" w:sz="4" w:space="0" w:color="auto"/>
            </w:tcBorders>
            <w:vAlign w:val="center"/>
          </w:tcPr>
          <w:p w:rsidR="00052899" w:rsidRPr="00B40A7C" w:rsidDel="00892BB6" w:rsidRDefault="00052899" w:rsidP="00052899">
            <w:pPr>
              <w:jc w:val="both"/>
              <w:rPr>
                <w:rFonts w:cs="Arial"/>
                <w:i/>
                <w:szCs w:val="22"/>
              </w:rPr>
            </w:pPr>
            <w:r>
              <w:rPr>
                <w:rFonts w:cs="Arial"/>
                <w:i/>
                <w:szCs w:val="22"/>
              </w:rPr>
              <w:t>X</w:t>
            </w:r>
          </w:p>
        </w:tc>
      </w:tr>
      <w:tr w:rsidR="00052899" w:rsidRPr="00B40A7C" w:rsidDel="00892BB6">
        <w:tc>
          <w:tcPr>
            <w:tcW w:w="471" w:type="pct"/>
            <w:tcBorders>
              <w:top w:val="single" w:sz="4" w:space="0" w:color="auto"/>
              <w:bottom w:val="single" w:sz="4" w:space="0" w:color="auto"/>
              <w:right w:val="single" w:sz="4" w:space="0" w:color="auto"/>
            </w:tcBorders>
          </w:tcPr>
          <w:p w:rsidR="00052899" w:rsidRPr="00B40A7C" w:rsidDel="00892BB6" w:rsidRDefault="00052899" w:rsidP="00052899">
            <w:pPr>
              <w:pStyle w:val="ColorfulList-Accent11"/>
              <w:numPr>
                <w:ilvl w:val="0"/>
                <w:numId w:val="18"/>
              </w:numPr>
              <w:spacing w:after="0"/>
              <w:jc w:val="both"/>
              <w:rPr>
                <w:rFonts w:ascii="Arial" w:hAnsi="Arial" w:cs="Arial"/>
                <w:sz w:val="22"/>
                <w:szCs w:val="22"/>
                <w:lang w:eastAsia="en-US"/>
              </w:rPr>
            </w:pPr>
          </w:p>
        </w:tc>
        <w:tc>
          <w:tcPr>
            <w:tcW w:w="4110" w:type="pct"/>
            <w:tcBorders>
              <w:top w:val="single" w:sz="4" w:space="0" w:color="auto"/>
              <w:left w:val="single" w:sz="4" w:space="0" w:color="auto"/>
              <w:bottom w:val="single" w:sz="4" w:space="0" w:color="auto"/>
              <w:right w:val="single" w:sz="4" w:space="0" w:color="auto"/>
            </w:tcBorders>
          </w:tcPr>
          <w:p w:rsidR="00052899" w:rsidRPr="00B40A7C" w:rsidDel="00892BB6" w:rsidRDefault="00052899" w:rsidP="00052899">
            <w:pPr>
              <w:jc w:val="both"/>
              <w:rPr>
                <w:rFonts w:cs="Arial"/>
                <w:szCs w:val="22"/>
              </w:rPr>
            </w:pPr>
            <w:r w:rsidRPr="00B40A7C">
              <w:rPr>
                <w:rFonts w:cs="Arial"/>
                <w:szCs w:val="22"/>
              </w:rPr>
              <w:t>Vaccine assessments (EVM, PIE, EPI reviews), if available</w:t>
            </w:r>
          </w:p>
        </w:tc>
        <w:tc>
          <w:tcPr>
            <w:tcW w:w="418" w:type="pct"/>
            <w:tcBorders>
              <w:top w:val="single" w:sz="4" w:space="0" w:color="auto"/>
              <w:left w:val="single" w:sz="4" w:space="0" w:color="auto"/>
              <w:bottom w:val="single" w:sz="4" w:space="0" w:color="auto"/>
              <w:right w:val="single" w:sz="4" w:space="0" w:color="auto"/>
            </w:tcBorders>
            <w:vAlign w:val="center"/>
          </w:tcPr>
          <w:p w:rsidR="00052899" w:rsidRPr="00B40A7C" w:rsidDel="00892BB6" w:rsidRDefault="00052899" w:rsidP="00052899">
            <w:pPr>
              <w:jc w:val="both"/>
              <w:rPr>
                <w:rFonts w:cs="Arial"/>
                <w:i/>
                <w:szCs w:val="22"/>
              </w:rPr>
            </w:pPr>
            <w:r>
              <w:rPr>
                <w:rFonts w:cs="Arial"/>
                <w:i/>
                <w:szCs w:val="22"/>
              </w:rPr>
              <w:t>X</w:t>
            </w:r>
          </w:p>
        </w:tc>
      </w:tr>
      <w:tr w:rsidR="00052899" w:rsidRPr="00B40A7C" w:rsidDel="00892BB6">
        <w:tc>
          <w:tcPr>
            <w:tcW w:w="471" w:type="pct"/>
            <w:tcBorders>
              <w:top w:val="single" w:sz="4" w:space="0" w:color="auto"/>
              <w:right w:val="single" w:sz="4" w:space="0" w:color="auto"/>
            </w:tcBorders>
          </w:tcPr>
          <w:p w:rsidR="00052899" w:rsidRPr="00B40A7C" w:rsidRDefault="00052899" w:rsidP="00052899">
            <w:pPr>
              <w:pStyle w:val="ColorfulList-Accent11"/>
              <w:numPr>
                <w:ilvl w:val="0"/>
                <w:numId w:val="18"/>
              </w:numPr>
              <w:spacing w:after="0"/>
              <w:jc w:val="both"/>
              <w:rPr>
                <w:rFonts w:ascii="Arial" w:hAnsi="Arial" w:cs="Arial"/>
                <w:sz w:val="22"/>
                <w:szCs w:val="22"/>
                <w:lang w:eastAsia="en-US"/>
              </w:rPr>
            </w:pPr>
          </w:p>
        </w:tc>
        <w:tc>
          <w:tcPr>
            <w:tcW w:w="4110" w:type="pct"/>
            <w:tcBorders>
              <w:top w:val="single" w:sz="4" w:space="0" w:color="auto"/>
              <w:left w:val="single" w:sz="4" w:space="0" w:color="auto"/>
              <w:bottom w:val="single" w:sz="4" w:space="0" w:color="auto"/>
              <w:right w:val="single" w:sz="4" w:space="0" w:color="auto"/>
            </w:tcBorders>
          </w:tcPr>
          <w:p w:rsidR="00052899" w:rsidRPr="00B40A7C" w:rsidRDefault="00052899" w:rsidP="00052899">
            <w:pPr>
              <w:jc w:val="both"/>
              <w:rPr>
                <w:rFonts w:cs="Arial"/>
                <w:szCs w:val="22"/>
              </w:rPr>
            </w:pPr>
            <w:r w:rsidRPr="00B40A7C">
              <w:rPr>
                <w:rFonts w:cs="Arial"/>
                <w:szCs w:val="22"/>
              </w:rPr>
              <w:t>Terms of Reference of Health Sector Coordinating Committee (HSCC)</w:t>
            </w:r>
          </w:p>
        </w:tc>
        <w:tc>
          <w:tcPr>
            <w:tcW w:w="418" w:type="pct"/>
            <w:tcBorders>
              <w:top w:val="single" w:sz="4" w:space="0" w:color="auto"/>
              <w:left w:val="single" w:sz="4" w:space="0" w:color="auto"/>
              <w:bottom w:val="single" w:sz="4" w:space="0" w:color="auto"/>
              <w:right w:val="single" w:sz="4" w:space="0" w:color="auto"/>
            </w:tcBorders>
            <w:vAlign w:val="center"/>
          </w:tcPr>
          <w:p w:rsidR="00052899" w:rsidRPr="00B40A7C" w:rsidDel="00892BB6" w:rsidRDefault="00052899" w:rsidP="00052899">
            <w:pPr>
              <w:jc w:val="both"/>
              <w:rPr>
                <w:rFonts w:cs="Arial"/>
                <w:i/>
                <w:szCs w:val="22"/>
              </w:rPr>
            </w:pPr>
            <w:r>
              <w:rPr>
                <w:rFonts w:cs="Arial"/>
                <w:i/>
                <w:szCs w:val="22"/>
              </w:rPr>
              <w:t>X</w:t>
            </w:r>
          </w:p>
        </w:tc>
      </w:tr>
    </w:tbl>
    <w:p w:rsidR="00052899" w:rsidRPr="00B40A7C" w:rsidRDefault="00052899" w:rsidP="00052899">
      <w:pPr>
        <w:jc w:val="both"/>
        <w:rPr>
          <w:rFonts w:cs="Arial"/>
          <w:vanish/>
          <w:szCs w:val="22"/>
        </w:rPr>
      </w:pPr>
    </w:p>
    <w:p w:rsidR="00052899" w:rsidRPr="00B40A7C" w:rsidRDefault="00052899" w:rsidP="00052899">
      <w:pPr>
        <w:jc w:val="both"/>
        <w:rPr>
          <w:rFonts w:cs="Arial"/>
          <w:vanish/>
          <w:szCs w:val="22"/>
        </w:rPr>
      </w:pPr>
    </w:p>
    <w:p w:rsidR="00052899" w:rsidRPr="00B40A7C" w:rsidRDefault="00052899" w:rsidP="00052899">
      <w:pPr>
        <w:jc w:val="both"/>
        <w:rPr>
          <w:rFonts w:cs="Arial"/>
          <w:vanish/>
          <w:szCs w:val="22"/>
        </w:rPr>
      </w:pPr>
    </w:p>
    <w:p w:rsidR="00052899" w:rsidRPr="00B40A7C" w:rsidRDefault="00052899" w:rsidP="00052899">
      <w:pPr>
        <w:jc w:val="both"/>
        <w:rPr>
          <w:rFonts w:cs="Arial"/>
          <w:szCs w:val="22"/>
        </w:rPr>
      </w:pPr>
    </w:p>
    <w:tbl>
      <w:tblPr>
        <w:tblpPr w:leftFromText="180" w:rightFromText="180" w:vertAnchor="text" w:horzAnchor="margin" w:tblpX="108" w:tblpY="15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03"/>
        <w:gridCol w:w="7871"/>
        <w:gridCol w:w="802"/>
      </w:tblGrid>
      <w:tr w:rsidR="00052899" w:rsidRPr="00B40A7C">
        <w:tc>
          <w:tcPr>
            <w:tcW w:w="5000" w:type="pct"/>
            <w:gridSpan w:val="3"/>
            <w:shd w:val="clear" w:color="auto" w:fill="006460"/>
          </w:tcPr>
          <w:p w:rsidR="00052899" w:rsidRPr="00B40A7C" w:rsidRDefault="00052899" w:rsidP="00052899">
            <w:pPr>
              <w:jc w:val="both"/>
              <w:rPr>
                <w:rFonts w:cs="Arial"/>
                <w:b/>
                <w:color w:val="FFFFFF"/>
                <w:szCs w:val="22"/>
              </w:rPr>
            </w:pPr>
            <w:r w:rsidRPr="00B40A7C">
              <w:rPr>
                <w:rFonts w:cs="Arial"/>
                <w:b/>
                <w:color w:val="FFFFFF"/>
                <w:szCs w:val="22"/>
              </w:rPr>
              <w:t>Existing National Documents - Additional Attachments</w:t>
            </w:r>
          </w:p>
          <w:p w:rsidR="00052899" w:rsidRPr="00B40A7C" w:rsidRDefault="00052899" w:rsidP="00052899">
            <w:pPr>
              <w:jc w:val="both"/>
              <w:rPr>
                <w:rFonts w:cs="Arial"/>
                <w:color w:val="FFFFFF"/>
                <w:szCs w:val="22"/>
              </w:rPr>
            </w:pPr>
            <w:r w:rsidRPr="00B40A7C">
              <w:rPr>
                <w:rFonts w:cs="Arial"/>
                <w:color w:val="FFFFFF"/>
                <w:szCs w:val="22"/>
              </w:rPr>
              <w:t>Where possible, please attach approved national documents rather than drafts. For a highly decentralised country, provide relevant state/provincial level plan as well as any relevant national level documents.</w:t>
            </w:r>
          </w:p>
          <w:p w:rsidR="00052899" w:rsidRPr="00B40A7C" w:rsidRDefault="00052899" w:rsidP="00052899">
            <w:pPr>
              <w:jc w:val="both"/>
              <w:rPr>
                <w:rFonts w:cs="Arial"/>
                <w:b/>
                <w:color w:val="FFFFFF"/>
                <w:szCs w:val="22"/>
              </w:rPr>
            </w:pPr>
            <w:r w:rsidRPr="00B40A7C">
              <w:rPr>
                <w:rFonts w:cs="Arial"/>
                <w:i/>
                <w:color w:val="FFFFFF"/>
                <w:szCs w:val="22"/>
              </w:rPr>
              <w:t>→  Please place an ‘X’ in the box when the attachment is included</w:t>
            </w:r>
          </w:p>
        </w:tc>
      </w:tr>
      <w:tr w:rsidR="00052899" w:rsidRPr="00B40A7C">
        <w:tc>
          <w:tcPr>
            <w:tcW w:w="471" w:type="pct"/>
            <w:shd w:val="clear" w:color="auto" w:fill="99CCCC"/>
          </w:tcPr>
          <w:p w:rsidR="00052899" w:rsidRPr="00B40A7C" w:rsidRDefault="00052899" w:rsidP="00052899">
            <w:pPr>
              <w:jc w:val="both"/>
              <w:rPr>
                <w:rFonts w:cs="Arial"/>
                <w:i/>
                <w:color w:val="404040"/>
                <w:szCs w:val="22"/>
              </w:rPr>
            </w:pPr>
            <w:r w:rsidRPr="00B40A7C">
              <w:rPr>
                <w:rFonts w:cs="Arial"/>
                <w:i/>
                <w:color w:val="404040"/>
                <w:szCs w:val="22"/>
              </w:rPr>
              <w:t>No.</w:t>
            </w:r>
          </w:p>
        </w:tc>
        <w:tc>
          <w:tcPr>
            <w:tcW w:w="4110" w:type="pct"/>
            <w:shd w:val="clear" w:color="auto" w:fill="99CCCC"/>
          </w:tcPr>
          <w:p w:rsidR="00052899" w:rsidRPr="00B40A7C" w:rsidRDefault="00052899" w:rsidP="00052899">
            <w:pPr>
              <w:jc w:val="both"/>
              <w:rPr>
                <w:rFonts w:cs="Arial"/>
                <w:i/>
                <w:szCs w:val="22"/>
              </w:rPr>
            </w:pPr>
            <w:r w:rsidRPr="00B40A7C">
              <w:rPr>
                <w:rFonts w:cs="Arial"/>
                <w:i/>
                <w:szCs w:val="22"/>
              </w:rPr>
              <w:t>Attachment</w:t>
            </w:r>
          </w:p>
        </w:tc>
        <w:tc>
          <w:tcPr>
            <w:tcW w:w="418" w:type="pct"/>
            <w:shd w:val="clear" w:color="auto" w:fill="99CCCC"/>
          </w:tcPr>
          <w:p w:rsidR="00052899" w:rsidRPr="00B40A7C" w:rsidRDefault="00052899" w:rsidP="00052899">
            <w:pPr>
              <w:jc w:val="both"/>
              <w:rPr>
                <w:rFonts w:cs="Arial"/>
                <w:b/>
                <w:i/>
                <w:color w:val="005199"/>
                <w:szCs w:val="22"/>
              </w:rPr>
            </w:pPr>
            <w:r w:rsidRPr="00B40A7C">
              <w:rPr>
                <w:rFonts w:cs="Arial"/>
                <w:b/>
                <w:i/>
                <w:color w:val="005199"/>
                <w:szCs w:val="22"/>
              </w:rPr>
              <w:t>X</w:t>
            </w:r>
          </w:p>
        </w:tc>
      </w:tr>
      <w:tr w:rsidR="00052899" w:rsidRPr="00B40A7C">
        <w:tc>
          <w:tcPr>
            <w:tcW w:w="471" w:type="pct"/>
            <w:tcBorders>
              <w:top w:val="single" w:sz="4" w:space="0" w:color="auto"/>
              <w:left w:val="single" w:sz="4" w:space="0" w:color="auto"/>
              <w:bottom w:val="single" w:sz="4" w:space="0" w:color="auto"/>
              <w:right w:val="single" w:sz="4" w:space="0" w:color="auto"/>
            </w:tcBorders>
          </w:tcPr>
          <w:p w:rsidR="00052899" w:rsidRPr="00B40A7C" w:rsidRDefault="00052899" w:rsidP="00052899">
            <w:pPr>
              <w:pStyle w:val="ColorfulList-Accent11"/>
              <w:numPr>
                <w:ilvl w:val="0"/>
                <w:numId w:val="18"/>
              </w:numPr>
              <w:spacing w:after="0"/>
              <w:jc w:val="both"/>
              <w:rPr>
                <w:rFonts w:ascii="Arial" w:hAnsi="Arial" w:cs="Arial"/>
                <w:sz w:val="22"/>
                <w:szCs w:val="22"/>
                <w:lang w:eastAsia="en-US"/>
              </w:rPr>
            </w:pPr>
          </w:p>
        </w:tc>
        <w:tc>
          <w:tcPr>
            <w:tcW w:w="4110" w:type="pct"/>
            <w:tcBorders>
              <w:top w:val="single" w:sz="4" w:space="0" w:color="auto"/>
              <w:left w:val="single" w:sz="4" w:space="0" w:color="auto"/>
              <w:bottom w:val="single" w:sz="4" w:space="0" w:color="auto"/>
              <w:right w:val="single" w:sz="4" w:space="0" w:color="auto"/>
            </w:tcBorders>
          </w:tcPr>
          <w:p w:rsidR="00052899" w:rsidRPr="00B40A7C" w:rsidRDefault="00052899" w:rsidP="00052899">
            <w:pPr>
              <w:jc w:val="both"/>
              <w:rPr>
                <w:rFonts w:cs="Arial"/>
                <w:szCs w:val="22"/>
              </w:rPr>
            </w:pPr>
            <w:r w:rsidRPr="00B40A7C">
              <w:rPr>
                <w:rFonts w:cs="Arial"/>
                <w:szCs w:val="22"/>
              </w:rPr>
              <w:t>Joint Assessment of National Health Strategy (if available)</w:t>
            </w:r>
          </w:p>
        </w:tc>
        <w:tc>
          <w:tcPr>
            <w:tcW w:w="418" w:type="pct"/>
            <w:tcBorders>
              <w:top w:val="single" w:sz="4" w:space="0" w:color="auto"/>
              <w:left w:val="single" w:sz="4" w:space="0" w:color="auto"/>
              <w:bottom w:val="single" w:sz="4" w:space="0" w:color="auto"/>
              <w:right w:val="single" w:sz="4" w:space="0" w:color="auto"/>
            </w:tcBorders>
            <w:vAlign w:val="center"/>
          </w:tcPr>
          <w:p w:rsidR="00052899" w:rsidRPr="00B40A7C" w:rsidRDefault="00052899" w:rsidP="00052899">
            <w:pPr>
              <w:jc w:val="both"/>
              <w:rPr>
                <w:rFonts w:cs="Arial"/>
                <w:i/>
                <w:szCs w:val="22"/>
              </w:rPr>
            </w:pPr>
            <w:r>
              <w:rPr>
                <w:rFonts w:cs="Arial"/>
                <w:i/>
                <w:szCs w:val="22"/>
              </w:rPr>
              <w:t>N/A</w:t>
            </w:r>
          </w:p>
        </w:tc>
      </w:tr>
      <w:tr w:rsidR="00052899" w:rsidRPr="00B40A7C">
        <w:tc>
          <w:tcPr>
            <w:tcW w:w="471" w:type="pct"/>
            <w:tcBorders>
              <w:top w:val="single" w:sz="4" w:space="0" w:color="auto"/>
              <w:left w:val="single" w:sz="4" w:space="0" w:color="auto"/>
              <w:bottom w:val="single" w:sz="4" w:space="0" w:color="auto"/>
              <w:right w:val="single" w:sz="4" w:space="0" w:color="auto"/>
            </w:tcBorders>
          </w:tcPr>
          <w:p w:rsidR="00052899" w:rsidRPr="00B40A7C" w:rsidRDefault="00052899" w:rsidP="00052899">
            <w:pPr>
              <w:pStyle w:val="ColorfulList-Accent11"/>
              <w:numPr>
                <w:ilvl w:val="0"/>
                <w:numId w:val="18"/>
              </w:numPr>
              <w:spacing w:after="0"/>
              <w:jc w:val="both"/>
              <w:rPr>
                <w:rFonts w:ascii="Arial" w:hAnsi="Arial" w:cs="Arial"/>
                <w:sz w:val="22"/>
                <w:szCs w:val="22"/>
                <w:lang w:eastAsia="en-US"/>
              </w:rPr>
            </w:pPr>
          </w:p>
        </w:tc>
        <w:tc>
          <w:tcPr>
            <w:tcW w:w="4110" w:type="pct"/>
            <w:tcBorders>
              <w:top w:val="single" w:sz="4" w:space="0" w:color="auto"/>
              <w:left w:val="single" w:sz="4" w:space="0" w:color="auto"/>
              <w:bottom w:val="single" w:sz="4" w:space="0" w:color="auto"/>
              <w:right w:val="single" w:sz="4" w:space="0" w:color="auto"/>
            </w:tcBorders>
          </w:tcPr>
          <w:p w:rsidR="00052899" w:rsidRPr="00B40A7C" w:rsidRDefault="00052899" w:rsidP="00052899">
            <w:pPr>
              <w:jc w:val="both"/>
              <w:rPr>
                <w:rFonts w:cs="Arial"/>
                <w:szCs w:val="22"/>
              </w:rPr>
            </w:pPr>
            <w:r w:rsidRPr="00B40A7C">
              <w:rPr>
                <w:rFonts w:cs="Arial"/>
                <w:szCs w:val="22"/>
              </w:rPr>
              <w:t>Response to Joint Assessment of National Health Strategy (if available)</w:t>
            </w:r>
          </w:p>
        </w:tc>
        <w:tc>
          <w:tcPr>
            <w:tcW w:w="418" w:type="pct"/>
            <w:tcBorders>
              <w:top w:val="single" w:sz="4" w:space="0" w:color="auto"/>
              <w:left w:val="single" w:sz="4" w:space="0" w:color="auto"/>
              <w:bottom w:val="single" w:sz="4" w:space="0" w:color="auto"/>
              <w:right w:val="single" w:sz="4" w:space="0" w:color="auto"/>
            </w:tcBorders>
            <w:vAlign w:val="center"/>
          </w:tcPr>
          <w:p w:rsidR="00052899" w:rsidRPr="00B40A7C" w:rsidRDefault="00052899" w:rsidP="00052899">
            <w:pPr>
              <w:jc w:val="both"/>
              <w:rPr>
                <w:rFonts w:cs="Arial"/>
                <w:i/>
                <w:szCs w:val="22"/>
              </w:rPr>
            </w:pPr>
            <w:r>
              <w:rPr>
                <w:rFonts w:cs="Arial"/>
                <w:i/>
                <w:szCs w:val="22"/>
              </w:rPr>
              <w:t>N/A</w:t>
            </w:r>
          </w:p>
        </w:tc>
      </w:tr>
      <w:tr w:rsidR="00052899" w:rsidRPr="00B40A7C">
        <w:trPr>
          <w:trHeight w:val="119"/>
        </w:trPr>
        <w:tc>
          <w:tcPr>
            <w:tcW w:w="471" w:type="pct"/>
            <w:tcBorders>
              <w:top w:val="single" w:sz="4" w:space="0" w:color="auto"/>
              <w:left w:val="single" w:sz="4" w:space="0" w:color="auto"/>
              <w:bottom w:val="single" w:sz="4" w:space="0" w:color="auto"/>
              <w:right w:val="single" w:sz="4" w:space="0" w:color="auto"/>
            </w:tcBorders>
          </w:tcPr>
          <w:p w:rsidR="00052899" w:rsidRPr="00B40A7C" w:rsidRDefault="00052899" w:rsidP="00052899">
            <w:pPr>
              <w:pStyle w:val="ColorfulList-Accent11"/>
              <w:numPr>
                <w:ilvl w:val="0"/>
                <w:numId w:val="18"/>
              </w:numPr>
              <w:spacing w:after="0"/>
              <w:jc w:val="both"/>
              <w:rPr>
                <w:rFonts w:ascii="Arial" w:hAnsi="Arial" w:cs="Arial"/>
                <w:sz w:val="22"/>
                <w:szCs w:val="22"/>
                <w:lang w:eastAsia="en-US"/>
              </w:rPr>
            </w:pPr>
          </w:p>
        </w:tc>
        <w:tc>
          <w:tcPr>
            <w:tcW w:w="4110" w:type="pct"/>
            <w:tcBorders>
              <w:top w:val="single" w:sz="4" w:space="0" w:color="auto"/>
              <w:left w:val="single" w:sz="4" w:space="0" w:color="auto"/>
              <w:bottom w:val="single" w:sz="4" w:space="0" w:color="auto"/>
              <w:right w:val="single" w:sz="4" w:space="0" w:color="auto"/>
            </w:tcBorders>
            <w:vAlign w:val="center"/>
          </w:tcPr>
          <w:p w:rsidR="00052899" w:rsidRPr="00B40A7C" w:rsidRDefault="00052899" w:rsidP="00052899">
            <w:pPr>
              <w:jc w:val="both"/>
              <w:rPr>
                <w:rFonts w:cs="Arial"/>
                <w:szCs w:val="22"/>
              </w:rPr>
            </w:pPr>
            <w:r w:rsidRPr="00B40A7C">
              <w:rPr>
                <w:rFonts w:cs="Arial"/>
                <w:szCs w:val="22"/>
              </w:rPr>
              <w:t>If funds transfers are to go directly to a CSO or CSO Network, please provide the 3 most recent years of published financial statements of the lead CSO, audited by a qualified independent external auditor</w:t>
            </w:r>
          </w:p>
        </w:tc>
        <w:tc>
          <w:tcPr>
            <w:tcW w:w="418" w:type="pct"/>
            <w:tcBorders>
              <w:top w:val="single" w:sz="4" w:space="0" w:color="auto"/>
              <w:left w:val="single" w:sz="4" w:space="0" w:color="auto"/>
              <w:bottom w:val="single" w:sz="4" w:space="0" w:color="auto"/>
              <w:right w:val="single" w:sz="4" w:space="0" w:color="auto"/>
            </w:tcBorders>
            <w:vAlign w:val="center"/>
          </w:tcPr>
          <w:p w:rsidR="00052899" w:rsidRPr="00B40A7C" w:rsidRDefault="00052899" w:rsidP="00052899">
            <w:pPr>
              <w:jc w:val="both"/>
              <w:rPr>
                <w:rFonts w:cs="Arial"/>
                <w:i/>
                <w:szCs w:val="22"/>
              </w:rPr>
            </w:pPr>
            <w:r>
              <w:rPr>
                <w:rFonts w:cs="Arial"/>
                <w:i/>
                <w:szCs w:val="22"/>
              </w:rPr>
              <w:t>N/A</w:t>
            </w:r>
          </w:p>
        </w:tc>
      </w:tr>
      <w:tr w:rsidR="00052899" w:rsidRPr="00B40A7C">
        <w:trPr>
          <w:trHeight w:val="295"/>
        </w:trPr>
        <w:tc>
          <w:tcPr>
            <w:tcW w:w="471" w:type="pct"/>
            <w:tcBorders>
              <w:top w:val="single" w:sz="4" w:space="0" w:color="auto"/>
              <w:left w:val="single" w:sz="4" w:space="0" w:color="auto"/>
              <w:bottom w:val="single" w:sz="4" w:space="0" w:color="auto"/>
              <w:right w:val="single" w:sz="4" w:space="0" w:color="auto"/>
            </w:tcBorders>
          </w:tcPr>
          <w:p w:rsidR="00052899" w:rsidRPr="00B40A7C" w:rsidRDefault="00052899" w:rsidP="00052899">
            <w:pPr>
              <w:jc w:val="both"/>
              <w:rPr>
                <w:rFonts w:cs="Arial"/>
                <w:szCs w:val="22"/>
              </w:rPr>
            </w:pPr>
            <w:r w:rsidRPr="00B40A7C">
              <w:rPr>
                <w:rFonts w:cs="Arial"/>
                <w:szCs w:val="22"/>
              </w:rPr>
              <w:t>…</w:t>
            </w:r>
          </w:p>
        </w:tc>
        <w:tc>
          <w:tcPr>
            <w:tcW w:w="4110" w:type="pct"/>
            <w:tcBorders>
              <w:top w:val="single" w:sz="4" w:space="0" w:color="auto"/>
              <w:left w:val="single" w:sz="4" w:space="0" w:color="auto"/>
              <w:bottom w:val="single" w:sz="4" w:space="0" w:color="auto"/>
              <w:right w:val="single" w:sz="4" w:space="0" w:color="auto"/>
            </w:tcBorders>
            <w:vAlign w:val="center"/>
          </w:tcPr>
          <w:p w:rsidR="00052899" w:rsidRPr="00B40A7C" w:rsidRDefault="00052899" w:rsidP="00052899">
            <w:pPr>
              <w:jc w:val="both"/>
              <w:rPr>
                <w:rFonts w:cs="Arial"/>
                <w:szCs w:val="22"/>
              </w:rPr>
            </w:pPr>
          </w:p>
        </w:tc>
        <w:tc>
          <w:tcPr>
            <w:tcW w:w="418" w:type="pct"/>
            <w:tcBorders>
              <w:top w:val="single" w:sz="4" w:space="0" w:color="auto"/>
              <w:left w:val="single" w:sz="4" w:space="0" w:color="auto"/>
              <w:bottom w:val="single" w:sz="4" w:space="0" w:color="auto"/>
              <w:right w:val="single" w:sz="4" w:space="0" w:color="auto"/>
            </w:tcBorders>
            <w:vAlign w:val="center"/>
          </w:tcPr>
          <w:p w:rsidR="00052899" w:rsidRPr="00B40A7C" w:rsidRDefault="00052899" w:rsidP="00052899">
            <w:pPr>
              <w:jc w:val="both"/>
              <w:rPr>
                <w:rFonts w:cs="Arial"/>
                <w:i/>
                <w:szCs w:val="22"/>
              </w:rPr>
            </w:pPr>
          </w:p>
        </w:tc>
      </w:tr>
    </w:tbl>
    <w:p w:rsidR="00052899" w:rsidRPr="00B40A7C" w:rsidRDefault="00052899" w:rsidP="00052899">
      <w:pPr>
        <w:ind w:left="113" w:right="-20"/>
        <w:jc w:val="both"/>
        <w:rPr>
          <w:rFonts w:eastAsia="Arial" w:cs="Arial"/>
          <w:szCs w:val="22"/>
          <w:u w:val="single"/>
        </w:rPr>
      </w:pPr>
    </w:p>
    <w:p w:rsidR="00F837EB" w:rsidRDefault="00052899" w:rsidP="00052899">
      <w:pPr>
        <w:spacing w:after="120"/>
        <w:ind w:left="113" w:right="59"/>
        <w:jc w:val="both"/>
        <w:rPr>
          <w:rFonts w:eastAsia="Arial" w:cs="Arial"/>
          <w:b/>
          <w:bCs/>
          <w:szCs w:val="22"/>
        </w:rPr>
      </w:pPr>
      <w:r w:rsidRPr="00B40A7C">
        <w:rPr>
          <w:rFonts w:eastAsia="Arial" w:cs="Arial"/>
          <w:b/>
          <w:bCs/>
          <w:szCs w:val="22"/>
        </w:rPr>
        <w:t>Applicants are strongly encouraged to carefully read the instructions provided within the relevant sections of the guidelines before completing the application form.</w:t>
      </w:r>
    </w:p>
    <w:p w:rsidR="00000000" w:rsidRDefault="00F837EB">
      <w:pPr>
        <w:spacing w:after="120"/>
        <w:ind w:left="113" w:right="59"/>
        <w:jc w:val="both"/>
        <w:rPr>
          <w:rFonts w:cs="Arial"/>
        </w:rPr>
      </w:pPr>
      <w:r>
        <w:rPr>
          <w:rFonts w:eastAsia="Arial" w:cs="Arial"/>
          <w:b/>
          <w:bCs/>
          <w:szCs w:val="22"/>
        </w:rPr>
        <w:br w:type="page"/>
      </w:r>
      <w:r w:rsidRPr="00046EF9">
        <w:rPr>
          <w:rFonts w:cs="Arial"/>
          <w:b/>
        </w:rPr>
        <w:lastRenderedPageBreak/>
        <w:t>Bibliography</w:t>
      </w:r>
    </w:p>
    <w:p w:rsidR="00F837EB" w:rsidRDefault="00F837EB" w:rsidP="00F837EB">
      <w:pPr>
        <w:numPr>
          <w:ilvl w:val="0"/>
          <w:numId w:val="32"/>
        </w:numPr>
        <w:autoSpaceDE w:val="0"/>
        <w:autoSpaceDN w:val="0"/>
        <w:adjustRightInd w:val="0"/>
        <w:spacing w:before="240"/>
        <w:jc w:val="both"/>
        <w:rPr>
          <w:rFonts w:cs="Arial"/>
        </w:rPr>
      </w:pPr>
      <w:r w:rsidRPr="00D638C1">
        <w:rPr>
          <w:rFonts w:cs="Arial"/>
        </w:rPr>
        <w:t>Accounting Treasury and Financial Reporting</w:t>
      </w:r>
      <w:r>
        <w:rPr>
          <w:rFonts w:cs="Arial"/>
        </w:rPr>
        <w:t>, Rules a</w:t>
      </w:r>
      <w:r w:rsidRPr="00D638C1">
        <w:rPr>
          <w:rFonts w:cs="Arial"/>
        </w:rPr>
        <w:t>nd Instructions (1997)</w:t>
      </w:r>
    </w:p>
    <w:p w:rsidR="00F837EB" w:rsidRPr="00D638C1" w:rsidRDefault="00F837EB" w:rsidP="00F837EB">
      <w:pPr>
        <w:numPr>
          <w:ilvl w:val="0"/>
          <w:numId w:val="32"/>
        </w:numPr>
        <w:spacing w:before="240"/>
        <w:jc w:val="both"/>
        <w:rPr>
          <w:rFonts w:cs="Arial"/>
        </w:rPr>
      </w:pPr>
      <w:r w:rsidRPr="00D638C1">
        <w:rPr>
          <w:rFonts w:cs="Arial"/>
          <w:i/>
        </w:rPr>
        <w:t>CCM of the Global Fund to Fight HIV/AIDS, TB</w:t>
      </w:r>
      <w:r>
        <w:rPr>
          <w:rFonts w:cs="Arial"/>
          <w:i/>
        </w:rPr>
        <w:t xml:space="preserve"> &amp; Malaria,</w:t>
      </w:r>
      <w:r w:rsidRPr="00D638C1">
        <w:rPr>
          <w:rFonts w:cs="Arial"/>
          <w:i/>
        </w:rPr>
        <w:t xml:space="preserve"> </w:t>
      </w:r>
      <w:r w:rsidRPr="00D638C1">
        <w:rPr>
          <w:rFonts w:cs="Arial"/>
        </w:rPr>
        <w:t>Ghana CCM Constitution (2012)</w:t>
      </w:r>
    </w:p>
    <w:p w:rsidR="00F837EB" w:rsidRDefault="00F837EB" w:rsidP="00F837EB">
      <w:pPr>
        <w:numPr>
          <w:ilvl w:val="0"/>
          <w:numId w:val="32"/>
        </w:numPr>
        <w:autoSpaceDE w:val="0"/>
        <w:autoSpaceDN w:val="0"/>
        <w:adjustRightInd w:val="0"/>
        <w:spacing w:before="240"/>
        <w:jc w:val="both"/>
        <w:rPr>
          <w:rFonts w:cs="Arial"/>
        </w:rPr>
      </w:pPr>
      <w:r>
        <w:rPr>
          <w:rFonts w:cs="Arial"/>
        </w:rPr>
        <w:t>Common Management Arrangements for t</w:t>
      </w:r>
      <w:r w:rsidRPr="00D638C1">
        <w:rPr>
          <w:rFonts w:cs="Arial"/>
        </w:rPr>
        <w:t>he Implementation</w:t>
      </w:r>
      <w:r>
        <w:rPr>
          <w:rFonts w:cs="Arial"/>
        </w:rPr>
        <w:t xml:space="preserve"> o</w:t>
      </w:r>
      <w:r w:rsidRPr="00D638C1">
        <w:rPr>
          <w:rFonts w:cs="Arial"/>
        </w:rPr>
        <w:t xml:space="preserve">f </w:t>
      </w:r>
      <w:r>
        <w:rPr>
          <w:rFonts w:cs="Arial"/>
        </w:rPr>
        <w:t>t</w:t>
      </w:r>
      <w:r w:rsidRPr="00D638C1">
        <w:rPr>
          <w:rFonts w:cs="Arial"/>
        </w:rPr>
        <w:t>he Health Sector Medium T</w:t>
      </w:r>
      <w:r>
        <w:rPr>
          <w:rFonts w:cs="Arial"/>
        </w:rPr>
        <w:t>erm Development Plan, Ministry o</w:t>
      </w:r>
      <w:r w:rsidRPr="00D638C1">
        <w:rPr>
          <w:rFonts w:cs="Arial"/>
        </w:rPr>
        <w:t>f Health Ghana, 2010</w:t>
      </w:r>
    </w:p>
    <w:p w:rsidR="00F837EB" w:rsidRPr="00D638C1" w:rsidRDefault="00F837EB" w:rsidP="00F837EB">
      <w:pPr>
        <w:numPr>
          <w:ilvl w:val="0"/>
          <w:numId w:val="32"/>
        </w:numPr>
        <w:spacing w:before="240"/>
        <w:jc w:val="both"/>
        <w:rPr>
          <w:rFonts w:cs="Arial"/>
        </w:rPr>
      </w:pPr>
      <w:r w:rsidRPr="00D638C1">
        <w:rPr>
          <w:rFonts w:cs="Arial"/>
        </w:rPr>
        <w:t>Condition of Cold Chain and EPI Equipment In 2013</w:t>
      </w:r>
    </w:p>
    <w:p w:rsidR="00F837EB" w:rsidRDefault="00F837EB" w:rsidP="00F837EB">
      <w:pPr>
        <w:numPr>
          <w:ilvl w:val="0"/>
          <w:numId w:val="32"/>
        </w:numPr>
        <w:autoSpaceDE w:val="0"/>
        <w:autoSpaceDN w:val="0"/>
        <w:adjustRightInd w:val="0"/>
        <w:spacing w:before="240"/>
        <w:jc w:val="both"/>
        <w:rPr>
          <w:rFonts w:cs="Arial"/>
          <w:bCs/>
        </w:rPr>
      </w:pPr>
      <w:r w:rsidRPr="00D638C1">
        <w:rPr>
          <w:rFonts w:cs="Arial"/>
          <w:bCs/>
        </w:rPr>
        <w:t>Effective Vaccine Management (EVM) Assessment R</w:t>
      </w:r>
      <w:r>
        <w:rPr>
          <w:rFonts w:cs="Arial"/>
          <w:bCs/>
        </w:rPr>
        <w:t>eport September 2010, Ministry o</w:t>
      </w:r>
      <w:r w:rsidRPr="00D638C1">
        <w:rPr>
          <w:rFonts w:cs="Arial"/>
          <w:bCs/>
        </w:rPr>
        <w:t>f Health - Ghana Expanded Programme on Immunization</w:t>
      </w:r>
    </w:p>
    <w:p w:rsidR="00F837EB" w:rsidRDefault="00F837EB" w:rsidP="00F837EB">
      <w:pPr>
        <w:numPr>
          <w:ilvl w:val="0"/>
          <w:numId w:val="32"/>
        </w:numPr>
        <w:autoSpaceDE w:val="0"/>
        <w:autoSpaceDN w:val="0"/>
        <w:adjustRightInd w:val="0"/>
        <w:spacing w:before="240"/>
        <w:jc w:val="both"/>
        <w:rPr>
          <w:rFonts w:cs="Arial"/>
          <w:bCs/>
        </w:rPr>
      </w:pPr>
      <w:r w:rsidRPr="00D638C1">
        <w:rPr>
          <w:rFonts w:cs="Arial"/>
          <w:bCs/>
        </w:rPr>
        <w:t>Ghana Health Service and Teaching Hospital Act 1996 (Act 525)</w:t>
      </w:r>
    </w:p>
    <w:p w:rsidR="00F837EB" w:rsidRPr="00F837EB" w:rsidRDefault="00F837EB" w:rsidP="00F837EB">
      <w:pPr>
        <w:numPr>
          <w:ilvl w:val="0"/>
          <w:numId w:val="32"/>
        </w:numPr>
        <w:autoSpaceDE w:val="0"/>
        <w:autoSpaceDN w:val="0"/>
        <w:adjustRightInd w:val="0"/>
        <w:spacing w:before="240"/>
        <w:jc w:val="both"/>
        <w:rPr>
          <w:rFonts w:cs="Arial"/>
          <w:bCs/>
        </w:rPr>
      </w:pPr>
      <w:r w:rsidRPr="00D638C1">
        <w:rPr>
          <w:rFonts w:cs="Arial"/>
        </w:rPr>
        <w:t xml:space="preserve">Ghana Immunization Services Review– 2012 </w:t>
      </w:r>
      <w:r w:rsidRPr="00D638C1">
        <w:rPr>
          <w:rFonts w:cs="Arial"/>
          <w:i/>
        </w:rPr>
        <w:t xml:space="preserve">Part I ““From Better to Best”: National Report, </w:t>
      </w:r>
      <w:r w:rsidRPr="00D638C1">
        <w:rPr>
          <w:rFonts w:cs="Arial"/>
          <w:bCs/>
        </w:rPr>
        <w:t>Ministry of Health - Ghana Expanded Programme on Immunization</w:t>
      </w:r>
    </w:p>
    <w:p w:rsidR="00F837EB" w:rsidRPr="00F837EB" w:rsidRDefault="00F837EB" w:rsidP="00F837EB">
      <w:pPr>
        <w:numPr>
          <w:ilvl w:val="0"/>
          <w:numId w:val="32"/>
        </w:numPr>
        <w:autoSpaceDE w:val="0"/>
        <w:autoSpaceDN w:val="0"/>
        <w:adjustRightInd w:val="0"/>
        <w:spacing w:before="240"/>
        <w:jc w:val="both"/>
        <w:rPr>
          <w:rFonts w:cs="Arial"/>
        </w:rPr>
      </w:pPr>
      <w:r w:rsidRPr="00D638C1">
        <w:rPr>
          <w:rFonts w:cs="Arial"/>
        </w:rPr>
        <w:t xml:space="preserve">Ghana </w:t>
      </w:r>
      <w:r w:rsidRPr="00D638C1">
        <w:rPr>
          <w:rFonts w:cs="Arial"/>
          <w:bCs/>
        </w:rPr>
        <w:t xml:space="preserve">MDG Acceleration Framework </w:t>
      </w:r>
      <w:r w:rsidRPr="00D638C1">
        <w:rPr>
          <w:rFonts w:cs="Arial"/>
        </w:rPr>
        <w:t>and</w:t>
      </w:r>
      <w:r w:rsidRPr="00D638C1">
        <w:rPr>
          <w:rFonts w:cs="Arial"/>
          <w:bCs/>
        </w:rPr>
        <w:t xml:space="preserve"> Country Action Plan</w:t>
      </w:r>
      <w:r w:rsidRPr="00D638C1">
        <w:rPr>
          <w:rFonts w:cs="Arial"/>
        </w:rPr>
        <w:t xml:space="preserve"> Maternal Health, 2011</w:t>
      </w:r>
    </w:p>
    <w:p w:rsidR="00F837EB" w:rsidRDefault="00F837EB" w:rsidP="00F837EB">
      <w:pPr>
        <w:numPr>
          <w:ilvl w:val="0"/>
          <w:numId w:val="32"/>
        </w:numPr>
        <w:autoSpaceDE w:val="0"/>
        <w:autoSpaceDN w:val="0"/>
        <w:adjustRightInd w:val="0"/>
        <w:spacing w:before="240"/>
        <w:jc w:val="both"/>
        <w:rPr>
          <w:rFonts w:cs="Arial"/>
          <w:bCs/>
        </w:rPr>
      </w:pPr>
      <w:r w:rsidRPr="00D638C1">
        <w:rPr>
          <w:rFonts w:cs="Arial"/>
        </w:rPr>
        <w:t>Ghana Public Procurement Act, 2003</w:t>
      </w:r>
      <w:r w:rsidRPr="00D638C1">
        <w:rPr>
          <w:rFonts w:cs="Arial"/>
          <w:bCs/>
        </w:rPr>
        <w:t xml:space="preserve"> (Act 663)</w:t>
      </w:r>
    </w:p>
    <w:p w:rsidR="00F837EB" w:rsidRDefault="00F837EB" w:rsidP="00F837EB">
      <w:pPr>
        <w:numPr>
          <w:ilvl w:val="0"/>
          <w:numId w:val="32"/>
        </w:numPr>
        <w:autoSpaceDE w:val="0"/>
        <w:autoSpaceDN w:val="0"/>
        <w:adjustRightInd w:val="0"/>
        <w:spacing w:before="240"/>
        <w:jc w:val="both"/>
        <w:rPr>
          <w:rFonts w:cs="Arial"/>
        </w:rPr>
      </w:pPr>
      <w:r w:rsidRPr="00D638C1">
        <w:rPr>
          <w:rFonts w:cs="Arial"/>
        </w:rPr>
        <w:t xml:space="preserve">Health Sector </w:t>
      </w:r>
      <w:r w:rsidRPr="00D638C1">
        <w:rPr>
          <w:rFonts w:cs="Arial"/>
          <w:bCs/>
        </w:rPr>
        <w:t xml:space="preserve">Gender Policy </w:t>
      </w:r>
      <w:r w:rsidRPr="00D638C1">
        <w:rPr>
          <w:rFonts w:cs="Arial"/>
        </w:rPr>
        <w:t>Ministry of</w:t>
      </w:r>
      <w:r>
        <w:rPr>
          <w:rFonts w:cs="Arial"/>
        </w:rPr>
        <w:t xml:space="preserve"> Health, Ghana, 2009</w:t>
      </w:r>
    </w:p>
    <w:p w:rsidR="00F837EB" w:rsidRPr="00D638C1" w:rsidRDefault="00F837EB" w:rsidP="00F837EB">
      <w:pPr>
        <w:numPr>
          <w:ilvl w:val="0"/>
          <w:numId w:val="32"/>
        </w:numPr>
        <w:spacing w:before="240"/>
        <w:jc w:val="both"/>
        <w:rPr>
          <w:rFonts w:cs="Arial"/>
        </w:rPr>
      </w:pPr>
      <w:r w:rsidRPr="00D638C1">
        <w:rPr>
          <w:rFonts w:cs="Arial"/>
        </w:rPr>
        <w:t>Health Sector Medium Term Strategy 2014 - 2017 (Draft) Ministry Of Health, Ghana</w:t>
      </w:r>
    </w:p>
    <w:p w:rsidR="00F837EB" w:rsidRDefault="00F837EB" w:rsidP="00F837EB">
      <w:pPr>
        <w:numPr>
          <w:ilvl w:val="0"/>
          <w:numId w:val="32"/>
        </w:numPr>
        <w:spacing w:before="240"/>
        <w:jc w:val="both"/>
        <w:rPr>
          <w:rFonts w:eastAsia="Arial" w:cs="Arial"/>
        </w:rPr>
      </w:pPr>
      <w:r w:rsidRPr="00D638C1">
        <w:rPr>
          <w:rFonts w:eastAsia="Arial" w:cs="Arial"/>
        </w:rPr>
        <w:t>Holistic Assessment of the Health Sector Pr</w:t>
      </w:r>
      <w:r>
        <w:rPr>
          <w:rFonts w:eastAsia="Arial" w:cs="Arial"/>
        </w:rPr>
        <w:t>ogramme of Work 2012, Ministry o</w:t>
      </w:r>
      <w:r w:rsidRPr="00D638C1">
        <w:rPr>
          <w:rFonts w:eastAsia="Arial" w:cs="Arial"/>
        </w:rPr>
        <w:t>f Health Ghana, 2013</w:t>
      </w:r>
    </w:p>
    <w:p w:rsidR="00F837EB" w:rsidRDefault="00F837EB" w:rsidP="00F837EB">
      <w:pPr>
        <w:numPr>
          <w:ilvl w:val="0"/>
          <w:numId w:val="32"/>
        </w:numPr>
        <w:spacing w:before="240"/>
        <w:jc w:val="both"/>
        <w:rPr>
          <w:rFonts w:eastAsia="Calibri" w:cs="Arial"/>
        </w:rPr>
      </w:pPr>
      <w:r w:rsidRPr="00D638C1">
        <w:rPr>
          <w:rFonts w:eastAsia="Calibri" w:cs="Arial"/>
        </w:rPr>
        <w:t xml:space="preserve">Immunization Programme </w:t>
      </w:r>
      <w:r w:rsidRPr="00D638C1">
        <w:rPr>
          <w:rFonts w:cs="Arial"/>
        </w:rPr>
        <w:t xml:space="preserve">Comprehensive Multi-Year </w:t>
      </w:r>
      <w:r w:rsidRPr="00D638C1">
        <w:rPr>
          <w:rFonts w:eastAsia="Calibri" w:cs="Arial"/>
        </w:rPr>
        <w:t>Plan</w:t>
      </w:r>
      <w:r w:rsidRPr="00D638C1">
        <w:rPr>
          <w:rFonts w:cs="Arial"/>
        </w:rPr>
        <w:t xml:space="preserve"> </w:t>
      </w:r>
      <w:r w:rsidRPr="00D638C1">
        <w:rPr>
          <w:rFonts w:eastAsia="Calibri" w:cs="Arial"/>
        </w:rPr>
        <w:t>(2010-2014)</w:t>
      </w:r>
      <w:r w:rsidRPr="00D638C1">
        <w:rPr>
          <w:rFonts w:cs="Arial"/>
        </w:rPr>
        <w:t xml:space="preserve">, </w:t>
      </w:r>
      <w:r w:rsidRPr="00D638C1">
        <w:rPr>
          <w:rFonts w:eastAsia="Calibri" w:cs="Arial"/>
        </w:rPr>
        <w:t>Revised May 2011</w:t>
      </w:r>
      <w:r w:rsidRPr="00D638C1">
        <w:rPr>
          <w:rFonts w:cs="Arial"/>
        </w:rPr>
        <w:t xml:space="preserve">, </w:t>
      </w:r>
      <w:r>
        <w:rPr>
          <w:rFonts w:eastAsia="Calibri" w:cs="Arial"/>
        </w:rPr>
        <w:t>in l</w:t>
      </w:r>
      <w:r w:rsidRPr="00D638C1">
        <w:rPr>
          <w:rFonts w:eastAsia="Calibri" w:cs="Arial"/>
        </w:rPr>
        <w:t>ine With Global Immunization Vision and Strategies</w:t>
      </w:r>
    </w:p>
    <w:p w:rsidR="00F837EB" w:rsidRDefault="00F837EB" w:rsidP="00F837EB">
      <w:pPr>
        <w:numPr>
          <w:ilvl w:val="0"/>
          <w:numId w:val="32"/>
        </w:numPr>
        <w:autoSpaceDE w:val="0"/>
        <w:autoSpaceDN w:val="0"/>
        <w:adjustRightInd w:val="0"/>
        <w:spacing w:before="240"/>
        <w:jc w:val="both"/>
        <w:rPr>
          <w:rFonts w:cs="Arial"/>
        </w:rPr>
      </w:pPr>
      <w:r w:rsidRPr="00D638C1">
        <w:rPr>
          <w:rFonts w:cs="Arial"/>
        </w:rPr>
        <w:t>Joint Assessment (JANS</w:t>
      </w:r>
      <w:r>
        <w:rPr>
          <w:rFonts w:cs="Arial"/>
        </w:rPr>
        <w:t>) o</w:t>
      </w:r>
      <w:r w:rsidRPr="00D638C1">
        <w:rPr>
          <w:rFonts w:cs="Arial"/>
        </w:rPr>
        <w:t>f Ghana’s Health Sector Medium Term Health Development Plan (HSMTDP) 2010 – 2013, JANS Mission Report   Final Version, 2010</w:t>
      </w:r>
    </w:p>
    <w:p w:rsidR="00000000" w:rsidRDefault="00F837EB">
      <w:pPr>
        <w:numPr>
          <w:ilvl w:val="0"/>
          <w:numId w:val="32"/>
        </w:numPr>
        <w:autoSpaceDE w:val="0"/>
        <w:autoSpaceDN w:val="0"/>
        <w:adjustRightInd w:val="0"/>
        <w:spacing w:before="240"/>
        <w:jc w:val="both"/>
        <w:rPr>
          <w:rFonts w:cs="Arial"/>
        </w:rPr>
      </w:pPr>
      <w:r w:rsidRPr="00D638C1">
        <w:rPr>
          <w:rFonts w:cs="Arial"/>
        </w:rPr>
        <w:t>Monitoring and Evaluation Plan (2010 – 2013) Ghana Health Service</w:t>
      </w:r>
    </w:p>
    <w:p w:rsidR="00000000" w:rsidRDefault="00F837EB">
      <w:pPr>
        <w:numPr>
          <w:ilvl w:val="0"/>
          <w:numId w:val="32"/>
        </w:numPr>
        <w:autoSpaceDE w:val="0"/>
        <w:autoSpaceDN w:val="0"/>
        <w:adjustRightInd w:val="0"/>
        <w:spacing w:before="240"/>
        <w:jc w:val="both"/>
        <w:rPr>
          <w:rFonts w:cs="Arial"/>
        </w:rPr>
      </w:pPr>
      <w:r w:rsidRPr="00D638C1">
        <w:rPr>
          <w:rFonts w:cs="Arial"/>
        </w:rPr>
        <w:t>National Health Policy, “Creating Wealth through Health” Ministry</w:t>
      </w:r>
      <w:r>
        <w:rPr>
          <w:rFonts w:cs="Arial"/>
        </w:rPr>
        <w:t xml:space="preserve"> o</w:t>
      </w:r>
      <w:r w:rsidRPr="00D638C1">
        <w:rPr>
          <w:rFonts w:cs="Arial"/>
        </w:rPr>
        <w:t>f Health, Ghana 2007</w:t>
      </w:r>
    </w:p>
    <w:p w:rsidR="00F837EB" w:rsidRDefault="00F837EB" w:rsidP="00F837EB">
      <w:pPr>
        <w:numPr>
          <w:ilvl w:val="0"/>
          <w:numId w:val="32"/>
        </w:numPr>
        <w:autoSpaceDE w:val="0"/>
        <w:autoSpaceDN w:val="0"/>
        <w:adjustRightInd w:val="0"/>
        <w:spacing w:before="240"/>
        <w:jc w:val="both"/>
        <w:rPr>
          <w:rFonts w:cs="Arial"/>
        </w:rPr>
      </w:pPr>
      <w:r w:rsidRPr="00D638C1">
        <w:rPr>
          <w:rFonts w:cs="Arial"/>
        </w:rPr>
        <w:lastRenderedPageBreak/>
        <w:t>National Policy on Public Private Partnership (Private P</w:t>
      </w:r>
      <w:r>
        <w:rPr>
          <w:rFonts w:cs="Arial"/>
        </w:rPr>
        <w:t>articipation In Infrastructure f</w:t>
      </w:r>
      <w:r w:rsidRPr="00D638C1">
        <w:rPr>
          <w:rFonts w:cs="Arial"/>
        </w:rPr>
        <w:t xml:space="preserve">or Better </w:t>
      </w:r>
    </w:p>
    <w:p w:rsidR="00F837EB" w:rsidRDefault="00F837EB" w:rsidP="00F837EB">
      <w:pPr>
        <w:numPr>
          <w:ilvl w:val="0"/>
          <w:numId w:val="32"/>
        </w:numPr>
        <w:autoSpaceDE w:val="0"/>
        <w:autoSpaceDN w:val="0"/>
        <w:adjustRightInd w:val="0"/>
        <w:spacing w:before="240"/>
        <w:jc w:val="both"/>
        <w:rPr>
          <w:rFonts w:cs="Arial"/>
        </w:rPr>
      </w:pPr>
      <w:r w:rsidRPr="00D638C1">
        <w:rPr>
          <w:rFonts w:cs="Arial"/>
        </w:rPr>
        <w:t>Public Service Delivery, Ministry Of Finance</w:t>
      </w:r>
      <w:r>
        <w:rPr>
          <w:rFonts w:cs="Arial"/>
        </w:rPr>
        <w:t xml:space="preserve"> a</w:t>
      </w:r>
      <w:r w:rsidRPr="00D638C1">
        <w:rPr>
          <w:rFonts w:cs="Arial"/>
        </w:rPr>
        <w:t>nd</w:t>
      </w:r>
      <w:r>
        <w:rPr>
          <w:rFonts w:cs="Arial"/>
        </w:rPr>
        <w:t xml:space="preserve"> Economic Planning, Government o</w:t>
      </w:r>
      <w:r w:rsidRPr="00D638C1">
        <w:rPr>
          <w:rFonts w:cs="Arial"/>
        </w:rPr>
        <w:t>f Ghana</w:t>
      </w:r>
    </w:p>
    <w:p w:rsidR="00F837EB" w:rsidRDefault="00F837EB" w:rsidP="00F837EB">
      <w:pPr>
        <w:numPr>
          <w:ilvl w:val="0"/>
          <w:numId w:val="32"/>
        </w:numPr>
        <w:autoSpaceDE w:val="0"/>
        <w:autoSpaceDN w:val="0"/>
        <w:adjustRightInd w:val="0"/>
        <w:spacing w:before="240"/>
        <w:jc w:val="both"/>
        <w:rPr>
          <w:rFonts w:cs="Arial"/>
          <w:bCs/>
        </w:rPr>
      </w:pPr>
      <w:r w:rsidRPr="00D638C1">
        <w:rPr>
          <w:rStyle w:val="Emphasis"/>
          <w:rFonts w:eastAsia="Calibri" w:cs="Arial"/>
        </w:rPr>
        <w:t>Policy on Immunization in Ghana</w:t>
      </w:r>
      <w:r w:rsidRPr="00D638C1">
        <w:rPr>
          <w:rStyle w:val="Emphasis"/>
          <w:rFonts w:cs="Arial"/>
        </w:rPr>
        <w:t xml:space="preserve"> </w:t>
      </w:r>
      <w:r>
        <w:rPr>
          <w:rStyle w:val="Emphasis"/>
          <w:rFonts w:eastAsia="Calibri" w:cs="Arial"/>
        </w:rPr>
        <w:t>(Ministry o</w:t>
      </w:r>
      <w:r w:rsidRPr="00D638C1">
        <w:rPr>
          <w:rStyle w:val="Emphasis"/>
          <w:rFonts w:eastAsia="Calibri" w:cs="Arial"/>
        </w:rPr>
        <w:t xml:space="preserve">f Health/Ghana Health Service) 2011, </w:t>
      </w:r>
      <w:r>
        <w:rPr>
          <w:rFonts w:cs="Arial"/>
          <w:bCs/>
        </w:rPr>
        <w:t>Ministry o</w:t>
      </w:r>
      <w:r w:rsidRPr="00D638C1">
        <w:rPr>
          <w:rFonts w:cs="Arial"/>
          <w:bCs/>
        </w:rPr>
        <w:t>f Hea</w:t>
      </w:r>
      <w:r>
        <w:rPr>
          <w:rFonts w:cs="Arial"/>
          <w:bCs/>
        </w:rPr>
        <w:t>lth - Ghana Expanded Programme o</w:t>
      </w:r>
      <w:r w:rsidRPr="00D638C1">
        <w:rPr>
          <w:rFonts w:cs="Arial"/>
          <w:bCs/>
        </w:rPr>
        <w:t>n Immunization</w:t>
      </w:r>
    </w:p>
    <w:p w:rsidR="00F837EB" w:rsidRDefault="00F837EB" w:rsidP="00F837EB">
      <w:pPr>
        <w:pStyle w:val="NoSpacing"/>
        <w:numPr>
          <w:ilvl w:val="0"/>
          <w:numId w:val="32"/>
        </w:numPr>
        <w:spacing w:before="240"/>
        <w:jc w:val="both"/>
        <w:rPr>
          <w:rFonts w:ascii="Arial" w:hAnsi="Arial" w:cs="Arial"/>
          <w:lang w:val="en-GB"/>
        </w:rPr>
      </w:pPr>
      <w:r>
        <w:rPr>
          <w:rFonts w:ascii="Arial" w:hAnsi="Arial" w:cs="Arial"/>
          <w:lang w:val="en-GB"/>
        </w:rPr>
        <w:t>Post-Introduction Evaluation o</w:t>
      </w:r>
      <w:r w:rsidRPr="00D638C1">
        <w:rPr>
          <w:rFonts w:ascii="Arial" w:hAnsi="Arial" w:cs="Arial"/>
          <w:lang w:val="en-GB"/>
        </w:rPr>
        <w:t>f the Measles Second Dose (MSD), the Pneumococcal Conjugate Vaccine (PCV</w:t>
      </w:r>
      <w:r>
        <w:rPr>
          <w:rFonts w:ascii="Arial" w:hAnsi="Arial" w:cs="Arial"/>
          <w:lang w:val="en-GB"/>
        </w:rPr>
        <w:t>0 a</w:t>
      </w:r>
      <w:r w:rsidRPr="00D638C1">
        <w:rPr>
          <w:rFonts w:ascii="Arial" w:hAnsi="Arial" w:cs="Arial"/>
          <w:lang w:val="en-GB"/>
        </w:rPr>
        <w:t xml:space="preserve">nd </w:t>
      </w:r>
      <w:r>
        <w:rPr>
          <w:rFonts w:ascii="Arial" w:hAnsi="Arial" w:cs="Arial"/>
          <w:lang w:val="en-GB"/>
        </w:rPr>
        <w:t>t</w:t>
      </w:r>
      <w:r w:rsidRPr="00D638C1">
        <w:rPr>
          <w:rFonts w:ascii="Arial" w:hAnsi="Arial" w:cs="Arial"/>
          <w:lang w:val="en-GB"/>
        </w:rPr>
        <w:t xml:space="preserve">he Rotavirus Vaccine (ROTA) In Ghana, Draft Report, 2013, MOH/GHS, WHO, UNICEF, GAVI </w:t>
      </w:r>
      <w:r>
        <w:rPr>
          <w:rFonts w:ascii="Arial" w:hAnsi="Arial" w:cs="Arial"/>
          <w:lang w:val="en-GB"/>
        </w:rPr>
        <w:t>&amp;</w:t>
      </w:r>
      <w:r w:rsidRPr="00D638C1">
        <w:rPr>
          <w:rFonts w:ascii="Arial" w:hAnsi="Arial" w:cs="Arial"/>
          <w:lang w:val="en-GB"/>
        </w:rPr>
        <w:t xml:space="preserve"> CDC Collaboration</w:t>
      </w:r>
    </w:p>
    <w:p w:rsidR="00F837EB" w:rsidRPr="00D638C1" w:rsidRDefault="00F837EB" w:rsidP="00F837EB">
      <w:pPr>
        <w:numPr>
          <w:ilvl w:val="0"/>
          <w:numId w:val="32"/>
        </w:numPr>
        <w:spacing w:before="240"/>
        <w:jc w:val="both"/>
        <w:rPr>
          <w:rFonts w:cs="Arial"/>
        </w:rPr>
      </w:pPr>
      <w:r w:rsidRPr="00D638C1">
        <w:rPr>
          <w:rFonts w:cs="Arial"/>
        </w:rPr>
        <w:t>Private Health Sector Development Policy, Ministry of Health, Ghana, 2013</w:t>
      </w:r>
    </w:p>
    <w:p w:rsidR="00F837EB" w:rsidRDefault="00F837EB" w:rsidP="00F837EB">
      <w:pPr>
        <w:pStyle w:val="PlainText"/>
        <w:numPr>
          <w:ilvl w:val="0"/>
          <w:numId w:val="32"/>
        </w:numPr>
        <w:spacing w:before="240"/>
        <w:jc w:val="both"/>
        <w:rPr>
          <w:rFonts w:ascii="Arial" w:hAnsi="Arial" w:cs="Arial"/>
          <w:sz w:val="22"/>
          <w:szCs w:val="22"/>
        </w:rPr>
      </w:pPr>
      <w:r w:rsidRPr="00D638C1">
        <w:rPr>
          <w:rFonts w:ascii="Arial" w:hAnsi="Arial" w:cs="Arial"/>
          <w:sz w:val="22"/>
          <w:szCs w:val="22"/>
        </w:rPr>
        <w:t>Review of Ghanaian Health Sector Medium Term Development Plan (HSMTDP 2010-2013)</w:t>
      </w:r>
      <w:r>
        <w:rPr>
          <w:rFonts w:ascii="Arial" w:hAnsi="Arial" w:cs="Arial"/>
          <w:sz w:val="22"/>
          <w:szCs w:val="22"/>
        </w:rPr>
        <w:t>: Draft Report, 2013, Ministry o</w:t>
      </w:r>
      <w:r w:rsidRPr="00D638C1">
        <w:rPr>
          <w:rFonts w:ascii="Arial" w:hAnsi="Arial" w:cs="Arial"/>
          <w:sz w:val="22"/>
          <w:szCs w:val="22"/>
        </w:rPr>
        <w:t>f Health Ghana</w:t>
      </w:r>
    </w:p>
    <w:p w:rsidR="00F837EB" w:rsidRPr="00D638C1" w:rsidRDefault="00F837EB" w:rsidP="00F837EB">
      <w:pPr>
        <w:numPr>
          <w:ilvl w:val="0"/>
          <w:numId w:val="32"/>
        </w:numPr>
        <w:spacing w:before="240"/>
        <w:jc w:val="both"/>
        <w:rPr>
          <w:rFonts w:cs="Arial"/>
          <w:i/>
        </w:rPr>
      </w:pPr>
      <w:r w:rsidRPr="00D638C1">
        <w:rPr>
          <w:rFonts w:cs="Arial"/>
          <w:i/>
        </w:rPr>
        <w:t>Sub-National Immunization Coverage Survey In Northern and Volta Regions</w:t>
      </w:r>
      <w:r>
        <w:rPr>
          <w:rFonts w:cs="Arial"/>
          <w:i/>
        </w:rPr>
        <w:t>, 2010</w:t>
      </w:r>
    </w:p>
    <w:p w:rsidR="00F837EB" w:rsidRDefault="00F837EB" w:rsidP="00F837EB">
      <w:pPr>
        <w:numPr>
          <w:ilvl w:val="0"/>
          <w:numId w:val="32"/>
        </w:numPr>
        <w:spacing w:before="240"/>
        <w:jc w:val="both"/>
        <w:rPr>
          <w:rFonts w:cs="Arial"/>
        </w:rPr>
      </w:pPr>
      <w:r w:rsidRPr="00D638C1">
        <w:rPr>
          <w:rFonts w:eastAsia="Batang" w:cs="Arial"/>
        </w:rPr>
        <w:t xml:space="preserve">The Ghana Health Sector 2013 Programme of Work </w:t>
      </w:r>
      <w:r w:rsidRPr="00D638C1">
        <w:rPr>
          <w:rFonts w:cs="Arial"/>
        </w:rPr>
        <w:t>Theme:</w:t>
      </w:r>
      <w:r w:rsidRPr="00D638C1">
        <w:rPr>
          <w:rFonts w:eastAsia="Batang" w:cs="Arial"/>
        </w:rPr>
        <w:t xml:space="preserve"> </w:t>
      </w:r>
      <w:r w:rsidRPr="00D638C1">
        <w:rPr>
          <w:rFonts w:cs="Arial"/>
        </w:rPr>
        <w:t>Countdown to</w:t>
      </w:r>
      <w:r>
        <w:rPr>
          <w:rFonts w:cs="Arial"/>
        </w:rPr>
        <w:t xml:space="preserve"> 2015; Working Together t</w:t>
      </w:r>
      <w:r w:rsidRPr="00D638C1">
        <w:rPr>
          <w:rFonts w:cs="Arial"/>
        </w:rPr>
        <w:t>o Achieve MDGS 4 &amp; 5</w:t>
      </w:r>
    </w:p>
    <w:p w:rsidR="00F837EB" w:rsidRPr="00D638C1" w:rsidRDefault="00F837EB" w:rsidP="00F837EB">
      <w:pPr>
        <w:numPr>
          <w:ilvl w:val="0"/>
          <w:numId w:val="32"/>
        </w:numPr>
        <w:spacing w:before="240"/>
        <w:jc w:val="both"/>
        <w:rPr>
          <w:rFonts w:cs="Arial"/>
        </w:rPr>
      </w:pPr>
      <w:r w:rsidRPr="00D638C1">
        <w:rPr>
          <w:rFonts w:cs="Arial"/>
        </w:rPr>
        <w:t>The Health Sector Medium Term Development Plan 2010 – 2013, Ministry Of Health Ghana</w:t>
      </w:r>
    </w:p>
    <w:p w:rsidR="00F837EB" w:rsidRPr="00D638C1" w:rsidRDefault="00F837EB" w:rsidP="00F837EB">
      <w:pPr>
        <w:pStyle w:val="NoSpacing"/>
        <w:numPr>
          <w:ilvl w:val="0"/>
          <w:numId w:val="32"/>
        </w:numPr>
        <w:spacing w:before="240"/>
        <w:jc w:val="both"/>
        <w:rPr>
          <w:rFonts w:ascii="Arial" w:hAnsi="Arial" w:cs="Arial"/>
        </w:rPr>
      </w:pPr>
      <w:r w:rsidRPr="00D638C1">
        <w:rPr>
          <w:rFonts w:ascii="Arial" w:hAnsi="Arial" w:cs="Arial"/>
        </w:rPr>
        <w:t>Work Plan Monitoring and Evaluation of the Health Sector Ministry of Health, 2011</w:t>
      </w:r>
    </w:p>
    <w:p w:rsidR="00000000" w:rsidRDefault="00B02BEF">
      <w:pPr>
        <w:spacing w:before="240" w:after="120"/>
        <w:ind w:right="59"/>
        <w:jc w:val="both"/>
        <w:rPr>
          <w:rFonts w:cs="Arial"/>
          <w:szCs w:val="22"/>
          <w:lang w:val="en-US"/>
        </w:rPr>
      </w:pPr>
    </w:p>
    <w:sectPr w:rsidR="00000000" w:rsidSect="00052899">
      <w:pgSz w:w="12240" w:h="15840"/>
      <w:pgMar w:top="1440" w:right="1440" w:bottom="1440" w:left="144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89" w:author="USER" w:date="2014-02-18T12:43:00Z" w:initials="U">
    <w:p w:rsidR="00BF35A8" w:rsidRDefault="00BF35A8" w:rsidP="003B0A53">
      <w:pPr>
        <w:pStyle w:val="CommentText"/>
      </w:pPr>
      <w:r>
        <w:rPr>
          <w:rStyle w:val="CommentReference"/>
        </w:rPr>
        <w:annotationRef/>
      </w:r>
      <w:r>
        <w:t>17districts mentioned in cMYPreport 2010 versus 23 inthis proposal?Are there new demcartions as a result of creation of new districts</w:t>
      </w:r>
    </w:p>
  </w:comment>
  <w:comment w:id="590" w:author="USER" w:date="2014-02-18T12:43:00Z" w:initials="U">
    <w:p w:rsidR="00BF35A8" w:rsidRDefault="00BF35A8" w:rsidP="003B0A53">
      <w:pPr>
        <w:pStyle w:val="CommentText"/>
      </w:pPr>
      <w:r>
        <w:rPr>
          <w:rStyle w:val="CommentReference"/>
        </w:rPr>
        <w:annotationRef/>
      </w:r>
      <w:r>
        <w:t>Provide list of 23 districts  and also show relative performance to compare with the rest of the  regions. Refrence documentation from the district level to support what is being said</w:t>
      </w:r>
    </w:p>
  </w:comment>
  <w:comment w:id="591" w:author="USER" w:date="2014-02-18T12:43:00Z" w:initials="U">
    <w:p w:rsidR="00BF35A8" w:rsidRDefault="00BF35A8" w:rsidP="003B0A53">
      <w:pPr>
        <w:pStyle w:val="CommentText"/>
      </w:pPr>
      <w:r>
        <w:rPr>
          <w:rStyle w:val="CommentReference"/>
        </w:rPr>
        <w:annotationRef/>
      </w:r>
    </w:p>
  </w:comment>
  <w:comment w:id="592" w:author="USER" w:date="2014-02-18T12:43:00Z" w:initials="U">
    <w:p w:rsidR="00BF35A8" w:rsidRDefault="00BF35A8" w:rsidP="003B0A53">
      <w:pPr>
        <w:pStyle w:val="CommentText"/>
      </w:pPr>
      <w:r>
        <w:rPr>
          <w:rStyle w:val="CommentReference"/>
        </w:rPr>
        <w:annotationRef/>
      </w:r>
      <w:r>
        <w:t>Insert list of new districts by region and number per region)</w:t>
      </w:r>
    </w:p>
  </w:comment>
  <w:comment w:id="593" w:author="USER" w:date="2014-02-18T12:43:00Z" w:initials="U">
    <w:p w:rsidR="00BF35A8" w:rsidRDefault="00BF35A8" w:rsidP="003B0A53">
      <w:pPr>
        <w:pStyle w:val="CommentText"/>
      </w:pPr>
      <w:r>
        <w:rPr>
          <w:rStyle w:val="CommentReference"/>
        </w:rPr>
        <w:annotationRef/>
      </w:r>
      <w:r>
        <w:t xml:space="preserve">All source documents mention satisfactory waste disposal but also state that this is not adequate as some districts do not have incerators  --- PIE pg 40 , pg 6 highlight great satisfaction with health worker practices concerning waste management and disposal : </w:t>
      </w:r>
    </w:p>
    <w:p w:rsidR="00BF35A8" w:rsidRDefault="00BF35A8" w:rsidP="003B0A53">
      <w:pPr>
        <w:pStyle w:val="CommentText"/>
      </w:pPr>
    </w:p>
    <w:p w:rsidR="00BF35A8" w:rsidRDefault="00BF35A8" w:rsidP="003B0A53">
      <w:pPr>
        <w:pStyle w:val="CommentText"/>
      </w:pPr>
      <w:r>
        <w:t xml:space="preserve">Action: provide list of districts requiring incerators- covers districts that require replacements and refurbishing/ new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5A8" w:rsidRDefault="00BF35A8" w:rsidP="00052899">
      <w:r>
        <w:separator/>
      </w:r>
    </w:p>
  </w:endnote>
  <w:endnote w:type="continuationSeparator" w:id="1">
    <w:p w:rsidR="00BF35A8" w:rsidRDefault="00BF35A8" w:rsidP="00052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A8" w:rsidRDefault="00B97BDB">
    <w:pPr>
      <w:pStyle w:val="Footer"/>
      <w:jc w:val="right"/>
    </w:pPr>
    <w:fldSimple w:instr=" PAGE   \* MERGEFORMAT ">
      <w:r w:rsidR="00B02BEF">
        <w:rPr>
          <w:noProof/>
        </w:rPr>
        <w:t>1</w:t>
      </w:r>
    </w:fldSimple>
  </w:p>
  <w:p w:rsidR="00BF35A8" w:rsidRDefault="00BF35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5A8" w:rsidRDefault="00BF35A8" w:rsidP="00052899">
      <w:r>
        <w:separator/>
      </w:r>
    </w:p>
  </w:footnote>
  <w:footnote w:type="continuationSeparator" w:id="1">
    <w:p w:rsidR="00BF35A8" w:rsidRDefault="00BF35A8" w:rsidP="00052899">
      <w:r>
        <w:continuationSeparator/>
      </w:r>
    </w:p>
  </w:footnote>
  <w:footnote w:id="2">
    <w:p w:rsidR="00BF35A8" w:rsidRPr="00FE760D" w:rsidRDefault="00BF35A8">
      <w:pPr>
        <w:pStyle w:val="FootnoteText"/>
        <w:rPr>
          <w:lang w:val="en-CA"/>
        </w:rPr>
      </w:pPr>
      <w:r>
        <w:rPr>
          <w:rStyle w:val="FootnoteReference"/>
        </w:rPr>
        <w:footnoteRef/>
      </w:r>
      <w:r>
        <w:rPr>
          <w:lang w:val="en-CA"/>
        </w:rPr>
        <w:t>Health Sector Working Group is Ghana’s equivalence of HSCC.</w:t>
      </w:r>
    </w:p>
  </w:footnote>
  <w:footnote w:id="3">
    <w:p w:rsidR="00BF35A8" w:rsidRPr="00E243ED" w:rsidRDefault="00BF35A8" w:rsidP="00052899">
      <w:pPr>
        <w:pStyle w:val="FootnoteText"/>
        <w:rPr>
          <w:lang w:val="en-CA"/>
        </w:rPr>
      </w:pPr>
      <w:r>
        <w:rPr>
          <w:rStyle w:val="FootnoteReference"/>
          <w:rFonts w:eastAsia="Calibri"/>
        </w:rPr>
        <w:footnoteRef/>
      </w:r>
      <w:r>
        <w:rPr>
          <w:lang w:val="en-CA"/>
        </w:rPr>
        <w:t>Table showing disaggregated data by regions and districts presented in Annex……</w:t>
      </w:r>
    </w:p>
  </w:footnote>
  <w:footnote w:id="4">
    <w:p w:rsidR="00BF35A8" w:rsidRPr="00143342" w:rsidRDefault="00BF35A8" w:rsidP="00052899">
      <w:pPr>
        <w:pStyle w:val="FootnoteText"/>
        <w:rPr>
          <w:lang w:val="en-CA"/>
        </w:rPr>
      </w:pPr>
      <w:r>
        <w:rPr>
          <w:rStyle w:val="FootnoteReference"/>
          <w:rFonts w:eastAsia="Calibri"/>
        </w:rPr>
        <w:footnoteRef/>
      </w:r>
      <w:r>
        <w:rPr>
          <w:lang w:val="en-CA"/>
        </w:rPr>
        <w:t>The proposed DHS for Ghana has been deferred from 2013 to 2014</w:t>
      </w:r>
    </w:p>
  </w:footnote>
  <w:footnote w:id="5">
    <w:p w:rsidR="00BF35A8" w:rsidRPr="00D570BA" w:rsidRDefault="00BF35A8" w:rsidP="00052899">
      <w:pPr>
        <w:pStyle w:val="FootnoteText"/>
        <w:rPr>
          <w:rFonts w:ascii="Calibri" w:hAnsi="Calibri" w:cs="Calibri"/>
          <w:sz w:val="18"/>
          <w:szCs w:val="18"/>
        </w:rPr>
      </w:pPr>
      <w:r w:rsidRPr="00D570BA">
        <w:rPr>
          <w:rStyle w:val="FootnoteReference"/>
          <w:rFonts w:eastAsia="Calibri" w:cs="Calibri"/>
          <w:sz w:val="18"/>
          <w:szCs w:val="18"/>
        </w:rPr>
        <w:footnoteRef/>
      </w:r>
      <w:r w:rsidRPr="00D570BA">
        <w:rPr>
          <w:rFonts w:ascii="Calibri" w:hAnsi="Calibri" w:cs="Calibri"/>
          <w:sz w:val="18"/>
          <w:szCs w:val="18"/>
        </w:rPr>
        <w:t xml:space="preserve"> If the annual external audit is planned to be performed by a private external auditor, please include an appropriate audit fee within the detailed budget.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894EE89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14921"/>
    <w:multiLevelType w:val="hybridMultilevel"/>
    <w:tmpl w:val="B128E9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82E72AC"/>
    <w:multiLevelType w:val="hybridMultilevel"/>
    <w:tmpl w:val="36EE95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alibri"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alibri"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BBD0E7E"/>
    <w:multiLevelType w:val="hybridMultilevel"/>
    <w:tmpl w:val="3426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E0726"/>
    <w:multiLevelType w:val="hybridMultilevel"/>
    <w:tmpl w:val="C7D84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libri"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libri"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8DC68E8"/>
    <w:multiLevelType w:val="multilevel"/>
    <w:tmpl w:val="4F5E47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1F2A5795"/>
    <w:multiLevelType w:val="hybridMultilevel"/>
    <w:tmpl w:val="FB5CBC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B424C1"/>
    <w:multiLevelType w:val="hybridMultilevel"/>
    <w:tmpl w:val="7DF0E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D044D8"/>
    <w:multiLevelType w:val="hybridMultilevel"/>
    <w:tmpl w:val="444A3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libri"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libri"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041778E"/>
    <w:multiLevelType w:val="hybridMultilevel"/>
    <w:tmpl w:val="AB1A9A6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libri"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libri"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1AA023C"/>
    <w:multiLevelType w:val="hybridMultilevel"/>
    <w:tmpl w:val="BADE6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1">
    <w:nsid w:val="35646E5C"/>
    <w:multiLevelType w:val="hybridMultilevel"/>
    <w:tmpl w:val="0F1E7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2">
    <w:nsid w:val="37934BD1"/>
    <w:multiLevelType w:val="hybridMultilevel"/>
    <w:tmpl w:val="FAA64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libri"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libri"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A8A6E68"/>
    <w:multiLevelType w:val="hybridMultilevel"/>
    <w:tmpl w:val="900C9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libri"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libri"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EED5D45"/>
    <w:multiLevelType w:val="hybridMultilevel"/>
    <w:tmpl w:val="B2445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EE6BDE"/>
    <w:multiLevelType w:val="multilevel"/>
    <w:tmpl w:val="203052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4D85880"/>
    <w:multiLevelType w:val="hybridMultilevel"/>
    <w:tmpl w:val="DCB23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libri"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libri"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A9F74C5"/>
    <w:multiLevelType w:val="hybridMultilevel"/>
    <w:tmpl w:val="5D82B6BC"/>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alibri"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alibri"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F5D5C58"/>
    <w:multiLevelType w:val="hybridMultilevel"/>
    <w:tmpl w:val="D2B4D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7E15B7"/>
    <w:multiLevelType w:val="hybridMultilevel"/>
    <w:tmpl w:val="569630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libri"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libri"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BD65CA1"/>
    <w:multiLevelType w:val="hybridMultilevel"/>
    <w:tmpl w:val="8DE89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libri"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libri"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D764346"/>
    <w:multiLevelType w:val="hybridMultilevel"/>
    <w:tmpl w:val="36A6F15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libri"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libri"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DA30519"/>
    <w:multiLevelType w:val="hybridMultilevel"/>
    <w:tmpl w:val="6FE634C6"/>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alibri"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alibri"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alibri" w:hint="default"/>
      </w:rPr>
    </w:lvl>
    <w:lvl w:ilvl="8" w:tplc="08090005" w:tentative="1">
      <w:start w:val="1"/>
      <w:numFmt w:val="bullet"/>
      <w:lvlText w:val=""/>
      <w:lvlJc w:val="left"/>
      <w:pPr>
        <w:ind w:left="6797" w:hanging="360"/>
      </w:pPr>
      <w:rPr>
        <w:rFonts w:ascii="Wingdings" w:hAnsi="Wingdings" w:hint="default"/>
      </w:rPr>
    </w:lvl>
  </w:abstractNum>
  <w:abstractNum w:abstractNumId="23">
    <w:nsid w:val="6655169D"/>
    <w:multiLevelType w:val="hybridMultilevel"/>
    <w:tmpl w:val="4F246A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alibri"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alibri"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6CCD5397"/>
    <w:multiLevelType w:val="hybridMultilevel"/>
    <w:tmpl w:val="2264AD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libri"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libri"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D5E05BD"/>
    <w:multiLevelType w:val="hybridMultilevel"/>
    <w:tmpl w:val="8CCC18EC"/>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alibri"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libri"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libri"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12E3C40"/>
    <w:multiLevelType w:val="hybridMultilevel"/>
    <w:tmpl w:val="615EB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5947CFA"/>
    <w:multiLevelType w:val="hybridMultilevel"/>
    <w:tmpl w:val="B61846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libri"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libri"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6061414"/>
    <w:multiLevelType w:val="hybridMultilevel"/>
    <w:tmpl w:val="DCE26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29">
    <w:nsid w:val="761720C8"/>
    <w:multiLevelType w:val="hybridMultilevel"/>
    <w:tmpl w:val="DE481AD8"/>
    <w:lvl w:ilvl="0" w:tplc="2EB66A00">
      <w:start w:val="1"/>
      <w:numFmt w:val="decimal"/>
      <w:lvlText w:val="%1."/>
      <w:lvlJc w:val="left"/>
      <w:pPr>
        <w:ind w:left="-1080" w:hanging="360"/>
      </w:pPr>
      <w:rPr>
        <w:rFonts w:ascii="Calibri" w:hAnsi="Calibri" w:hint="default"/>
        <w:b w:val="0"/>
        <w:sz w:val="20"/>
        <w:szCs w:val="2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30">
    <w:nsid w:val="7B0F4806"/>
    <w:multiLevelType w:val="hybridMultilevel"/>
    <w:tmpl w:val="4D94B9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CF173E9"/>
    <w:multiLevelType w:val="hybridMultilevel"/>
    <w:tmpl w:val="114854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EF139C8"/>
    <w:multiLevelType w:val="hybridMultilevel"/>
    <w:tmpl w:val="66A891F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alibri"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alibri"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FC800BF"/>
    <w:multiLevelType w:val="hybridMultilevel"/>
    <w:tmpl w:val="23606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libri"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libri" w:hint="default"/>
      </w:rPr>
    </w:lvl>
    <w:lvl w:ilvl="8" w:tplc="10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27"/>
  </w:num>
  <w:num w:numId="4">
    <w:abstractNumId w:val="4"/>
  </w:num>
  <w:num w:numId="5">
    <w:abstractNumId w:val="20"/>
  </w:num>
  <w:num w:numId="6">
    <w:abstractNumId w:val="8"/>
  </w:num>
  <w:num w:numId="7">
    <w:abstractNumId w:val="15"/>
  </w:num>
  <w:num w:numId="8">
    <w:abstractNumId w:val="5"/>
  </w:num>
  <w:num w:numId="9">
    <w:abstractNumId w:val="6"/>
  </w:num>
  <w:num w:numId="10">
    <w:abstractNumId w:val="23"/>
  </w:num>
  <w:num w:numId="11">
    <w:abstractNumId w:val="30"/>
  </w:num>
  <w:num w:numId="12">
    <w:abstractNumId w:val="13"/>
  </w:num>
  <w:num w:numId="13">
    <w:abstractNumId w:val="2"/>
  </w:num>
  <w:num w:numId="14">
    <w:abstractNumId w:val="19"/>
  </w:num>
  <w:num w:numId="15">
    <w:abstractNumId w:val="24"/>
  </w:num>
  <w:num w:numId="16">
    <w:abstractNumId w:val="29"/>
  </w:num>
  <w:num w:numId="17">
    <w:abstractNumId w:val="22"/>
  </w:num>
  <w:num w:numId="18">
    <w:abstractNumId w:val="7"/>
  </w:num>
  <w:num w:numId="19">
    <w:abstractNumId w:val="16"/>
  </w:num>
  <w:num w:numId="20">
    <w:abstractNumId w:val="1"/>
  </w:num>
  <w:num w:numId="21">
    <w:abstractNumId w:val="17"/>
  </w:num>
  <w:num w:numId="22">
    <w:abstractNumId w:val="32"/>
  </w:num>
  <w:num w:numId="23">
    <w:abstractNumId w:val="21"/>
  </w:num>
  <w:num w:numId="24">
    <w:abstractNumId w:val="9"/>
  </w:num>
  <w:num w:numId="25">
    <w:abstractNumId w:val="25"/>
  </w:num>
  <w:num w:numId="26">
    <w:abstractNumId w:val="18"/>
  </w:num>
  <w:num w:numId="27">
    <w:abstractNumId w:val="14"/>
  </w:num>
  <w:num w:numId="28">
    <w:abstractNumId w:val="26"/>
  </w:num>
  <w:num w:numId="29">
    <w:abstractNumId w:val="10"/>
  </w:num>
  <w:num w:numId="30">
    <w:abstractNumId w:val="28"/>
  </w:num>
  <w:num w:numId="31">
    <w:abstractNumId w:val="11"/>
  </w:num>
  <w:num w:numId="32">
    <w:abstractNumId w:val="3"/>
  </w:num>
  <w:num w:numId="33">
    <w:abstractNumId w:val="31"/>
  </w:num>
  <w:num w:numId="34">
    <w:abstractNumId w:val="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701"/>
  <w:stylePaneSortMethod w:val="0000"/>
  <w:revisionView w:markup="0"/>
  <w:trackRevisions/>
  <w:doNotTrackMoves/>
  <w:defaultTabStop w:val="720"/>
  <w:characterSpacingControl w:val="doNotCompress"/>
  <w:hdrShapeDefaults>
    <o:shapedefaults v:ext="edit" spidmax="10241"/>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149C"/>
    <w:rsid w:val="00023F5C"/>
    <w:rsid w:val="000332FF"/>
    <w:rsid w:val="000357CA"/>
    <w:rsid w:val="000370D7"/>
    <w:rsid w:val="00051B36"/>
    <w:rsid w:val="00052899"/>
    <w:rsid w:val="000679E7"/>
    <w:rsid w:val="000840D5"/>
    <w:rsid w:val="000848A8"/>
    <w:rsid w:val="000A51CC"/>
    <w:rsid w:val="000A6166"/>
    <w:rsid w:val="000B01C7"/>
    <w:rsid w:val="000D3AC2"/>
    <w:rsid w:val="000E40A0"/>
    <w:rsid w:val="00100C6C"/>
    <w:rsid w:val="0012442F"/>
    <w:rsid w:val="00131484"/>
    <w:rsid w:val="00134EE4"/>
    <w:rsid w:val="00161954"/>
    <w:rsid w:val="001629E4"/>
    <w:rsid w:val="001678BE"/>
    <w:rsid w:val="00172EAC"/>
    <w:rsid w:val="00175DEB"/>
    <w:rsid w:val="0018121B"/>
    <w:rsid w:val="00193329"/>
    <w:rsid w:val="001936A4"/>
    <w:rsid w:val="00195CEC"/>
    <w:rsid w:val="001B546C"/>
    <w:rsid w:val="001C08B9"/>
    <w:rsid w:val="001C47D4"/>
    <w:rsid w:val="001D772F"/>
    <w:rsid w:val="001E3E4C"/>
    <w:rsid w:val="001F6951"/>
    <w:rsid w:val="00202C1C"/>
    <w:rsid w:val="00222C03"/>
    <w:rsid w:val="002246DF"/>
    <w:rsid w:val="00233EFD"/>
    <w:rsid w:val="002647A1"/>
    <w:rsid w:val="00267F82"/>
    <w:rsid w:val="00280312"/>
    <w:rsid w:val="002805CF"/>
    <w:rsid w:val="00285DC0"/>
    <w:rsid w:val="00286A22"/>
    <w:rsid w:val="00295EE2"/>
    <w:rsid w:val="002A3CAA"/>
    <w:rsid w:val="002A7EA3"/>
    <w:rsid w:val="002B1397"/>
    <w:rsid w:val="002B2F73"/>
    <w:rsid w:val="002B5B84"/>
    <w:rsid w:val="002D50AA"/>
    <w:rsid w:val="002F02BF"/>
    <w:rsid w:val="00301656"/>
    <w:rsid w:val="003048B6"/>
    <w:rsid w:val="0032557F"/>
    <w:rsid w:val="003474FF"/>
    <w:rsid w:val="00347D84"/>
    <w:rsid w:val="00364D77"/>
    <w:rsid w:val="0037017B"/>
    <w:rsid w:val="003A0EE0"/>
    <w:rsid w:val="003B0A53"/>
    <w:rsid w:val="003B206F"/>
    <w:rsid w:val="003B5DE5"/>
    <w:rsid w:val="003C41DE"/>
    <w:rsid w:val="00426420"/>
    <w:rsid w:val="004444C7"/>
    <w:rsid w:val="004565CC"/>
    <w:rsid w:val="00470002"/>
    <w:rsid w:val="0047185D"/>
    <w:rsid w:val="00472AFA"/>
    <w:rsid w:val="00475B02"/>
    <w:rsid w:val="00482ADA"/>
    <w:rsid w:val="004A4238"/>
    <w:rsid w:val="004A47D6"/>
    <w:rsid w:val="004C434C"/>
    <w:rsid w:val="004C5394"/>
    <w:rsid w:val="004F2DD4"/>
    <w:rsid w:val="004F580E"/>
    <w:rsid w:val="00524058"/>
    <w:rsid w:val="00541585"/>
    <w:rsid w:val="005561CD"/>
    <w:rsid w:val="005729FC"/>
    <w:rsid w:val="0058207A"/>
    <w:rsid w:val="00587844"/>
    <w:rsid w:val="00595673"/>
    <w:rsid w:val="005B1611"/>
    <w:rsid w:val="005B469A"/>
    <w:rsid w:val="005B6589"/>
    <w:rsid w:val="005C0081"/>
    <w:rsid w:val="005C7CB0"/>
    <w:rsid w:val="005D1533"/>
    <w:rsid w:val="005D1D35"/>
    <w:rsid w:val="005D4050"/>
    <w:rsid w:val="005E04C4"/>
    <w:rsid w:val="005F343E"/>
    <w:rsid w:val="005F5256"/>
    <w:rsid w:val="006035BF"/>
    <w:rsid w:val="006052EB"/>
    <w:rsid w:val="00606CA3"/>
    <w:rsid w:val="00607128"/>
    <w:rsid w:val="00615E30"/>
    <w:rsid w:val="0062222E"/>
    <w:rsid w:val="00626D54"/>
    <w:rsid w:val="0063262B"/>
    <w:rsid w:val="0063418C"/>
    <w:rsid w:val="00642AAD"/>
    <w:rsid w:val="00651D3B"/>
    <w:rsid w:val="00666541"/>
    <w:rsid w:val="00686A9F"/>
    <w:rsid w:val="006A4CCA"/>
    <w:rsid w:val="006A6A71"/>
    <w:rsid w:val="006C0A43"/>
    <w:rsid w:val="006D66E5"/>
    <w:rsid w:val="006D6CF2"/>
    <w:rsid w:val="006D7728"/>
    <w:rsid w:val="006F2146"/>
    <w:rsid w:val="006F3123"/>
    <w:rsid w:val="006F62F1"/>
    <w:rsid w:val="00716E55"/>
    <w:rsid w:val="0074365B"/>
    <w:rsid w:val="00750DB0"/>
    <w:rsid w:val="0077132C"/>
    <w:rsid w:val="00771FDC"/>
    <w:rsid w:val="00774496"/>
    <w:rsid w:val="007750FE"/>
    <w:rsid w:val="00797418"/>
    <w:rsid w:val="007A5C74"/>
    <w:rsid w:val="007C4902"/>
    <w:rsid w:val="007D7503"/>
    <w:rsid w:val="007E2F70"/>
    <w:rsid w:val="007F4C38"/>
    <w:rsid w:val="008043B3"/>
    <w:rsid w:val="00840E3B"/>
    <w:rsid w:val="00844503"/>
    <w:rsid w:val="0087198B"/>
    <w:rsid w:val="0087690B"/>
    <w:rsid w:val="00887BA5"/>
    <w:rsid w:val="008C0409"/>
    <w:rsid w:val="008D0BE6"/>
    <w:rsid w:val="008D1264"/>
    <w:rsid w:val="008E28E5"/>
    <w:rsid w:val="00902080"/>
    <w:rsid w:val="0090491D"/>
    <w:rsid w:val="009140F5"/>
    <w:rsid w:val="009236AD"/>
    <w:rsid w:val="009262AA"/>
    <w:rsid w:val="009415E6"/>
    <w:rsid w:val="00944A04"/>
    <w:rsid w:val="00946EA6"/>
    <w:rsid w:val="0095344D"/>
    <w:rsid w:val="0096149C"/>
    <w:rsid w:val="00961A3C"/>
    <w:rsid w:val="009725A0"/>
    <w:rsid w:val="00987A6B"/>
    <w:rsid w:val="00987B91"/>
    <w:rsid w:val="009B20DA"/>
    <w:rsid w:val="009B3CA3"/>
    <w:rsid w:val="009B46C8"/>
    <w:rsid w:val="009D1319"/>
    <w:rsid w:val="009D61A3"/>
    <w:rsid w:val="009D685F"/>
    <w:rsid w:val="00A01C66"/>
    <w:rsid w:val="00A25C44"/>
    <w:rsid w:val="00A27B8D"/>
    <w:rsid w:val="00A532B5"/>
    <w:rsid w:val="00A6415E"/>
    <w:rsid w:val="00A64785"/>
    <w:rsid w:val="00A71C2B"/>
    <w:rsid w:val="00A77EA0"/>
    <w:rsid w:val="00A8579B"/>
    <w:rsid w:val="00A953F5"/>
    <w:rsid w:val="00AA2FDF"/>
    <w:rsid w:val="00AA6EE2"/>
    <w:rsid w:val="00AA756D"/>
    <w:rsid w:val="00AE409C"/>
    <w:rsid w:val="00AE63D3"/>
    <w:rsid w:val="00AF3894"/>
    <w:rsid w:val="00B0085A"/>
    <w:rsid w:val="00B02BEF"/>
    <w:rsid w:val="00B0359E"/>
    <w:rsid w:val="00B0599A"/>
    <w:rsid w:val="00B26E86"/>
    <w:rsid w:val="00B60A7B"/>
    <w:rsid w:val="00B6389B"/>
    <w:rsid w:val="00B6499B"/>
    <w:rsid w:val="00B7520F"/>
    <w:rsid w:val="00B953EC"/>
    <w:rsid w:val="00B97BDB"/>
    <w:rsid w:val="00BB1858"/>
    <w:rsid w:val="00BF35A8"/>
    <w:rsid w:val="00C04C81"/>
    <w:rsid w:val="00C23909"/>
    <w:rsid w:val="00C34F23"/>
    <w:rsid w:val="00C44A77"/>
    <w:rsid w:val="00C5719A"/>
    <w:rsid w:val="00C76B3C"/>
    <w:rsid w:val="00C82FBC"/>
    <w:rsid w:val="00C8524D"/>
    <w:rsid w:val="00C97E99"/>
    <w:rsid w:val="00CB6D59"/>
    <w:rsid w:val="00CC08C9"/>
    <w:rsid w:val="00CE4CAC"/>
    <w:rsid w:val="00CE6D0E"/>
    <w:rsid w:val="00D007B5"/>
    <w:rsid w:val="00D05336"/>
    <w:rsid w:val="00D05F58"/>
    <w:rsid w:val="00D1224D"/>
    <w:rsid w:val="00D21F89"/>
    <w:rsid w:val="00D22BE9"/>
    <w:rsid w:val="00D42CF2"/>
    <w:rsid w:val="00D50E72"/>
    <w:rsid w:val="00D708CE"/>
    <w:rsid w:val="00D711E4"/>
    <w:rsid w:val="00D74FE3"/>
    <w:rsid w:val="00D920FE"/>
    <w:rsid w:val="00DB4748"/>
    <w:rsid w:val="00DB4EB8"/>
    <w:rsid w:val="00DD172D"/>
    <w:rsid w:val="00DD1963"/>
    <w:rsid w:val="00DF092A"/>
    <w:rsid w:val="00E10CFB"/>
    <w:rsid w:val="00E1705B"/>
    <w:rsid w:val="00E276FF"/>
    <w:rsid w:val="00E30058"/>
    <w:rsid w:val="00E3005E"/>
    <w:rsid w:val="00E33EF4"/>
    <w:rsid w:val="00E43C32"/>
    <w:rsid w:val="00E56FD7"/>
    <w:rsid w:val="00E735C1"/>
    <w:rsid w:val="00E779E2"/>
    <w:rsid w:val="00E8510D"/>
    <w:rsid w:val="00E8637B"/>
    <w:rsid w:val="00E91008"/>
    <w:rsid w:val="00E97A99"/>
    <w:rsid w:val="00EA4BB7"/>
    <w:rsid w:val="00EC56DD"/>
    <w:rsid w:val="00ED70AC"/>
    <w:rsid w:val="00EE6EBF"/>
    <w:rsid w:val="00EF601D"/>
    <w:rsid w:val="00EF63AF"/>
    <w:rsid w:val="00F012FF"/>
    <w:rsid w:val="00F02638"/>
    <w:rsid w:val="00F0314D"/>
    <w:rsid w:val="00F06440"/>
    <w:rsid w:val="00F07E82"/>
    <w:rsid w:val="00F15C1E"/>
    <w:rsid w:val="00F24D47"/>
    <w:rsid w:val="00F42DC9"/>
    <w:rsid w:val="00F439D1"/>
    <w:rsid w:val="00F653D9"/>
    <w:rsid w:val="00F65EB3"/>
    <w:rsid w:val="00F837EB"/>
    <w:rsid w:val="00F83FE8"/>
    <w:rsid w:val="00F916AC"/>
    <w:rsid w:val="00FB5B68"/>
    <w:rsid w:val="00FC2FF5"/>
    <w:rsid w:val="00FD4542"/>
    <w:rsid w:val="00FF6336"/>
  </w:rsids>
  <m:mathPr>
    <m:mathFont m:val="Cambria Math"/>
    <m:brkBin m:val="before"/>
    <m:brkBinSub m:val="--"/>
    <m:smallFrac/>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rules v:ext="edit">
        <o:r id="V:Rule49" type="connector" idref="#_x0000_s1027"/>
        <o:r id="V:Rule50" type="connector" idref="#_x0000_s1497"/>
        <o:r id="V:Rule51" type="connector" idref="#_x0000_s1028"/>
        <o:r id="V:Rule52" type="connector" idref="#_x0000_s1471"/>
        <o:r id="V:Rule53" type="connector" idref="#_x0000_s1520"/>
        <o:r id="V:Rule54" type="connector" idref="#_x0000_s1470"/>
        <o:r id="V:Rule55" type="connector" idref="#_x0000_s1493"/>
        <o:r id="V:Rule56" type="connector" idref="#_x0000_s1511"/>
        <o:r id="V:Rule57" type="connector" idref="#_x0000_s1494"/>
        <o:r id="V:Rule58" type="connector" idref="#_x0000_s1035"/>
        <o:r id="V:Rule59" type="connector" idref="#_x0000_s1030"/>
        <o:r id="V:Rule60" type="connector" idref="#_x0000_s1495"/>
        <o:r id="V:Rule61" type="connector" idref="#_x0000_s1485"/>
        <o:r id="V:Rule62" type="connector" idref="#_x0000_s1443"/>
        <o:r id="V:Rule63" type="connector" idref="#_x0000_s1460"/>
        <o:r id="V:Rule64" type="connector" idref="#_x0000_s1473"/>
        <o:r id="V:Rule65" type="connector" idref="#_x0000_s1504"/>
        <o:r id="V:Rule66" type="connector" idref="#_x0000_s1472"/>
        <o:r id="V:Rule67" type="connector" idref="#_x0000_s1468"/>
        <o:r id="V:Rule68" type="connector" idref="#_x0000_s1482"/>
        <o:r id="V:Rule69" type="connector" idref="#_x0000_s1509"/>
        <o:r id="V:Rule70" type="connector" idref="#_x0000_s1496"/>
        <o:r id="V:Rule71" type="connector" idref="#_x0000_s1492"/>
        <o:r id="V:Rule72" type="connector" idref="#_x0000_s1506"/>
        <o:r id="V:Rule73" type="connector" idref="#_x0000_s1483"/>
        <o:r id="V:Rule74" type="connector" idref="#_x0000_s1508"/>
        <o:r id="V:Rule75" type="connector" idref="#_x0000_s1029"/>
        <o:r id="V:Rule76" type="connector" idref="#_x0000_s1499"/>
        <o:r id="V:Rule77" type="connector" idref="#_x0000_s1513"/>
        <o:r id="V:Rule78" type="connector" idref="#_x0000_s1491"/>
        <o:r id="V:Rule79" type="connector" idref="#_x0000_s1450"/>
        <o:r id="V:Rule80" type="connector" idref="#_x0000_s1036"/>
        <o:r id="V:Rule81" type="connector" idref="#_x0000_s1461"/>
        <o:r id="V:Rule82" type="connector" idref="#_x0000_s1453"/>
        <o:r id="V:Rule83" type="connector" idref="#_x0000_s1466"/>
        <o:r id="V:Rule84" type="connector" idref="#_x0000_s1484"/>
        <o:r id="V:Rule85" type="connector" idref="#_x0000_s1032"/>
        <o:r id="V:Rule86" type="connector" idref="#_x0000_s1463"/>
        <o:r id="V:Rule87" type="connector" idref="#_x0000_s1451"/>
        <o:r id="V:Rule88" type="connector" idref="#_x0000_s1467"/>
        <o:r id="V:Rule89" type="connector" idref="#_x0000_s1500"/>
        <o:r id="V:Rule90" type="connector" idref="#_x0000_s1462"/>
        <o:r id="V:Rule91" type="connector" idref="#_x0000_s1464"/>
        <o:r id="V:Rule92" type="connector" idref="#_x0000_s1031"/>
        <o:r id="V:Rule93" type="connector" idref="#_x0000_s1481"/>
        <o:r id="V:Rule94" type="connector" idref="#_x0000_s1488"/>
        <o:r id="V:Rule95" type="connector" idref="#_x0000_s1465"/>
        <o:r id="V:Rule96" type="connector" idref="#_x0000_s15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iPriority="1"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96149C"/>
    <w:rPr>
      <w:rFonts w:ascii="Arial" w:eastAsia="Times New Roman" w:hAnsi="Arial"/>
      <w:sz w:val="22"/>
      <w:lang w:val="en-GB" w:eastAsia="en-GB"/>
    </w:rPr>
  </w:style>
  <w:style w:type="paragraph" w:styleId="Heading1">
    <w:name w:val="heading 1"/>
    <w:basedOn w:val="Normal"/>
    <w:next w:val="Normal"/>
    <w:link w:val="Heading1Char1"/>
    <w:qFormat/>
    <w:rsid w:val="00431BA0"/>
    <w:pPr>
      <w:spacing w:before="60" w:after="60"/>
      <w:jc w:val="center"/>
      <w:outlineLvl w:val="0"/>
    </w:pPr>
    <w:rPr>
      <w:b/>
      <w:color w:val="FFFFFF"/>
    </w:rPr>
  </w:style>
  <w:style w:type="paragraph" w:styleId="Heading2">
    <w:name w:val="heading 2"/>
    <w:basedOn w:val="Normal"/>
    <w:next w:val="Normal"/>
    <w:link w:val="Heading2Char"/>
    <w:qFormat/>
    <w:rsid w:val="0096149C"/>
    <w:pPr>
      <w:keepNext/>
      <w:keepLines/>
      <w:spacing w:before="200"/>
      <w:outlineLvl w:val="1"/>
    </w:pPr>
    <w:rPr>
      <w:rFonts w:ascii="Cambria" w:hAnsi="Cambria"/>
      <w:b/>
      <w:bCs/>
      <w:color w:val="4F81BD"/>
      <w:sz w:val="26"/>
      <w:szCs w:val="26"/>
    </w:rPr>
  </w:style>
  <w:style w:type="paragraph" w:styleId="Heading5">
    <w:name w:val="heading 5"/>
    <w:basedOn w:val="Normal"/>
    <w:next w:val="Normal"/>
    <w:link w:val="Heading5Char"/>
    <w:qFormat/>
    <w:rsid w:val="00E3465E"/>
    <w:pPr>
      <w:keepNext/>
      <w:ind w:left="426" w:hanging="426"/>
      <w:jc w:val="both"/>
      <w:outlineLvl w:val="4"/>
    </w:pPr>
    <w:rPr>
      <w:rFonts w:ascii="Times New Roman" w:hAnsi="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C2384"/>
    <w:rPr>
      <w:rFonts w:ascii="Tahoma" w:hAnsi="Tahoma"/>
      <w:sz w:val="16"/>
      <w:szCs w:val="16"/>
    </w:rPr>
  </w:style>
  <w:style w:type="character" w:customStyle="1" w:styleId="BalloonTextChar">
    <w:name w:val="Balloon Text Char"/>
    <w:uiPriority w:val="99"/>
    <w:semiHidden/>
    <w:rsid w:val="000B148A"/>
    <w:rPr>
      <w:rFonts w:ascii="Lucida Grande" w:hAnsi="Lucida Grande"/>
      <w:sz w:val="18"/>
      <w:szCs w:val="18"/>
    </w:rPr>
  </w:style>
  <w:style w:type="character" w:customStyle="1" w:styleId="Heading1Char">
    <w:name w:val="Heading 1 Char"/>
    <w:uiPriority w:val="9"/>
    <w:rsid w:val="0096149C"/>
    <w:rPr>
      <w:rFonts w:ascii="Cambria" w:eastAsia="Times New Roman" w:hAnsi="Cambria" w:cs="Times New Roman"/>
      <w:b/>
      <w:bCs/>
      <w:color w:val="365F91"/>
      <w:sz w:val="28"/>
      <w:szCs w:val="28"/>
      <w:lang w:val="en-GB" w:eastAsia="en-GB"/>
    </w:rPr>
  </w:style>
  <w:style w:type="character" w:customStyle="1" w:styleId="Heading1Char1">
    <w:name w:val="Heading 1 Char1"/>
    <w:link w:val="Heading1"/>
    <w:rsid w:val="00431BA0"/>
    <w:rPr>
      <w:rFonts w:ascii="Arial" w:eastAsia="Times New Roman" w:hAnsi="Arial"/>
      <w:b/>
      <w:color w:val="FFFFFF"/>
      <w:sz w:val="22"/>
      <w:lang w:val="en-GB" w:eastAsia="en-GB"/>
    </w:rPr>
  </w:style>
  <w:style w:type="character" w:customStyle="1" w:styleId="Heading2Char">
    <w:name w:val="Heading 2 Char"/>
    <w:link w:val="Heading2"/>
    <w:rsid w:val="0096149C"/>
    <w:rPr>
      <w:rFonts w:ascii="Cambria" w:eastAsia="Times New Roman" w:hAnsi="Cambria" w:cs="Times New Roman"/>
      <w:b/>
      <w:bCs/>
      <w:color w:val="4F81BD"/>
      <w:sz w:val="26"/>
      <w:szCs w:val="26"/>
      <w:lang w:val="en-GB" w:eastAsia="en-GB"/>
    </w:rPr>
  </w:style>
  <w:style w:type="paragraph" w:customStyle="1" w:styleId="ColorfulList-Accent13">
    <w:name w:val="Colorful List - Accent 13"/>
    <w:basedOn w:val="Normal"/>
    <w:uiPriority w:val="34"/>
    <w:qFormat/>
    <w:rsid w:val="0096149C"/>
    <w:pPr>
      <w:ind w:left="720"/>
      <w:contextualSpacing/>
    </w:pPr>
  </w:style>
  <w:style w:type="character" w:styleId="Hyperlink">
    <w:name w:val="Hyperlink"/>
    <w:uiPriority w:val="99"/>
    <w:rsid w:val="0096149C"/>
    <w:rPr>
      <w:color w:val="0000FF"/>
      <w:u w:val="single"/>
    </w:rPr>
  </w:style>
  <w:style w:type="paragraph" w:customStyle="1" w:styleId="EmptyLayoutCell">
    <w:name w:val="EmptyLayoutCell"/>
    <w:basedOn w:val="Normal"/>
    <w:rsid w:val="0096149C"/>
    <w:rPr>
      <w:rFonts w:ascii="Times New Roman" w:hAnsi="Times New Roman"/>
      <w:sz w:val="2"/>
      <w:lang w:val="en-US" w:eastAsia="en-US"/>
    </w:rPr>
  </w:style>
  <w:style w:type="paragraph" w:customStyle="1" w:styleId="partTitile">
    <w:name w:val="part Titile"/>
    <w:basedOn w:val="Heading1"/>
    <w:link w:val="partTitileChar"/>
    <w:qFormat/>
    <w:rsid w:val="0096149C"/>
    <w:rPr>
      <w:sz w:val="24"/>
    </w:rPr>
  </w:style>
  <w:style w:type="character" w:customStyle="1" w:styleId="partTitileChar">
    <w:name w:val="part Titile Char"/>
    <w:link w:val="partTitile"/>
    <w:rsid w:val="0096149C"/>
    <w:rPr>
      <w:rFonts w:ascii="Arial" w:eastAsia="Times New Roman" w:hAnsi="Arial" w:cs="Arial"/>
      <w:b/>
      <w:color w:val="FFFFFF"/>
      <w:sz w:val="24"/>
      <w:szCs w:val="20"/>
      <w:lang w:val="en-GB" w:eastAsia="en-GB"/>
    </w:rPr>
  </w:style>
  <w:style w:type="paragraph" w:styleId="CommentText">
    <w:name w:val="annotation text"/>
    <w:basedOn w:val="Normal"/>
    <w:link w:val="CommentTextChar"/>
    <w:uiPriority w:val="99"/>
    <w:rsid w:val="00BC2384"/>
    <w:rPr>
      <w:sz w:val="20"/>
    </w:rPr>
  </w:style>
  <w:style w:type="character" w:customStyle="1" w:styleId="CommentTextChar">
    <w:name w:val="Comment Text Char"/>
    <w:link w:val="CommentText"/>
    <w:uiPriority w:val="99"/>
    <w:rsid w:val="00BC2384"/>
    <w:rPr>
      <w:rFonts w:ascii="Arial" w:eastAsia="Times New Roman" w:hAnsi="Arial" w:cs="Times New Roman"/>
      <w:sz w:val="20"/>
      <w:szCs w:val="20"/>
      <w:lang w:val="en-GB" w:eastAsia="en-GB"/>
    </w:rPr>
  </w:style>
  <w:style w:type="paragraph" w:styleId="FootnoteText">
    <w:name w:val="footnote text"/>
    <w:basedOn w:val="Normal"/>
    <w:link w:val="FootnoteTextChar"/>
    <w:uiPriority w:val="99"/>
    <w:rsid w:val="00BC2384"/>
    <w:rPr>
      <w:sz w:val="20"/>
    </w:rPr>
  </w:style>
  <w:style w:type="character" w:customStyle="1" w:styleId="FootnoteTextChar">
    <w:name w:val="Footnote Text Char"/>
    <w:link w:val="FootnoteText"/>
    <w:uiPriority w:val="99"/>
    <w:rsid w:val="00BC2384"/>
    <w:rPr>
      <w:rFonts w:ascii="Arial" w:eastAsia="Times New Roman" w:hAnsi="Arial" w:cs="Times New Roman"/>
      <w:sz w:val="20"/>
      <w:szCs w:val="20"/>
      <w:lang w:val="en-GB" w:eastAsia="en-GB"/>
    </w:rPr>
  </w:style>
  <w:style w:type="character" w:styleId="FootnoteReference">
    <w:name w:val="footnote reference"/>
    <w:uiPriority w:val="99"/>
    <w:rsid w:val="00BC2384"/>
    <w:rPr>
      <w:vertAlign w:val="superscript"/>
    </w:rPr>
  </w:style>
  <w:style w:type="character" w:styleId="CommentReference">
    <w:name w:val="annotation reference"/>
    <w:uiPriority w:val="99"/>
    <w:semiHidden/>
    <w:unhideWhenUsed/>
    <w:rsid w:val="00BC2384"/>
    <w:rPr>
      <w:sz w:val="16"/>
      <w:szCs w:val="16"/>
    </w:rPr>
  </w:style>
  <w:style w:type="character" w:customStyle="1" w:styleId="BalloonTextChar1">
    <w:name w:val="Balloon Text Char1"/>
    <w:link w:val="BalloonText"/>
    <w:uiPriority w:val="99"/>
    <w:semiHidden/>
    <w:rsid w:val="00BC2384"/>
    <w:rPr>
      <w:rFonts w:ascii="Tahoma" w:eastAsia="Times New Roman" w:hAnsi="Tahoma" w:cs="Tahoma"/>
      <w:sz w:val="16"/>
      <w:szCs w:val="16"/>
      <w:lang w:val="en-GB" w:eastAsia="en-GB"/>
    </w:rPr>
  </w:style>
  <w:style w:type="paragraph" w:customStyle="1" w:styleId="Body1">
    <w:name w:val="Body 1"/>
    <w:rsid w:val="00265B2A"/>
    <w:pPr>
      <w:outlineLvl w:val="0"/>
    </w:pPr>
    <w:rPr>
      <w:rFonts w:ascii="Arial" w:eastAsia="Arial Unicode MS" w:hAnsi="Arial"/>
      <w:color w:val="000000"/>
      <w:sz w:val="22"/>
      <w:u w:color="000000"/>
      <w:lang w:val="en-US" w:eastAsia="en-US"/>
    </w:rPr>
  </w:style>
  <w:style w:type="paragraph" w:customStyle="1" w:styleId="ColorfulList-Accent11">
    <w:name w:val="Colorful List - Accent 11"/>
    <w:basedOn w:val="Normal"/>
    <w:link w:val="ColorfulList-Accent1Char"/>
    <w:uiPriority w:val="34"/>
    <w:qFormat/>
    <w:rsid w:val="00CE5EE3"/>
    <w:pPr>
      <w:widowControl w:val="0"/>
      <w:spacing w:after="200" w:line="276" w:lineRule="auto"/>
      <w:ind w:left="720"/>
      <w:contextualSpacing/>
    </w:pPr>
    <w:rPr>
      <w:rFonts w:ascii="Calibri" w:eastAsia="Calibri" w:hAnsi="Calibri"/>
      <w:sz w:val="20"/>
    </w:rPr>
  </w:style>
  <w:style w:type="character" w:customStyle="1" w:styleId="ColorfulList-Accent1Char">
    <w:name w:val="Colorful List - Accent 1 Char"/>
    <w:link w:val="ColorfulList-Accent11"/>
    <w:uiPriority w:val="34"/>
    <w:rsid w:val="00CE5EE3"/>
    <w:rPr>
      <w:rFonts w:ascii="Calibri" w:eastAsia="Calibri" w:hAnsi="Calibri" w:cs="Times New Roman"/>
      <w:lang w:val="en-GB"/>
    </w:rPr>
  </w:style>
  <w:style w:type="paragraph" w:styleId="NormalWeb">
    <w:name w:val="Normal (Web)"/>
    <w:basedOn w:val="Normal"/>
    <w:uiPriority w:val="99"/>
    <w:unhideWhenUsed/>
    <w:rsid w:val="00D51FB7"/>
    <w:pPr>
      <w:spacing w:before="42" w:after="125"/>
    </w:pPr>
    <w:rPr>
      <w:rFonts w:ascii="Times New Roman" w:hAnsi="Times New Roman"/>
      <w:sz w:val="24"/>
      <w:szCs w:val="24"/>
      <w:lang w:val="en-CA" w:eastAsia="en-CA"/>
    </w:rPr>
  </w:style>
  <w:style w:type="paragraph" w:styleId="Header">
    <w:name w:val="header"/>
    <w:basedOn w:val="Normal"/>
    <w:link w:val="HeaderChar"/>
    <w:uiPriority w:val="99"/>
    <w:semiHidden/>
    <w:unhideWhenUsed/>
    <w:rsid w:val="00082496"/>
    <w:pPr>
      <w:tabs>
        <w:tab w:val="center" w:pos="4680"/>
        <w:tab w:val="right" w:pos="9360"/>
      </w:tabs>
    </w:pPr>
    <w:rPr>
      <w:sz w:val="20"/>
    </w:rPr>
  </w:style>
  <w:style w:type="character" w:customStyle="1" w:styleId="HeaderChar">
    <w:name w:val="Header Char"/>
    <w:link w:val="Header"/>
    <w:uiPriority w:val="99"/>
    <w:semiHidden/>
    <w:rsid w:val="00082496"/>
    <w:rPr>
      <w:rFonts w:ascii="Arial" w:eastAsia="Times New Roman" w:hAnsi="Arial" w:cs="Times New Roman"/>
      <w:szCs w:val="20"/>
      <w:lang w:val="en-GB" w:eastAsia="en-GB"/>
    </w:rPr>
  </w:style>
  <w:style w:type="paragraph" w:styleId="Footer">
    <w:name w:val="footer"/>
    <w:basedOn w:val="Normal"/>
    <w:link w:val="FooterChar"/>
    <w:uiPriority w:val="99"/>
    <w:unhideWhenUsed/>
    <w:rsid w:val="00082496"/>
    <w:pPr>
      <w:tabs>
        <w:tab w:val="center" w:pos="4680"/>
        <w:tab w:val="right" w:pos="9360"/>
      </w:tabs>
    </w:pPr>
    <w:rPr>
      <w:sz w:val="20"/>
    </w:rPr>
  </w:style>
  <w:style w:type="character" w:customStyle="1" w:styleId="FooterChar">
    <w:name w:val="Footer Char"/>
    <w:link w:val="Footer"/>
    <w:uiPriority w:val="99"/>
    <w:rsid w:val="00082496"/>
    <w:rPr>
      <w:rFonts w:ascii="Arial" w:eastAsia="Times New Roman" w:hAnsi="Arial" w:cs="Times New Roman"/>
      <w:szCs w:val="20"/>
      <w:lang w:val="en-GB" w:eastAsia="en-GB"/>
    </w:rPr>
  </w:style>
  <w:style w:type="paragraph" w:styleId="CommentSubject">
    <w:name w:val="annotation subject"/>
    <w:basedOn w:val="CommentText"/>
    <w:next w:val="CommentText"/>
    <w:link w:val="CommentSubjectChar"/>
    <w:uiPriority w:val="99"/>
    <w:semiHidden/>
    <w:unhideWhenUsed/>
    <w:rsid w:val="00026CAD"/>
    <w:rPr>
      <w:b/>
      <w:bCs/>
    </w:rPr>
  </w:style>
  <w:style w:type="character" w:customStyle="1" w:styleId="CommentSubjectChar">
    <w:name w:val="Comment Subject Char"/>
    <w:link w:val="CommentSubject"/>
    <w:uiPriority w:val="99"/>
    <w:semiHidden/>
    <w:rsid w:val="00026CAD"/>
    <w:rPr>
      <w:rFonts w:ascii="Arial" w:eastAsia="Times New Roman" w:hAnsi="Arial" w:cs="Times New Roman"/>
      <w:b/>
      <w:bCs/>
      <w:sz w:val="20"/>
      <w:szCs w:val="20"/>
      <w:lang w:val="en-GB" w:eastAsia="en-GB"/>
    </w:rPr>
  </w:style>
  <w:style w:type="paragraph" w:customStyle="1" w:styleId="ColorfulShading-Accent11">
    <w:name w:val="Colorful Shading - Accent 11"/>
    <w:hidden/>
    <w:uiPriority w:val="99"/>
    <w:semiHidden/>
    <w:rsid w:val="00026CAD"/>
    <w:rPr>
      <w:rFonts w:ascii="Arial" w:eastAsia="Times New Roman" w:hAnsi="Arial"/>
      <w:sz w:val="22"/>
      <w:lang w:val="en-GB" w:eastAsia="en-GB"/>
    </w:rPr>
  </w:style>
  <w:style w:type="paragraph" w:customStyle="1" w:styleId="Default">
    <w:name w:val="Default"/>
    <w:rsid w:val="00425240"/>
    <w:pPr>
      <w:autoSpaceDE w:val="0"/>
      <w:autoSpaceDN w:val="0"/>
      <w:adjustRightInd w:val="0"/>
    </w:pPr>
    <w:rPr>
      <w:rFonts w:ascii="Tahoma" w:hAnsi="Tahoma" w:cs="Tahoma"/>
      <w:color w:val="000000"/>
      <w:sz w:val="24"/>
      <w:szCs w:val="24"/>
      <w:lang w:val="en-US" w:eastAsia="en-US"/>
    </w:rPr>
  </w:style>
  <w:style w:type="paragraph" w:customStyle="1" w:styleId="MediumList2-Accent21">
    <w:name w:val="Medium List 2 - Accent 21"/>
    <w:hidden/>
    <w:uiPriority w:val="71"/>
    <w:rsid w:val="00FE5EE3"/>
    <w:rPr>
      <w:rFonts w:ascii="Arial" w:eastAsia="Times New Roman" w:hAnsi="Arial"/>
      <w:sz w:val="22"/>
      <w:lang w:val="en-GB" w:eastAsia="en-GB"/>
    </w:rPr>
  </w:style>
  <w:style w:type="table" w:styleId="TableGrid">
    <w:name w:val="Table Grid"/>
    <w:basedOn w:val="TableNormal"/>
    <w:uiPriority w:val="59"/>
    <w:rsid w:val="004940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rsid w:val="001F2CD7"/>
    <w:pPr>
      <w:ind w:left="220"/>
    </w:pPr>
    <w:rPr>
      <w:rFonts w:ascii="Calibri" w:hAnsi="Calibri" w:cs="Calibri"/>
      <w:smallCaps/>
      <w:sz w:val="20"/>
    </w:rPr>
  </w:style>
  <w:style w:type="paragraph" w:styleId="TOC1">
    <w:name w:val="toc 1"/>
    <w:basedOn w:val="Normal"/>
    <w:next w:val="Normal"/>
    <w:autoRedefine/>
    <w:uiPriority w:val="39"/>
    <w:rsid w:val="001F2CD7"/>
    <w:pPr>
      <w:spacing w:before="120" w:after="120"/>
    </w:pPr>
    <w:rPr>
      <w:rFonts w:ascii="Calibri" w:hAnsi="Calibri" w:cs="Calibri"/>
      <w:b/>
      <w:bCs/>
      <w:caps/>
      <w:sz w:val="20"/>
    </w:rPr>
  </w:style>
  <w:style w:type="character" w:customStyle="1" w:styleId="Heading5Char">
    <w:name w:val="Heading 5 Char"/>
    <w:link w:val="Heading5"/>
    <w:rsid w:val="00E3465E"/>
    <w:rPr>
      <w:rFonts w:ascii="Times New Roman" w:eastAsia="Times New Roman" w:hAnsi="Times New Roman"/>
      <w:sz w:val="24"/>
      <w:lang w:val="en-US" w:eastAsia="en-US"/>
    </w:rPr>
  </w:style>
  <w:style w:type="paragraph" w:customStyle="1" w:styleId="TOCHeading1">
    <w:name w:val="TOC Heading1"/>
    <w:basedOn w:val="Heading1"/>
    <w:next w:val="Normal"/>
    <w:uiPriority w:val="39"/>
    <w:semiHidden/>
    <w:unhideWhenUsed/>
    <w:qFormat/>
    <w:rsid w:val="00E27E8E"/>
    <w:pPr>
      <w:keepNext/>
      <w:keepLines/>
      <w:spacing w:before="480" w:after="0" w:line="276" w:lineRule="auto"/>
      <w:jc w:val="left"/>
      <w:outlineLvl w:val="9"/>
    </w:pPr>
    <w:rPr>
      <w:rFonts w:ascii="Cambria" w:hAnsi="Cambria"/>
      <w:bCs/>
      <w:color w:val="365F91"/>
      <w:sz w:val="28"/>
      <w:szCs w:val="28"/>
      <w:lang w:val="en-US" w:eastAsia="en-US"/>
    </w:rPr>
  </w:style>
  <w:style w:type="paragraph" w:styleId="TOC3">
    <w:name w:val="toc 3"/>
    <w:basedOn w:val="Normal"/>
    <w:next w:val="Normal"/>
    <w:autoRedefine/>
    <w:uiPriority w:val="39"/>
    <w:unhideWhenUsed/>
    <w:rsid w:val="00E27E8E"/>
    <w:pPr>
      <w:ind w:left="440"/>
    </w:pPr>
  </w:style>
  <w:style w:type="paragraph" w:styleId="TOC4">
    <w:name w:val="toc 4"/>
    <w:basedOn w:val="Normal"/>
    <w:next w:val="Normal"/>
    <w:autoRedefine/>
    <w:uiPriority w:val="39"/>
    <w:unhideWhenUsed/>
    <w:rsid w:val="00E27E8E"/>
    <w:pPr>
      <w:spacing w:after="100" w:line="276" w:lineRule="auto"/>
      <w:ind w:left="660"/>
    </w:pPr>
    <w:rPr>
      <w:rFonts w:ascii="Calibri" w:hAnsi="Calibri"/>
      <w:szCs w:val="22"/>
      <w:lang w:val="en-CA" w:eastAsia="en-CA"/>
    </w:rPr>
  </w:style>
  <w:style w:type="paragraph" w:styleId="TOC5">
    <w:name w:val="toc 5"/>
    <w:basedOn w:val="Normal"/>
    <w:next w:val="Normal"/>
    <w:autoRedefine/>
    <w:uiPriority w:val="39"/>
    <w:unhideWhenUsed/>
    <w:rsid w:val="00E27E8E"/>
    <w:pPr>
      <w:spacing w:after="100" w:line="276" w:lineRule="auto"/>
      <w:ind w:left="880"/>
    </w:pPr>
    <w:rPr>
      <w:rFonts w:ascii="Calibri" w:hAnsi="Calibri"/>
      <w:szCs w:val="22"/>
      <w:lang w:val="en-CA" w:eastAsia="en-CA"/>
    </w:rPr>
  </w:style>
  <w:style w:type="paragraph" w:styleId="TOC6">
    <w:name w:val="toc 6"/>
    <w:basedOn w:val="Normal"/>
    <w:next w:val="Normal"/>
    <w:autoRedefine/>
    <w:uiPriority w:val="39"/>
    <w:unhideWhenUsed/>
    <w:rsid w:val="00E27E8E"/>
    <w:pPr>
      <w:spacing w:after="100" w:line="276" w:lineRule="auto"/>
      <w:ind w:left="1100"/>
    </w:pPr>
    <w:rPr>
      <w:rFonts w:ascii="Calibri" w:hAnsi="Calibri"/>
      <w:szCs w:val="22"/>
      <w:lang w:val="en-CA" w:eastAsia="en-CA"/>
    </w:rPr>
  </w:style>
  <w:style w:type="paragraph" w:styleId="TOC7">
    <w:name w:val="toc 7"/>
    <w:basedOn w:val="Normal"/>
    <w:next w:val="Normal"/>
    <w:autoRedefine/>
    <w:uiPriority w:val="39"/>
    <w:unhideWhenUsed/>
    <w:rsid w:val="00E27E8E"/>
    <w:pPr>
      <w:spacing w:after="100" w:line="276" w:lineRule="auto"/>
      <w:ind w:left="1320"/>
    </w:pPr>
    <w:rPr>
      <w:rFonts w:ascii="Calibri" w:hAnsi="Calibri"/>
      <w:szCs w:val="22"/>
      <w:lang w:val="en-CA" w:eastAsia="en-CA"/>
    </w:rPr>
  </w:style>
  <w:style w:type="paragraph" w:styleId="TOC8">
    <w:name w:val="toc 8"/>
    <w:basedOn w:val="Normal"/>
    <w:next w:val="Normal"/>
    <w:autoRedefine/>
    <w:uiPriority w:val="39"/>
    <w:unhideWhenUsed/>
    <w:rsid w:val="00E27E8E"/>
    <w:pPr>
      <w:spacing w:after="100" w:line="276" w:lineRule="auto"/>
      <w:ind w:left="1540"/>
    </w:pPr>
    <w:rPr>
      <w:rFonts w:ascii="Calibri" w:hAnsi="Calibri"/>
      <w:szCs w:val="22"/>
      <w:lang w:val="en-CA" w:eastAsia="en-CA"/>
    </w:rPr>
  </w:style>
  <w:style w:type="paragraph" w:styleId="TOC9">
    <w:name w:val="toc 9"/>
    <w:basedOn w:val="Normal"/>
    <w:next w:val="Normal"/>
    <w:autoRedefine/>
    <w:uiPriority w:val="39"/>
    <w:unhideWhenUsed/>
    <w:rsid w:val="00E27E8E"/>
    <w:pPr>
      <w:spacing w:after="100" w:line="276" w:lineRule="auto"/>
      <w:ind w:left="1760"/>
    </w:pPr>
    <w:rPr>
      <w:rFonts w:ascii="Calibri" w:hAnsi="Calibri"/>
      <w:szCs w:val="22"/>
      <w:lang w:val="en-CA" w:eastAsia="en-CA"/>
    </w:rPr>
  </w:style>
  <w:style w:type="paragraph" w:styleId="BodyText">
    <w:name w:val="Body Text"/>
    <w:basedOn w:val="Normal"/>
    <w:link w:val="BodyTextChar"/>
    <w:rsid w:val="00405B01"/>
    <w:pPr>
      <w:spacing w:after="200" w:line="260" w:lineRule="exact"/>
      <w:ind w:left="864"/>
      <w:jc w:val="both"/>
    </w:pPr>
    <w:rPr>
      <w:rFonts w:ascii="Century Gothic" w:hAnsi="Century Gothic"/>
      <w:sz w:val="18"/>
    </w:rPr>
  </w:style>
  <w:style w:type="character" w:customStyle="1" w:styleId="BodyTextChar">
    <w:name w:val="Body Text Char"/>
    <w:link w:val="BodyText"/>
    <w:rsid w:val="00405B01"/>
    <w:rPr>
      <w:rFonts w:ascii="Century Gothic" w:eastAsia="Times New Roman" w:hAnsi="Century Gothic"/>
      <w:sz w:val="18"/>
    </w:rPr>
  </w:style>
  <w:style w:type="character" w:styleId="Strong">
    <w:name w:val="Strong"/>
    <w:uiPriority w:val="22"/>
    <w:qFormat/>
    <w:rsid w:val="00897D5D"/>
    <w:rPr>
      <w:b/>
      <w:bCs/>
    </w:rPr>
  </w:style>
  <w:style w:type="character" w:customStyle="1" w:styleId="apple-converted-space">
    <w:name w:val="apple-converted-space"/>
    <w:basedOn w:val="DefaultParagraphFont"/>
    <w:rsid w:val="00897D5D"/>
  </w:style>
  <w:style w:type="paragraph" w:customStyle="1" w:styleId="ColorfulList-Accent12">
    <w:name w:val="Colorful List - Accent 12"/>
    <w:basedOn w:val="Normal"/>
    <w:uiPriority w:val="34"/>
    <w:qFormat/>
    <w:rsid w:val="00731B74"/>
    <w:pPr>
      <w:ind w:left="720"/>
      <w:contextualSpacing/>
    </w:pPr>
    <w:rPr>
      <w:rFonts w:eastAsia="Calibri" w:cs="Arial"/>
      <w:szCs w:val="22"/>
      <w:lang w:val="en-US"/>
    </w:rPr>
  </w:style>
  <w:style w:type="character" w:styleId="Emphasis">
    <w:name w:val="Emphasis"/>
    <w:qFormat/>
    <w:rsid w:val="00F837EB"/>
    <w:rPr>
      <w:i/>
      <w:iCs/>
    </w:rPr>
  </w:style>
  <w:style w:type="paragraph" w:styleId="NoSpacing">
    <w:name w:val="No Spacing"/>
    <w:link w:val="NoSpacingChar"/>
    <w:uiPriority w:val="1"/>
    <w:qFormat/>
    <w:rsid w:val="00F837EB"/>
    <w:rPr>
      <w:rFonts w:eastAsia="Times New Roman"/>
      <w:sz w:val="22"/>
      <w:szCs w:val="22"/>
      <w:lang w:val="en-US" w:eastAsia="en-US"/>
    </w:rPr>
  </w:style>
  <w:style w:type="character" w:customStyle="1" w:styleId="NoSpacingChar">
    <w:name w:val="No Spacing Char"/>
    <w:basedOn w:val="DefaultParagraphFont"/>
    <w:link w:val="NoSpacing"/>
    <w:uiPriority w:val="1"/>
    <w:rsid w:val="00F837EB"/>
    <w:rPr>
      <w:rFonts w:eastAsia="Times New Roman"/>
      <w:sz w:val="22"/>
      <w:szCs w:val="22"/>
      <w:lang w:val="en-US" w:eastAsia="en-US" w:bidi="ar-SA"/>
    </w:rPr>
  </w:style>
  <w:style w:type="paragraph" w:styleId="PlainText">
    <w:name w:val="Plain Text"/>
    <w:basedOn w:val="Normal"/>
    <w:link w:val="PlainTextChar"/>
    <w:uiPriority w:val="99"/>
    <w:unhideWhenUsed/>
    <w:rsid w:val="00F837EB"/>
    <w:rPr>
      <w:rFonts w:ascii="Consolas" w:eastAsia="Calibri" w:hAnsi="Consolas"/>
      <w:sz w:val="21"/>
      <w:szCs w:val="21"/>
      <w:lang w:val="en-AU" w:eastAsia="en-US"/>
    </w:rPr>
  </w:style>
  <w:style w:type="character" w:customStyle="1" w:styleId="PlainTextChar">
    <w:name w:val="Plain Text Char"/>
    <w:basedOn w:val="DefaultParagraphFont"/>
    <w:link w:val="PlainText"/>
    <w:uiPriority w:val="99"/>
    <w:rsid w:val="00F837EB"/>
    <w:rPr>
      <w:rFonts w:ascii="Consolas" w:hAnsi="Consolas"/>
      <w:sz w:val="21"/>
      <w:szCs w:val="21"/>
      <w:lang w:val="en-AU"/>
    </w:rPr>
  </w:style>
</w:styles>
</file>

<file path=word/webSettings.xml><?xml version="1.0" encoding="utf-8"?>
<w:webSettings xmlns:r="http://schemas.openxmlformats.org/officeDocument/2006/relationships" xmlns:w="http://schemas.openxmlformats.org/wordprocessingml/2006/main">
  <w:divs>
    <w:div w:id="25955491">
      <w:bodyDiv w:val="1"/>
      <w:marLeft w:val="0"/>
      <w:marRight w:val="0"/>
      <w:marTop w:val="0"/>
      <w:marBottom w:val="0"/>
      <w:divBdr>
        <w:top w:val="none" w:sz="0" w:space="0" w:color="auto"/>
        <w:left w:val="none" w:sz="0" w:space="0" w:color="auto"/>
        <w:bottom w:val="none" w:sz="0" w:space="0" w:color="auto"/>
        <w:right w:val="none" w:sz="0" w:space="0" w:color="auto"/>
      </w:divBdr>
    </w:div>
    <w:div w:id="33235919">
      <w:bodyDiv w:val="1"/>
      <w:marLeft w:val="0"/>
      <w:marRight w:val="0"/>
      <w:marTop w:val="0"/>
      <w:marBottom w:val="0"/>
      <w:divBdr>
        <w:top w:val="none" w:sz="0" w:space="0" w:color="auto"/>
        <w:left w:val="none" w:sz="0" w:space="0" w:color="auto"/>
        <w:bottom w:val="none" w:sz="0" w:space="0" w:color="auto"/>
        <w:right w:val="none" w:sz="0" w:space="0" w:color="auto"/>
      </w:divBdr>
    </w:div>
    <w:div w:id="62873779">
      <w:bodyDiv w:val="1"/>
      <w:marLeft w:val="0"/>
      <w:marRight w:val="0"/>
      <w:marTop w:val="0"/>
      <w:marBottom w:val="0"/>
      <w:divBdr>
        <w:top w:val="none" w:sz="0" w:space="0" w:color="auto"/>
        <w:left w:val="none" w:sz="0" w:space="0" w:color="auto"/>
        <w:bottom w:val="none" w:sz="0" w:space="0" w:color="auto"/>
        <w:right w:val="none" w:sz="0" w:space="0" w:color="auto"/>
      </w:divBdr>
    </w:div>
    <w:div w:id="81687695">
      <w:bodyDiv w:val="1"/>
      <w:marLeft w:val="0"/>
      <w:marRight w:val="0"/>
      <w:marTop w:val="0"/>
      <w:marBottom w:val="0"/>
      <w:divBdr>
        <w:top w:val="none" w:sz="0" w:space="0" w:color="auto"/>
        <w:left w:val="none" w:sz="0" w:space="0" w:color="auto"/>
        <w:bottom w:val="none" w:sz="0" w:space="0" w:color="auto"/>
        <w:right w:val="none" w:sz="0" w:space="0" w:color="auto"/>
      </w:divBdr>
    </w:div>
    <w:div w:id="134491618">
      <w:bodyDiv w:val="1"/>
      <w:marLeft w:val="0"/>
      <w:marRight w:val="0"/>
      <w:marTop w:val="0"/>
      <w:marBottom w:val="0"/>
      <w:divBdr>
        <w:top w:val="none" w:sz="0" w:space="0" w:color="auto"/>
        <w:left w:val="none" w:sz="0" w:space="0" w:color="auto"/>
        <w:bottom w:val="none" w:sz="0" w:space="0" w:color="auto"/>
        <w:right w:val="none" w:sz="0" w:space="0" w:color="auto"/>
      </w:divBdr>
    </w:div>
    <w:div w:id="228464983">
      <w:bodyDiv w:val="1"/>
      <w:marLeft w:val="0"/>
      <w:marRight w:val="0"/>
      <w:marTop w:val="0"/>
      <w:marBottom w:val="0"/>
      <w:divBdr>
        <w:top w:val="none" w:sz="0" w:space="0" w:color="auto"/>
        <w:left w:val="none" w:sz="0" w:space="0" w:color="auto"/>
        <w:bottom w:val="none" w:sz="0" w:space="0" w:color="auto"/>
        <w:right w:val="none" w:sz="0" w:space="0" w:color="auto"/>
      </w:divBdr>
    </w:div>
    <w:div w:id="233706048">
      <w:bodyDiv w:val="1"/>
      <w:marLeft w:val="0"/>
      <w:marRight w:val="0"/>
      <w:marTop w:val="0"/>
      <w:marBottom w:val="0"/>
      <w:divBdr>
        <w:top w:val="none" w:sz="0" w:space="0" w:color="auto"/>
        <w:left w:val="none" w:sz="0" w:space="0" w:color="auto"/>
        <w:bottom w:val="none" w:sz="0" w:space="0" w:color="auto"/>
        <w:right w:val="none" w:sz="0" w:space="0" w:color="auto"/>
      </w:divBdr>
    </w:div>
    <w:div w:id="303855655">
      <w:bodyDiv w:val="1"/>
      <w:marLeft w:val="0"/>
      <w:marRight w:val="0"/>
      <w:marTop w:val="0"/>
      <w:marBottom w:val="0"/>
      <w:divBdr>
        <w:top w:val="none" w:sz="0" w:space="0" w:color="auto"/>
        <w:left w:val="none" w:sz="0" w:space="0" w:color="auto"/>
        <w:bottom w:val="none" w:sz="0" w:space="0" w:color="auto"/>
        <w:right w:val="none" w:sz="0" w:space="0" w:color="auto"/>
      </w:divBdr>
    </w:div>
    <w:div w:id="366219466">
      <w:bodyDiv w:val="1"/>
      <w:marLeft w:val="0"/>
      <w:marRight w:val="0"/>
      <w:marTop w:val="0"/>
      <w:marBottom w:val="0"/>
      <w:divBdr>
        <w:top w:val="none" w:sz="0" w:space="0" w:color="auto"/>
        <w:left w:val="none" w:sz="0" w:space="0" w:color="auto"/>
        <w:bottom w:val="none" w:sz="0" w:space="0" w:color="auto"/>
        <w:right w:val="none" w:sz="0" w:space="0" w:color="auto"/>
      </w:divBdr>
      <w:divsChild>
        <w:div w:id="1370497007">
          <w:marLeft w:val="547"/>
          <w:marRight w:val="0"/>
          <w:marTop w:val="0"/>
          <w:marBottom w:val="0"/>
          <w:divBdr>
            <w:top w:val="none" w:sz="0" w:space="0" w:color="auto"/>
            <w:left w:val="none" w:sz="0" w:space="0" w:color="auto"/>
            <w:bottom w:val="none" w:sz="0" w:space="0" w:color="auto"/>
            <w:right w:val="none" w:sz="0" w:space="0" w:color="auto"/>
          </w:divBdr>
        </w:div>
      </w:divsChild>
    </w:div>
    <w:div w:id="411586768">
      <w:bodyDiv w:val="1"/>
      <w:marLeft w:val="0"/>
      <w:marRight w:val="0"/>
      <w:marTop w:val="0"/>
      <w:marBottom w:val="0"/>
      <w:divBdr>
        <w:top w:val="none" w:sz="0" w:space="0" w:color="auto"/>
        <w:left w:val="none" w:sz="0" w:space="0" w:color="auto"/>
        <w:bottom w:val="none" w:sz="0" w:space="0" w:color="auto"/>
        <w:right w:val="none" w:sz="0" w:space="0" w:color="auto"/>
      </w:divBdr>
    </w:div>
    <w:div w:id="448397381">
      <w:bodyDiv w:val="1"/>
      <w:marLeft w:val="0"/>
      <w:marRight w:val="0"/>
      <w:marTop w:val="0"/>
      <w:marBottom w:val="0"/>
      <w:divBdr>
        <w:top w:val="none" w:sz="0" w:space="0" w:color="auto"/>
        <w:left w:val="none" w:sz="0" w:space="0" w:color="auto"/>
        <w:bottom w:val="none" w:sz="0" w:space="0" w:color="auto"/>
        <w:right w:val="none" w:sz="0" w:space="0" w:color="auto"/>
      </w:divBdr>
    </w:div>
    <w:div w:id="477655076">
      <w:bodyDiv w:val="1"/>
      <w:marLeft w:val="0"/>
      <w:marRight w:val="0"/>
      <w:marTop w:val="0"/>
      <w:marBottom w:val="0"/>
      <w:divBdr>
        <w:top w:val="none" w:sz="0" w:space="0" w:color="auto"/>
        <w:left w:val="none" w:sz="0" w:space="0" w:color="auto"/>
        <w:bottom w:val="none" w:sz="0" w:space="0" w:color="auto"/>
        <w:right w:val="none" w:sz="0" w:space="0" w:color="auto"/>
      </w:divBdr>
    </w:div>
    <w:div w:id="505678706">
      <w:bodyDiv w:val="1"/>
      <w:marLeft w:val="0"/>
      <w:marRight w:val="0"/>
      <w:marTop w:val="0"/>
      <w:marBottom w:val="0"/>
      <w:divBdr>
        <w:top w:val="none" w:sz="0" w:space="0" w:color="auto"/>
        <w:left w:val="none" w:sz="0" w:space="0" w:color="auto"/>
        <w:bottom w:val="none" w:sz="0" w:space="0" w:color="auto"/>
        <w:right w:val="none" w:sz="0" w:space="0" w:color="auto"/>
      </w:divBdr>
      <w:divsChild>
        <w:div w:id="1843161226">
          <w:marLeft w:val="547"/>
          <w:marRight w:val="0"/>
          <w:marTop w:val="0"/>
          <w:marBottom w:val="0"/>
          <w:divBdr>
            <w:top w:val="none" w:sz="0" w:space="0" w:color="auto"/>
            <w:left w:val="none" w:sz="0" w:space="0" w:color="auto"/>
            <w:bottom w:val="none" w:sz="0" w:space="0" w:color="auto"/>
            <w:right w:val="none" w:sz="0" w:space="0" w:color="auto"/>
          </w:divBdr>
        </w:div>
      </w:divsChild>
    </w:div>
    <w:div w:id="551382458">
      <w:bodyDiv w:val="1"/>
      <w:marLeft w:val="0"/>
      <w:marRight w:val="0"/>
      <w:marTop w:val="0"/>
      <w:marBottom w:val="0"/>
      <w:divBdr>
        <w:top w:val="none" w:sz="0" w:space="0" w:color="auto"/>
        <w:left w:val="none" w:sz="0" w:space="0" w:color="auto"/>
        <w:bottom w:val="none" w:sz="0" w:space="0" w:color="auto"/>
        <w:right w:val="none" w:sz="0" w:space="0" w:color="auto"/>
      </w:divBdr>
    </w:div>
    <w:div w:id="598290994">
      <w:bodyDiv w:val="1"/>
      <w:marLeft w:val="0"/>
      <w:marRight w:val="0"/>
      <w:marTop w:val="0"/>
      <w:marBottom w:val="0"/>
      <w:divBdr>
        <w:top w:val="none" w:sz="0" w:space="0" w:color="auto"/>
        <w:left w:val="none" w:sz="0" w:space="0" w:color="auto"/>
        <w:bottom w:val="none" w:sz="0" w:space="0" w:color="auto"/>
        <w:right w:val="none" w:sz="0" w:space="0" w:color="auto"/>
      </w:divBdr>
    </w:div>
    <w:div w:id="604315555">
      <w:bodyDiv w:val="1"/>
      <w:marLeft w:val="0"/>
      <w:marRight w:val="0"/>
      <w:marTop w:val="0"/>
      <w:marBottom w:val="0"/>
      <w:divBdr>
        <w:top w:val="none" w:sz="0" w:space="0" w:color="auto"/>
        <w:left w:val="none" w:sz="0" w:space="0" w:color="auto"/>
        <w:bottom w:val="none" w:sz="0" w:space="0" w:color="auto"/>
        <w:right w:val="none" w:sz="0" w:space="0" w:color="auto"/>
      </w:divBdr>
    </w:div>
    <w:div w:id="704451093">
      <w:bodyDiv w:val="1"/>
      <w:marLeft w:val="0"/>
      <w:marRight w:val="0"/>
      <w:marTop w:val="0"/>
      <w:marBottom w:val="0"/>
      <w:divBdr>
        <w:top w:val="none" w:sz="0" w:space="0" w:color="auto"/>
        <w:left w:val="none" w:sz="0" w:space="0" w:color="auto"/>
        <w:bottom w:val="none" w:sz="0" w:space="0" w:color="auto"/>
        <w:right w:val="none" w:sz="0" w:space="0" w:color="auto"/>
      </w:divBdr>
    </w:div>
    <w:div w:id="744182324">
      <w:bodyDiv w:val="1"/>
      <w:marLeft w:val="0"/>
      <w:marRight w:val="0"/>
      <w:marTop w:val="0"/>
      <w:marBottom w:val="0"/>
      <w:divBdr>
        <w:top w:val="none" w:sz="0" w:space="0" w:color="auto"/>
        <w:left w:val="none" w:sz="0" w:space="0" w:color="auto"/>
        <w:bottom w:val="none" w:sz="0" w:space="0" w:color="auto"/>
        <w:right w:val="none" w:sz="0" w:space="0" w:color="auto"/>
      </w:divBdr>
    </w:div>
    <w:div w:id="813066353">
      <w:bodyDiv w:val="1"/>
      <w:marLeft w:val="0"/>
      <w:marRight w:val="0"/>
      <w:marTop w:val="0"/>
      <w:marBottom w:val="0"/>
      <w:divBdr>
        <w:top w:val="none" w:sz="0" w:space="0" w:color="auto"/>
        <w:left w:val="none" w:sz="0" w:space="0" w:color="auto"/>
        <w:bottom w:val="none" w:sz="0" w:space="0" w:color="auto"/>
        <w:right w:val="none" w:sz="0" w:space="0" w:color="auto"/>
      </w:divBdr>
    </w:div>
    <w:div w:id="829904769">
      <w:bodyDiv w:val="1"/>
      <w:marLeft w:val="0"/>
      <w:marRight w:val="0"/>
      <w:marTop w:val="0"/>
      <w:marBottom w:val="0"/>
      <w:divBdr>
        <w:top w:val="none" w:sz="0" w:space="0" w:color="auto"/>
        <w:left w:val="none" w:sz="0" w:space="0" w:color="auto"/>
        <w:bottom w:val="none" w:sz="0" w:space="0" w:color="auto"/>
        <w:right w:val="none" w:sz="0" w:space="0" w:color="auto"/>
      </w:divBdr>
    </w:div>
    <w:div w:id="855922747">
      <w:bodyDiv w:val="1"/>
      <w:marLeft w:val="0"/>
      <w:marRight w:val="0"/>
      <w:marTop w:val="0"/>
      <w:marBottom w:val="0"/>
      <w:divBdr>
        <w:top w:val="none" w:sz="0" w:space="0" w:color="auto"/>
        <w:left w:val="none" w:sz="0" w:space="0" w:color="auto"/>
        <w:bottom w:val="none" w:sz="0" w:space="0" w:color="auto"/>
        <w:right w:val="none" w:sz="0" w:space="0" w:color="auto"/>
      </w:divBdr>
    </w:div>
    <w:div w:id="867646314">
      <w:bodyDiv w:val="1"/>
      <w:marLeft w:val="0"/>
      <w:marRight w:val="0"/>
      <w:marTop w:val="0"/>
      <w:marBottom w:val="0"/>
      <w:divBdr>
        <w:top w:val="none" w:sz="0" w:space="0" w:color="auto"/>
        <w:left w:val="none" w:sz="0" w:space="0" w:color="auto"/>
        <w:bottom w:val="none" w:sz="0" w:space="0" w:color="auto"/>
        <w:right w:val="none" w:sz="0" w:space="0" w:color="auto"/>
      </w:divBdr>
    </w:div>
    <w:div w:id="867723096">
      <w:bodyDiv w:val="1"/>
      <w:marLeft w:val="0"/>
      <w:marRight w:val="0"/>
      <w:marTop w:val="0"/>
      <w:marBottom w:val="0"/>
      <w:divBdr>
        <w:top w:val="none" w:sz="0" w:space="0" w:color="auto"/>
        <w:left w:val="none" w:sz="0" w:space="0" w:color="auto"/>
        <w:bottom w:val="none" w:sz="0" w:space="0" w:color="auto"/>
        <w:right w:val="none" w:sz="0" w:space="0" w:color="auto"/>
      </w:divBdr>
    </w:div>
    <w:div w:id="877550113">
      <w:bodyDiv w:val="1"/>
      <w:marLeft w:val="0"/>
      <w:marRight w:val="0"/>
      <w:marTop w:val="0"/>
      <w:marBottom w:val="0"/>
      <w:divBdr>
        <w:top w:val="none" w:sz="0" w:space="0" w:color="auto"/>
        <w:left w:val="none" w:sz="0" w:space="0" w:color="auto"/>
        <w:bottom w:val="none" w:sz="0" w:space="0" w:color="auto"/>
        <w:right w:val="none" w:sz="0" w:space="0" w:color="auto"/>
      </w:divBdr>
    </w:div>
    <w:div w:id="902908461">
      <w:bodyDiv w:val="1"/>
      <w:marLeft w:val="0"/>
      <w:marRight w:val="0"/>
      <w:marTop w:val="0"/>
      <w:marBottom w:val="0"/>
      <w:divBdr>
        <w:top w:val="none" w:sz="0" w:space="0" w:color="auto"/>
        <w:left w:val="none" w:sz="0" w:space="0" w:color="auto"/>
        <w:bottom w:val="none" w:sz="0" w:space="0" w:color="auto"/>
        <w:right w:val="none" w:sz="0" w:space="0" w:color="auto"/>
      </w:divBdr>
    </w:div>
    <w:div w:id="964429125">
      <w:bodyDiv w:val="1"/>
      <w:marLeft w:val="0"/>
      <w:marRight w:val="0"/>
      <w:marTop w:val="0"/>
      <w:marBottom w:val="0"/>
      <w:divBdr>
        <w:top w:val="none" w:sz="0" w:space="0" w:color="auto"/>
        <w:left w:val="none" w:sz="0" w:space="0" w:color="auto"/>
        <w:bottom w:val="none" w:sz="0" w:space="0" w:color="auto"/>
        <w:right w:val="none" w:sz="0" w:space="0" w:color="auto"/>
      </w:divBdr>
    </w:div>
    <w:div w:id="988901845">
      <w:bodyDiv w:val="1"/>
      <w:marLeft w:val="0"/>
      <w:marRight w:val="0"/>
      <w:marTop w:val="0"/>
      <w:marBottom w:val="0"/>
      <w:divBdr>
        <w:top w:val="none" w:sz="0" w:space="0" w:color="auto"/>
        <w:left w:val="none" w:sz="0" w:space="0" w:color="auto"/>
        <w:bottom w:val="none" w:sz="0" w:space="0" w:color="auto"/>
        <w:right w:val="none" w:sz="0" w:space="0" w:color="auto"/>
      </w:divBdr>
    </w:div>
    <w:div w:id="1016880984">
      <w:bodyDiv w:val="1"/>
      <w:marLeft w:val="0"/>
      <w:marRight w:val="0"/>
      <w:marTop w:val="0"/>
      <w:marBottom w:val="0"/>
      <w:divBdr>
        <w:top w:val="none" w:sz="0" w:space="0" w:color="auto"/>
        <w:left w:val="none" w:sz="0" w:space="0" w:color="auto"/>
        <w:bottom w:val="none" w:sz="0" w:space="0" w:color="auto"/>
        <w:right w:val="none" w:sz="0" w:space="0" w:color="auto"/>
      </w:divBdr>
      <w:divsChild>
        <w:div w:id="680930409">
          <w:marLeft w:val="547"/>
          <w:marRight w:val="0"/>
          <w:marTop w:val="0"/>
          <w:marBottom w:val="0"/>
          <w:divBdr>
            <w:top w:val="none" w:sz="0" w:space="0" w:color="auto"/>
            <w:left w:val="none" w:sz="0" w:space="0" w:color="auto"/>
            <w:bottom w:val="none" w:sz="0" w:space="0" w:color="auto"/>
            <w:right w:val="none" w:sz="0" w:space="0" w:color="auto"/>
          </w:divBdr>
        </w:div>
      </w:divsChild>
    </w:div>
    <w:div w:id="1061948752">
      <w:bodyDiv w:val="1"/>
      <w:marLeft w:val="0"/>
      <w:marRight w:val="0"/>
      <w:marTop w:val="0"/>
      <w:marBottom w:val="0"/>
      <w:divBdr>
        <w:top w:val="none" w:sz="0" w:space="0" w:color="auto"/>
        <w:left w:val="none" w:sz="0" w:space="0" w:color="auto"/>
        <w:bottom w:val="none" w:sz="0" w:space="0" w:color="auto"/>
        <w:right w:val="none" w:sz="0" w:space="0" w:color="auto"/>
      </w:divBdr>
    </w:div>
    <w:div w:id="1191803230">
      <w:bodyDiv w:val="1"/>
      <w:marLeft w:val="0"/>
      <w:marRight w:val="0"/>
      <w:marTop w:val="0"/>
      <w:marBottom w:val="0"/>
      <w:divBdr>
        <w:top w:val="none" w:sz="0" w:space="0" w:color="auto"/>
        <w:left w:val="none" w:sz="0" w:space="0" w:color="auto"/>
        <w:bottom w:val="none" w:sz="0" w:space="0" w:color="auto"/>
        <w:right w:val="none" w:sz="0" w:space="0" w:color="auto"/>
      </w:divBdr>
    </w:div>
    <w:div w:id="1206061226">
      <w:bodyDiv w:val="1"/>
      <w:marLeft w:val="0"/>
      <w:marRight w:val="0"/>
      <w:marTop w:val="0"/>
      <w:marBottom w:val="0"/>
      <w:divBdr>
        <w:top w:val="none" w:sz="0" w:space="0" w:color="auto"/>
        <w:left w:val="none" w:sz="0" w:space="0" w:color="auto"/>
        <w:bottom w:val="none" w:sz="0" w:space="0" w:color="auto"/>
        <w:right w:val="none" w:sz="0" w:space="0" w:color="auto"/>
      </w:divBdr>
    </w:div>
    <w:div w:id="1297029622">
      <w:bodyDiv w:val="1"/>
      <w:marLeft w:val="0"/>
      <w:marRight w:val="0"/>
      <w:marTop w:val="0"/>
      <w:marBottom w:val="0"/>
      <w:divBdr>
        <w:top w:val="none" w:sz="0" w:space="0" w:color="auto"/>
        <w:left w:val="none" w:sz="0" w:space="0" w:color="auto"/>
        <w:bottom w:val="none" w:sz="0" w:space="0" w:color="auto"/>
        <w:right w:val="none" w:sz="0" w:space="0" w:color="auto"/>
      </w:divBdr>
    </w:div>
    <w:div w:id="1574393117">
      <w:bodyDiv w:val="1"/>
      <w:marLeft w:val="0"/>
      <w:marRight w:val="0"/>
      <w:marTop w:val="0"/>
      <w:marBottom w:val="0"/>
      <w:divBdr>
        <w:top w:val="none" w:sz="0" w:space="0" w:color="auto"/>
        <w:left w:val="none" w:sz="0" w:space="0" w:color="auto"/>
        <w:bottom w:val="none" w:sz="0" w:space="0" w:color="auto"/>
        <w:right w:val="none" w:sz="0" w:space="0" w:color="auto"/>
      </w:divBdr>
    </w:div>
    <w:div w:id="1633825683">
      <w:bodyDiv w:val="1"/>
      <w:marLeft w:val="0"/>
      <w:marRight w:val="0"/>
      <w:marTop w:val="0"/>
      <w:marBottom w:val="0"/>
      <w:divBdr>
        <w:top w:val="none" w:sz="0" w:space="0" w:color="auto"/>
        <w:left w:val="none" w:sz="0" w:space="0" w:color="auto"/>
        <w:bottom w:val="none" w:sz="0" w:space="0" w:color="auto"/>
        <w:right w:val="none" w:sz="0" w:space="0" w:color="auto"/>
      </w:divBdr>
    </w:div>
    <w:div w:id="1694065360">
      <w:bodyDiv w:val="1"/>
      <w:marLeft w:val="0"/>
      <w:marRight w:val="0"/>
      <w:marTop w:val="0"/>
      <w:marBottom w:val="0"/>
      <w:divBdr>
        <w:top w:val="none" w:sz="0" w:space="0" w:color="auto"/>
        <w:left w:val="none" w:sz="0" w:space="0" w:color="auto"/>
        <w:bottom w:val="none" w:sz="0" w:space="0" w:color="auto"/>
        <w:right w:val="none" w:sz="0" w:space="0" w:color="auto"/>
      </w:divBdr>
    </w:div>
    <w:div w:id="1730834631">
      <w:bodyDiv w:val="1"/>
      <w:marLeft w:val="0"/>
      <w:marRight w:val="0"/>
      <w:marTop w:val="0"/>
      <w:marBottom w:val="0"/>
      <w:divBdr>
        <w:top w:val="none" w:sz="0" w:space="0" w:color="auto"/>
        <w:left w:val="none" w:sz="0" w:space="0" w:color="auto"/>
        <w:bottom w:val="none" w:sz="0" w:space="0" w:color="auto"/>
        <w:right w:val="none" w:sz="0" w:space="0" w:color="auto"/>
      </w:divBdr>
    </w:div>
    <w:div w:id="1776707499">
      <w:bodyDiv w:val="1"/>
      <w:marLeft w:val="0"/>
      <w:marRight w:val="0"/>
      <w:marTop w:val="0"/>
      <w:marBottom w:val="0"/>
      <w:divBdr>
        <w:top w:val="none" w:sz="0" w:space="0" w:color="auto"/>
        <w:left w:val="none" w:sz="0" w:space="0" w:color="auto"/>
        <w:bottom w:val="none" w:sz="0" w:space="0" w:color="auto"/>
        <w:right w:val="none" w:sz="0" w:space="0" w:color="auto"/>
      </w:divBdr>
      <w:divsChild>
        <w:div w:id="1133132533">
          <w:marLeft w:val="547"/>
          <w:marRight w:val="0"/>
          <w:marTop w:val="0"/>
          <w:marBottom w:val="0"/>
          <w:divBdr>
            <w:top w:val="none" w:sz="0" w:space="0" w:color="auto"/>
            <w:left w:val="none" w:sz="0" w:space="0" w:color="auto"/>
            <w:bottom w:val="none" w:sz="0" w:space="0" w:color="auto"/>
            <w:right w:val="none" w:sz="0" w:space="0" w:color="auto"/>
          </w:divBdr>
        </w:div>
      </w:divsChild>
    </w:div>
    <w:div w:id="1805275439">
      <w:bodyDiv w:val="1"/>
      <w:marLeft w:val="0"/>
      <w:marRight w:val="0"/>
      <w:marTop w:val="0"/>
      <w:marBottom w:val="0"/>
      <w:divBdr>
        <w:top w:val="none" w:sz="0" w:space="0" w:color="auto"/>
        <w:left w:val="none" w:sz="0" w:space="0" w:color="auto"/>
        <w:bottom w:val="none" w:sz="0" w:space="0" w:color="auto"/>
        <w:right w:val="none" w:sz="0" w:space="0" w:color="auto"/>
      </w:divBdr>
    </w:div>
    <w:div w:id="1841197390">
      <w:bodyDiv w:val="1"/>
      <w:marLeft w:val="0"/>
      <w:marRight w:val="0"/>
      <w:marTop w:val="0"/>
      <w:marBottom w:val="0"/>
      <w:divBdr>
        <w:top w:val="none" w:sz="0" w:space="0" w:color="auto"/>
        <w:left w:val="none" w:sz="0" w:space="0" w:color="auto"/>
        <w:bottom w:val="none" w:sz="0" w:space="0" w:color="auto"/>
        <w:right w:val="none" w:sz="0" w:space="0" w:color="auto"/>
      </w:divBdr>
    </w:div>
    <w:div w:id="1905214943">
      <w:bodyDiv w:val="1"/>
      <w:marLeft w:val="0"/>
      <w:marRight w:val="0"/>
      <w:marTop w:val="0"/>
      <w:marBottom w:val="0"/>
      <w:divBdr>
        <w:top w:val="none" w:sz="0" w:space="0" w:color="auto"/>
        <w:left w:val="none" w:sz="0" w:space="0" w:color="auto"/>
        <w:bottom w:val="none" w:sz="0" w:space="0" w:color="auto"/>
        <w:right w:val="none" w:sz="0" w:space="0" w:color="auto"/>
      </w:divBdr>
    </w:div>
    <w:div w:id="1966351479">
      <w:bodyDiv w:val="1"/>
      <w:marLeft w:val="0"/>
      <w:marRight w:val="0"/>
      <w:marTop w:val="0"/>
      <w:marBottom w:val="0"/>
      <w:divBdr>
        <w:top w:val="none" w:sz="0" w:space="0" w:color="auto"/>
        <w:left w:val="none" w:sz="0" w:space="0" w:color="auto"/>
        <w:bottom w:val="none" w:sz="0" w:space="0" w:color="auto"/>
        <w:right w:val="none" w:sz="0" w:space="0" w:color="auto"/>
      </w:divBdr>
    </w:div>
    <w:div w:id="2094431788">
      <w:bodyDiv w:val="1"/>
      <w:marLeft w:val="0"/>
      <w:marRight w:val="0"/>
      <w:marTop w:val="0"/>
      <w:marBottom w:val="0"/>
      <w:divBdr>
        <w:top w:val="none" w:sz="0" w:space="0" w:color="auto"/>
        <w:left w:val="none" w:sz="0" w:space="0" w:color="auto"/>
        <w:bottom w:val="none" w:sz="0" w:space="0" w:color="auto"/>
        <w:right w:val="none" w:sz="0" w:space="0" w:color="auto"/>
      </w:divBdr>
    </w:div>
    <w:div w:id="209848173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doNotSaveAsSingleFile/>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HSFP@gavialliance.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21270</Words>
  <Characters>121240</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142226</CharactersWithSpaces>
  <SharedDoc>false</SharedDoc>
  <HLinks>
    <vt:vector size="198" baseType="variant">
      <vt:variant>
        <vt:i4>5701749</vt:i4>
      </vt:variant>
      <vt:variant>
        <vt:i4>189</vt:i4>
      </vt:variant>
      <vt:variant>
        <vt:i4>0</vt:i4>
      </vt:variant>
      <vt:variant>
        <vt:i4>5</vt:i4>
      </vt:variant>
      <vt:variant>
        <vt:lpwstr>mailto:afisah.zakariah@moh.gov.gh</vt:lpwstr>
      </vt:variant>
      <vt:variant>
        <vt:lpwstr/>
      </vt:variant>
      <vt:variant>
        <vt:i4>1114164</vt:i4>
      </vt:variant>
      <vt:variant>
        <vt:i4>182</vt:i4>
      </vt:variant>
      <vt:variant>
        <vt:i4>0</vt:i4>
      </vt:variant>
      <vt:variant>
        <vt:i4>5</vt:i4>
      </vt:variant>
      <vt:variant>
        <vt:lpwstr/>
      </vt:variant>
      <vt:variant>
        <vt:lpwstr>_Toc377545417</vt:lpwstr>
      </vt:variant>
      <vt:variant>
        <vt:i4>1114164</vt:i4>
      </vt:variant>
      <vt:variant>
        <vt:i4>176</vt:i4>
      </vt:variant>
      <vt:variant>
        <vt:i4>0</vt:i4>
      </vt:variant>
      <vt:variant>
        <vt:i4>5</vt:i4>
      </vt:variant>
      <vt:variant>
        <vt:lpwstr/>
      </vt:variant>
      <vt:variant>
        <vt:lpwstr>_Toc377545415</vt:lpwstr>
      </vt:variant>
      <vt:variant>
        <vt:i4>1114164</vt:i4>
      </vt:variant>
      <vt:variant>
        <vt:i4>170</vt:i4>
      </vt:variant>
      <vt:variant>
        <vt:i4>0</vt:i4>
      </vt:variant>
      <vt:variant>
        <vt:i4>5</vt:i4>
      </vt:variant>
      <vt:variant>
        <vt:lpwstr/>
      </vt:variant>
      <vt:variant>
        <vt:lpwstr>_Toc377545414</vt:lpwstr>
      </vt:variant>
      <vt:variant>
        <vt:i4>1114164</vt:i4>
      </vt:variant>
      <vt:variant>
        <vt:i4>164</vt:i4>
      </vt:variant>
      <vt:variant>
        <vt:i4>0</vt:i4>
      </vt:variant>
      <vt:variant>
        <vt:i4>5</vt:i4>
      </vt:variant>
      <vt:variant>
        <vt:lpwstr/>
      </vt:variant>
      <vt:variant>
        <vt:lpwstr>_Toc377545413</vt:lpwstr>
      </vt:variant>
      <vt:variant>
        <vt:i4>1114164</vt:i4>
      </vt:variant>
      <vt:variant>
        <vt:i4>158</vt:i4>
      </vt:variant>
      <vt:variant>
        <vt:i4>0</vt:i4>
      </vt:variant>
      <vt:variant>
        <vt:i4>5</vt:i4>
      </vt:variant>
      <vt:variant>
        <vt:lpwstr/>
      </vt:variant>
      <vt:variant>
        <vt:lpwstr>_Toc377545412</vt:lpwstr>
      </vt:variant>
      <vt:variant>
        <vt:i4>1114164</vt:i4>
      </vt:variant>
      <vt:variant>
        <vt:i4>152</vt:i4>
      </vt:variant>
      <vt:variant>
        <vt:i4>0</vt:i4>
      </vt:variant>
      <vt:variant>
        <vt:i4>5</vt:i4>
      </vt:variant>
      <vt:variant>
        <vt:lpwstr/>
      </vt:variant>
      <vt:variant>
        <vt:lpwstr>_Toc377545411</vt:lpwstr>
      </vt:variant>
      <vt:variant>
        <vt:i4>1114164</vt:i4>
      </vt:variant>
      <vt:variant>
        <vt:i4>146</vt:i4>
      </vt:variant>
      <vt:variant>
        <vt:i4>0</vt:i4>
      </vt:variant>
      <vt:variant>
        <vt:i4>5</vt:i4>
      </vt:variant>
      <vt:variant>
        <vt:lpwstr/>
      </vt:variant>
      <vt:variant>
        <vt:lpwstr>_Toc377545410</vt:lpwstr>
      </vt:variant>
      <vt:variant>
        <vt:i4>1048628</vt:i4>
      </vt:variant>
      <vt:variant>
        <vt:i4>140</vt:i4>
      </vt:variant>
      <vt:variant>
        <vt:i4>0</vt:i4>
      </vt:variant>
      <vt:variant>
        <vt:i4>5</vt:i4>
      </vt:variant>
      <vt:variant>
        <vt:lpwstr/>
      </vt:variant>
      <vt:variant>
        <vt:lpwstr>_Toc377545409</vt:lpwstr>
      </vt:variant>
      <vt:variant>
        <vt:i4>1048628</vt:i4>
      </vt:variant>
      <vt:variant>
        <vt:i4>134</vt:i4>
      </vt:variant>
      <vt:variant>
        <vt:i4>0</vt:i4>
      </vt:variant>
      <vt:variant>
        <vt:i4>5</vt:i4>
      </vt:variant>
      <vt:variant>
        <vt:lpwstr/>
      </vt:variant>
      <vt:variant>
        <vt:lpwstr>_Toc377545408</vt:lpwstr>
      </vt:variant>
      <vt:variant>
        <vt:i4>1048628</vt:i4>
      </vt:variant>
      <vt:variant>
        <vt:i4>128</vt:i4>
      </vt:variant>
      <vt:variant>
        <vt:i4>0</vt:i4>
      </vt:variant>
      <vt:variant>
        <vt:i4>5</vt:i4>
      </vt:variant>
      <vt:variant>
        <vt:lpwstr/>
      </vt:variant>
      <vt:variant>
        <vt:lpwstr>_Toc377545407</vt:lpwstr>
      </vt:variant>
      <vt:variant>
        <vt:i4>1048628</vt:i4>
      </vt:variant>
      <vt:variant>
        <vt:i4>122</vt:i4>
      </vt:variant>
      <vt:variant>
        <vt:i4>0</vt:i4>
      </vt:variant>
      <vt:variant>
        <vt:i4>5</vt:i4>
      </vt:variant>
      <vt:variant>
        <vt:lpwstr/>
      </vt:variant>
      <vt:variant>
        <vt:lpwstr>_Toc377545406</vt:lpwstr>
      </vt:variant>
      <vt:variant>
        <vt:i4>1048628</vt:i4>
      </vt:variant>
      <vt:variant>
        <vt:i4>116</vt:i4>
      </vt:variant>
      <vt:variant>
        <vt:i4>0</vt:i4>
      </vt:variant>
      <vt:variant>
        <vt:i4>5</vt:i4>
      </vt:variant>
      <vt:variant>
        <vt:lpwstr/>
      </vt:variant>
      <vt:variant>
        <vt:lpwstr>_Toc377545405</vt:lpwstr>
      </vt:variant>
      <vt:variant>
        <vt:i4>1048628</vt:i4>
      </vt:variant>
      <vt:variant>
        <vt:i4>110</vt:i4>
      </vt:variant>
      <vt:variant>
        <vt:i4>0</vt:i4>
      </vt:variant>
      <vt:variant>
        <vt:i4>5</vt:i4>
      </vt:variant>
      <vt:variant>
        <vt:lpwstr/>
      </vt:variant>
      <vt:variant>
        <vt:lpwstr>_Toc377545404</vt:lpwstr>
      </vt:variant>
      <vt:variant>
        <vt:i4>1048628</vt:i4>
      </vt:variant>
      <vt:variant>
        <vt:i4>104</vt:i4>
      </vt:variant>
      <vt:variant>
        <vt:i4>0</vt:i4>
      </vt:variant>
      <vt:variant>
        <vt:i4>5</vt:i4>
      </vt:variant>
      <vt:variant>
        <vt:lpwstr/>
      </vt:variant>
      <vt:variant>
        <vt:lpwstr>_Toc377545403</vt:lpwstr>
      </vt:variant>
      <vt:variant>
        <vt:i4>1048628</vt:i4>
      </vt:variant>
      <vt:variant>
        <vt:i4>98</vt:i4>
      </vt:variant>
      <vt:variant>
        <vt:i4>0</vt:i4>
      </vt:variant>
      <vt:variant>
        <vt:i4>5</vt:i4>
      </vt:variant>
      <vt:variant>
        <vt:lpwstr/>
      </vt:variant>
      <vt:variant>
        <vt:lpwstr>_Toc377545402</vt:lpwstr>
      </vt:variant>
      <vt:variant>
        <vt:i4>1048628</vt:i4>
      </vt:variant>
      <vt:variant>
        <vt:i4>92</vt:i4>
      </vt:variant>
      <vt:variant>
        <vt:i4>0</vt:i4>
      </vt:variant>
      <vt:variant>
        <vt:i4>5</vt:i4>
      </vt:variant>
      <vt:variant>
        <vt:lpwstr/>
      </vt:variant>
      <vt:variant>
        <vt:lpwstr>_Toc377545401</vt:lpwstr>
      </vt:variant>
      <vt:variant>
        <vt:i4>1048628</vt:i4>
      </vt:variant>
      <vt:variant>
        <vt:i4>86</vt:i4>
      </vt:variant>
      <vt:variant>
        <vt:i4>0</vt:i4>
      </vt:variant>
      <vt:variant>
        <vt:i4>5</vt:i4>
      </vt:variant>
      <vt:variant>
        <vt:lpwstr/>
      </vt:variant>
      <vt:variant>
        <vt:lpwstr>_Toc377545400</vt:lpwstr>
      </vt:variant>
      <vt:variant>
        <vt:i4>1638451</vt:i4>
      </vt:variant>
      <vt:variant>
        <vt:i4>80</vt:i4>
      </vt:variant>
      <vt:variant>
        <vt:i4>0</vt:i4>
      </vt:variant>
      <vt:variant>
        <vt:i4>5</vt:i4>
      </vt:variant>
      <vt:variant>
        <vt:lpwstr/>
      </vt:variant>
      <vt:variant>
        <vt:lpwstr>_Toc377545398</vt:lpwstr>
      </vt:variant>
      <vt:variant>
        <vt:i4>1638451</vt:i4>
      </vt:variant>
      <vt:variant>
        <vt:i4>74</vt:i4>
      </vt:variant>
      <vt:variant>
        <vt:i4>0</vt:i4>
      </vt:variant>
      <vt:variant>
        <vt:i4>5</vt:i4>
      </vt:variant>
      <vt:variant>
        <vt:lpwstr/>
      </vt:variant>
      <vt:variant>
        <vt:lpwstr>_Toc377545397</vt:lpwstr>
      </vt:variant>
      <vt:variant>
        <vt:i4>1572915</vt:i4>
      </vt:variant>
      <vt:variant>
        <vt:i4>68</vt:i4>
      </vt:variant>
      <vt:variant>
        <vt:i4>0</vt:i4>
      </vt:variant>
      <vt:variant>
        <vt:i4>5</vt:i4>
      </vt:variant>
      <vt:variant>
        <vt:lpwstr/>
      </vt:variant>
      <vt:variant>
        <vt:lpwstr>_Toc377545388</vt:lpwstr>
      </vt:variant>
      <vt:variant>
        <vt:i4>1572915</vt:i4>
      </vt:variant>
      <vt:variant>
        <vt:i4>62</vt:i4>
      </vt:variant>
      <vt:variant>
        <vt:i4>0</vt:i4>
      </vt:variant>
      <vt:variant>
        <vt:i4>5</vt:i4>
      </vt:variant>
      <vt:variant>
        <vt:lpwstr/>
      </vt:variant>
      <vt:variant>
        <vt:lpwstr>_Toc377545387</vt:lpwstr>
      </vt:variant>
      <vt:variant>
        <vt:i4>1572915</vt:i4>
      </vt:variant>
      <vt:variant>
        <vt:i4>56</vt:i4>
      </vt:variant>
      <vt:variant>
        <vt:i4>0</vt:i4>
      </vt:variant>
      <vt:variant>
        <vt:i4>5</vt:i4>
      </vt:variant>
      <vt:variant>
        <vt:lpwstr/>
      </vt:variant>
      <vt:variant>
        <vt:lpwstr>_Toc377545382</vt:lpwstr>
      </vt:variant>
      <vt:variant>
        <vt:i4>1572915</vt:i4>
      </vt:variant>
      <vt:variant>
        <vt:i4>50</vt:i4>
      </vt:variant>
      <vt:variant>
        <vt:i4>0</vt:i4>
      </vt:variant>
      <vt:variant>
        <vt:i4>5</vt:i4>
      </vt:variant>
      <vt:variant>
        <vt:lpwstr/>
      </vt:variant>
      <vt:variant>
        <vt:lpwstr>_Toc377545381</vt:lpwstr>
      </vt:variant>
      <vt:variant>
        <vt:i4>1572915</vt:i4>
      </vt:variant>
      <vt:variant>
        <vt:i4>44</vt:i4>
      </vt:variant>
      <vt:variant>
        <vt:i4>0</vt:i4>
      </vt:variant>
      <vt:variant>
        <vt:i4>5</vt:i4>
      </vt:variant>
      <vt:variant>
        <vt:lpwstr/>
      </vt:variant>
      <vt:variant>
        <vt:lpwstr>_Toc377545380</vt:lpwstr>
      </vt:variant>
      <vt:variant>
        <vt:i4>1638450</vt:i4>
      </vt:variant>
      <vt:variant>
        <vt:i4>38</vt:i4>
      </vt:variant>
      <vt:variant>
        <vt:i4>0</vt:i4>
      </vt:variant>
      <vt:variant>
        <vt:i4>5</vt:i4>
      </vt:variant>
      <vt:variant>
        <vt:lpwstr/>
      </vt:variant>
      <vt:variant>
        <vt:lpwstr>_Toc377545293</vt:lpwstr>
      </vt:variant>
      <vt:variant>
        <vt:i4>1048626</vt:i4>
      </vt:variant>
      <vt:variant>
        <vt:i4>32</vt:i4>
      </vt:variant>
      <vt:variant>
        <vt:i4>0</vt:i4>
      </vt:variant>
      <vt:variant>
        <vt:i4>5</vt:i4>
      </vt:variant>
      <vt:variant>
        <vt:lpwstr/>
      </vt:variant>
      <vt:variant>
        <vt:lpwstr>_Toc377545209</vt:lpwstr>
      </vt:variant>
      <vt:variant>
        <vt:i4>1048626</vt:i4>
      </vt:variant>
      <vt:variant>
        <vt:i4>26</vt:i4>
      </vt:variant>
      <vt:variant>
        <vt:i4>0</vt:i4>
      </vt:variant>
      <vt:variant>
        <vt:i4>5</vt:i4>
      </vt:variant>
      <vt:variant>
        <vt:lpwstr/>
      </vt:variant>
      <vt:variant>
        <vt:lpwstr>_Toc377545208</vt:lpwstr>
      </vt:variant>
      <vt:variant>
        <vt:i4>1048626</vt:i4>
      </vt:variant>
      <vt:variant>
        <vt:i4>20</vt:i4>
      </vt:variant>
      <vt:variant>
        <vt:i4>0</vt:i4>
      </vt:variant>
      <vt:variant>
        <vt:i4>5</vt:i4>
      </vt:variant>
      <vt:variant>
        <vt:lpwstr/>
      </vt:variant>
      <vt:variant>
        <vt:lpwstr>_Toc377545207</vt:lpwstr>
      </vt:variant>
      <vt:variant>
        <vt:i4>1638449</vt:i4>
      </vt:variant>
      <vt:variant>
        <vt:i4>14</vt:i4>
      </vt:variant>
      <vt:variant>
        <vt:i4>0</vt:i4>
      </vt:variant>
      <vt:variant>
        <vt:i4>5</vt:i4>
      </vt:variant>
      <vt:variant>
        <vt:lpwstr/>
      </vt:variant>
      <vt:variant>
        <vt:lpwstr>_Toc377545191</vt:lpwstr>
      </vt:variant>
      <vt:variant>
        <vt:i4>1638449</vt:i4>
      </vt:variant>
      <vt:variant>
        <vt:i4>8</vt:i4>
      </vt:variant>
      <vt:variant>
        <vt:i4>0</vt:i4>
      </vt:variant>
      <vt:variant>
        <vt:i4>5</vt:i4>
      </vt:variant>
      <vt:variant>
        <vt:lpwstr/>
      </vt:variant>
      <vt:variant>
        <vt:lpwstr>_Toc377545190</vt:lpwstr>
      </vt:variant>
      <vt:variant>
        <vt:i4>1572913</vt:i4>
      </vt:variant>
      <vt:variant>
        <vt:i4>2</vt:i4>
      </vt:variant>
      <vt:variant>
        <vt:i4>0</vt:i4>
      </vt:variant>
      <vt:variant>
        <vt:i4>5</vt:i4>
      </vt:variant>
      <vt:variant>
        <vt:lpwstr/>
      </vt:variant>
      <vt:variant>
        <vt:lpwstr>_Toc377545189</vt:lpwstr>
      </vt:variant>
      <vt:variant>
        <vt:i4>2228235</vt:i4>
      </vt:variant>
      <vt:variant>
        <vt:i4>0</vt:i4>
      </vt:variant>
      <vt:variant>
        <vt:i4>0</vt:i4>
      </vt:variant>
      <vt:variant>
        <vt:i4>5</vt:i4>
      </vt:variant>
      <vt:variant>
        <vt:lpwstr>mailto:HSFP@gavialliance.org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2014-01-15T22:03:00Z</cp:lastPrinted>
  <dcterms:created xsi:type="dcterms:W3CDTF">2014-02-20T20:41:00Z</dcterms:created>
  <dcterms:modified xsi:type="dcterms:W3CDTF">2014-02-20T21:21:00Z</dcterms:modified>
</cp:coreProperties>
</file>