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6A" w:rsidRPr="00CD78C7" w:rsidRDefault="00407661" w:rsidP="00A803E6">
      <w:pPr>
        <w:jc w:val="both"/>
        <w:rPr>
          <w:rFonts w:ascii="Arial" w:hAnsi="Arial" w:cs="Arial"/>
          <w:b/>
          <w:bCs/>
          <w:lang w:val="en-GB"/>
        </w:rPr>
      </w:pPr>
      <w:r>
        <w:rPr>
          <w:rFonts w:ascii="Arial" w:hAnsi="Arial" w:cs="Arial"/>
          <w:b/>
          <w:bCs/>
          <w:lang w:val="en-GB"/>
        </w:rPr>
        <w:t xml:space="preserve">I. </w:t>
      </w:r>
      <w:r w:rsidR="003F4C27" w:rsidRPr="00CD78C7">
        <w:rPr>
          <w:rFonts w:ascii="Arial" w:hAnsi="Arial" w:cs="Arial"/>
          <w:b/>
          <w:bCs/>
          <w:lang w:val="en-GB"/>
        </w:rPr>
        <w:t>General C</w:t>
      </w:r>
      <w:r>
        <w:rPr>
          <w:rFonts w:ascii="Arial" w:hAnsi="Arial" w:cs="Arial"/>
          <w:b/>
          <w:bCs/>
          <w:lang w:val="en-GB"/>
        </w:rPr>
        <w:t>larification</w:t>
      </w:r>
      <w:r w:rsidR="003F4C27" w:rsidRPr="00CD78C7">
        <w:rPr>
          <w:rFonts w:ascii="Arial" w:hAnsi="Arial" w:cs="Arial"/>
          <w:b/>
          <w:bCs/>
          <w:lang w:val="en-GB"/>
        </w:rPr>
        <w:t>:</w:t>
      </w:r>
    </w:p>
    <w:p w:rsidR="003F4C27" w:rsidRPr="00CD78C7" w:rsidRDefault="003F4C27" w:rsidP="00CD78C7">
      <w:pPr>
        <w:ind w:firstLine="450"/>
        <w:jc w:val="both"/>
        <w:rPr>
          <w:rFonts w:ascii="Arial" w:hAnsi="Arial" w:cs="Arial"/>
          <w:b/>
          <w:bCs/>
          <w:i/>
          <w:lang w:val="en-GB"/>
        </w:rPr>
      </w:pPr>
      <w:r w:rsidRPr="00CD78C7">
        <w:rPr>
          <w:rFonts w:ascii="Arial" w:hAnsi="Arial" w:cs="Arial"/>
          <w:b/>
          <w:bCs/>
          <w:i/>
          <w:lang w:val="en-GB"/>
        </w:rPr>
        <w:t>2. Composition of functioning of the HSCC</w:t>
      </w:r>
    </w:p>
    <w:p w:rsidR="003F4C27" w:rsidRDefault="003F4C27" w:rsidP="003F4C27">
      <w:pPr>
        <w:pStyle w:val="Default"/>
        <w:spacing w:line="276" w:lineRule="auto"/>
        <w:jc w:val="both"/>
        <w:rPr>
          <w:sz w:val="22"/>
          <w:szCs w:val="22"/>
        </w:rPr>
      </w:pPr>
      <w:r w:rsidRPr="007A02CB">
        <w:rPr>
          <w:sz w:val="22"/>
          <w:szCs w:val="22"/>
        </w:rPr>
        <w:t>The Joint Core Co</w:t>
      </w:r>
      <w:r>
        <w:rPr>
          <w:sz w:val="22"/>
          <w:szCs w:val="22"/>
        </w:rPr>
        <w:t xml:space="preserve">nsultative Forum </w:t>
      </w:r>
      <w:r w:rsidR="00CD78C7">
        <w:rPr>
          <w:sz w:val="22"/>
          <w:szCs w:val="22"/>
        </w:rPr>
        <w:t>(JCF</w:t>
      </w:r>
      <w:r w:rsidRPr="007A02CB">
        <w:rPr>
          <w:sz w:val="22"/>
          <w:szCs w:val="22"/>
        </w:rPr>
        <w:t xml:space="preserve">) is the equivalent of the HSCC. </w:t>
      </w:r>
      <w:r w:rsidR="00CD78C7">
        <w:rPr>
          <w:sz w:val="22"/>
          <w:szCs w:val="22"/>
        </w:rPr>
        <w:t>Joint Core Coordinating Committee (JCCC)</w:t>
      </w:r>
      <w:r w:rsidRPr="007A02CB">
        <w:rPr>
          <w:sz w:val="22"/>
          <w:szCs w:val="22"/>
        </w:rPr>
        <w:t xml:space="preserve"> works as the technical arm of the JCF. Together </w:t>
      </w:r>
      <w:r w:rsidRPr="007A02CB">
        <w:rPr>
          <w:bCs/>
          <w:sz w:val="22"/>
          <w:szCs w:val="22"/>
        </w:rPr>
        <w:t>they represent the framework for the dialogue</w:t>
      </w:r>
      <w:r w:rsidR="00CD78C7">
        <w:rPr>
          <w:bCs/>
          <w:sz w:val="22"/>
          <w:szCs w:val="22"/>
        </w:rPr>
        <w:t xml:space="preserve"> and </w:t>
      </w:r>
      <w:r w:rsidR="00CD78C7" w:rsidRPr="007A02CB">
        <w:rPr>
          <w:bCs/>
          <w:sz w:val="22"/>
          <w:szCs w:val="22"/>
        </w:rPr>
        <w:t xml:space="preserve">governance </w:t>
      </w:r>
      <w:r w:rsidR="00CD78C7">
        <w:rPr>
          <w:bCs/>
          <w:sz w:val="22"/>
          <w:szCs w:val="22"/>
        </w:rPr>
        <w:t xml:space="preserve">for HSPD including </w:t>
      </w:r>
      <w:r w:rsidRPr="007A02CB">
        <w:rPr>
          <w:bCs/>
          <w:sz w:val="22"/>
          <w:szCs w:val="22"/>
        </w:rPr>
        <w:t xml:space="preserve">the MDG Fund. </w:t>
      </w:r>
      <w:r w:rsidRPr="007A02CB">
        <w:rPr>
          <w:sz w:val="22"/>
          <w:szCs w:val="22"/>
        </w:rPr>
        <w:t>The major functions of the JCCC are to give operational oversight and monitor the implementation of all pooled funds including the Health Pooled Fund, GAVI, MDG PF. It will also undertake other technical assignments as instructed by JCF. In addition JCCC will analyze and agree to FMOH recommendations on allocation or reprogramming of funding. It also reviews quarterly financial and activity plans and reports of MDG PF and GAVI HSS</w:t>
      </w:r>
      <w:r w:rsidR="00CD78C7">
        <w:rPr>
          <w:sz w:val="22"/>
          <w:szCs w:val="22"/>
        </w:rPr>
        <w:t xml:space="preserve"> and submit to JCF.</w:t>
      </w:r>
    </w:p>
    <w:p w:rsidR="00CD78C7" w:rsidRPr="007A02CB" w:rsidRDefault="00CD78C7" w:rsidP="003F4C27">
      <w:pPr>
        <w:pStyle w:val="Default"/>
        <w:spacing w:line="276" w:lineRule="auto"/>
        <w:jc w:val="both"/>
        <w:rPr>
          <w:color w:val="0000FF"/>
          <w:sz w:val="22"/>
          <w:szCs w:val="22"/>
          <w:u w:val="single"/>
        </w:rPr>
      </w:pPr>
    </w:p>
    <w:p w:rsidR="00CD78C7" w:rsidRPr="007A02CB" w:rsidRDefault="00CD78C7" w:rsidP="00CD78C7">
      <w:pPr>
        <w:pStyle w:val="ListParagraph"/>
        <w:numPr>
          <w:ilvl w:val="0"/>
          <w:numId w:val="7"/>
        </w:numPr>
        <w:contextualSpacing w:val="0"/>
        <w:rPr>
          <w:rFonts w:ascii="Arial" w:hAnsi="Arial" w:cs="Arial"/>
          <w:bCs/>
          <w:i/>
          <w:iCs/>
          <w:sz w:val="22"/>
          <w:szCs w:val="22"/>
        </w:rPr>
      </w:pPr>
      <w:r w:rsidRPr="007A02CB">
        <w:rPr>
          <w:rFonts w:ascii="Arial" w:hAnsi="Arial" w:cs="Arial"/>
          <w:bCs/>
          <w:i/>
          <w:iCs/>
          <w:sz w:val="22"/>
          <w:szCs w:val="22"/>
        </w:rPr>
        <w:t>Monitoring and Evaluation/Performance Framework</w:t>
      </w:r>
    </w:p>
    <w:p w:rsidR="003F4C27" w:rsidRDefault="00CA73DF" w:rsidP="00A803E6">
      <w:pPr>
        <w:jc w:val="both"/>
        <w:rPr>
          <w:rFonts w:ascii="Arial" w:hAnsi="Arial" w:cs="Arial"/>
          <w:bCs/>
          <w:lang w:val="en-GB"/>
        </w:rPr>
      </w:pPr>
      <w:r>
        <w:rPr>
          <w:rFonts w:ascii="Arial" w:hAnsi="Arial" w:cs="Arial"/>
          <w:bCs/>
          <w:lang w:val="en-GB"/>
        </w:rPr>
        <w:t>On the M&amp;E framework for HSDP IV, there are only output and outcome indicators are included as the document is a strategy document. The intermediate indicators are included in the annual operational plans and also specific proposals like the one sent to GAVI.</w:t>
      </w:r>
    </w:p>
    <w:p w:rsidR="00900D82" w:rsidRDefault="00900D82" w:rsidP="00A803E6">
      <w:pPr>
        <w:jc w:val="both"/>
        <w:rPr>
          <w:rFonts w:ascii="Arial" w:hAnsi="Arial" w:cs="Arial"/>
          <w:bCs/>
          <w:lang w:val="en-GB"/>
        </w:rPr>
      </w:pPr>
    </w:p>
    <w:p w:rsidR="00900D82" w:rsidRPr="007A02CB" w:rsidRDefault="00900D82" w:rsidP="00900D82">
      <w:pPr>
        <w:ind w:left="360"/>
        <w:rPr>
          <w:rFonts w:ascii="Arial" w:hAnsi="Arial" w:cs="Arial"/>
          <w:color w:val="FF0000"/>
          <w:lang w:val="en-GB"/>
        </w:rPr>
      </w:pPr>
      <w:r w:rsidRPr="007A02CB">
        <w:rPr>
          <w:rFonts w:ascii="Arial" w:hAnsi="Arial" w:cs="Arial"/>
          <w:b/>
          <w:color w:val="FF0000"/>
          <w:lang w:val="en-GB"/>
        </w:rPr>
        <w:t>Note to the country:</w:t>
      </w:r>
      <w:r w:rsidRPr="007A02CB">
        <w:rPr>
          <w:rFonts w:ascii="Arial" w:hAnsi="Arial" w:cs="Arial"/>
          <w:color w:val="FF0000"/>
          <w:lang w:val="en-GB"/>
        </w:rPr>
        <w:t xml:space="preserve"> The country is strongly encouraged to programme mid- and end of programme evaluations so as to assess the extent to which the desired health system is actually occurring. </w:t>
      </w:r>
    </w:p>
    <w:p w:rsidR="00900D82" w:rsidRDefault="00900D82" w:rsidP="00A803E6">
      <w:pPr>
        <w:jc w:val="both"/>
        <w:rPr>
          <w:rFonts w:ascii="Arial" w:hAnsi="Arial" w:cs="Arial"/>
          <w:bCs/>
          <w:lang w:val="en-GB"/>
        </w:rPr>
      </w:pPr>
      <w:r>
        <w:rPr>
          <w:rFonts w:ascii="Arial" w:hAnsi="Arial" w:cs="Arial"/>
          <w:bCs/>
          <w:lang w:val="en-GB"/>
        </w:rPr>
        <w:t xml:space="preserve">The country has its own evaluation systems which includes midterm review, and final evaluations of HSDP, Joint review Missions and different surveys including facility surveys which will assess the progress of MDGs. The health systems are part and parcel of these studies and as the impact on program outcomes is very valid the progress on the system is closely followed. </w:t>
      </w:r>
    </w:p>
    <w:p w:rsidR="00900D82" w:rsidRDefault="00900D82" w:rsidP="00A803E6">
      <w:pPr>
        <w:jc w:val="both"/>
        <w:rPr>
          <w:rFonts w:ascii="Arial" w:hAnsi="Arial" w:cs="Arial"/>
          <w:bCs/>
          <w:lang w:val="en-GB"/>
        </w:rPr>
      </w:pPr>
    </w:p>
    <w:p w:rsidR="00900D82" w:rsidRDefault="00407661" w:rsidP="00A803E6">
      <w:pPr>
        <w:jc w:val="both"/>
        <w:rPr>
          <w:rFonts w:ascii="Arial" w:hAnsi="Arial" w:cs="Arial"/>
          <w:b/>
          <w:bCs/>
          <w:lang w:val="en-GB"/>
        </w:rPr>
      </w:pPr>
      <w:r w:rsidRPr="00407661">
        <w:rPr>
          <w:rFonts w:ascii="Arial" w:hAnsi="Arial" w:cs="Arial"/>
          <w:b/>
          <w:bCs/>
          <w:lang w:val="en-GB"/>
        </w:rPr>
        <w:t xml:space="preserve">II. </w:t>
      </w:r>
      <w:r w:rsidR="00900D82" w:rsidRPr="00407661">
        <w:rPr>
          <w:rFonts w:ascii="Arial" w:hAnsi="Arial" w:cs="Arial"/>
          <w:b/>
          <w:bCs/>
          <w:lang w:val="en-GB"/>
        </w:rPr>
        <w:t>Specific C</w:t>
      </w:r>
      <w:r>
        <w:rPr>
          <w:rFonts w:ascii="Arial" w:hAnsi="Arial" w:cs="Arial"/>
          <w:b/>
          <w:bCs/>
          <w:lang w:val="en-GB"/>
        </w:rPr>
        <w:t>larifications</w:t>
      </w:r>
      <w:r w:rsidR="00900D82" w:rsidRPr="00407661">
        <w:rPr>
          <w:rFonts w:ascii="Arial" w:hAnsi="Arial" w:cs="Arial"/>
          <w:b/>
          <w:bCs/>
          <w:lang w:val="en-GB"/>
        </w:rPr>
        <w:t xml:space="preserve"> on the specific recommendations and requested clarifications</w:t>
      </w:r>
      <w:r>
        <w:rPr>
          <w:rFonts w:ascii="Arial" w:hAnsi="Arial" w:cs="Arial"/>
          <w:b/>
          <w:bCs/>
          <w:lang w:val="en-GB"/>
        </w:rPr>
        <w:t xml:space="preserve"> points</w:t>
      </w:r>
      <w:r w:rsidR="00900D82" w:rsidRPr="00407661">
        <w:rPr>
          <w:rFonts w:ascii="Arial" w:hAnsi="Arial" w:cs="Arial"/>
          <w:b/>
          <w:bCs/>
          <w:lang w:val="en-GB"/>
        </w:rPr>
        <w:t>:</w:t>
      </w:r>
    </w:p>
    <w:p w:rsidR="00407661" w:rsidRPr="00407661" w:rsidRDefault="00407661" w:rsidP="00A803E6">
      <w:pPr>
        <w:jc w:val="both"/>
        <w:rPr>
          <w:rFonts w:ascii="Arial" w:hAnsi="Arial" w:cs="Arial"/>
          <w:b/>
          <w:bCs/>
          <w:lang w:val="en-GB"/>
        </w:rPr>
      </w:pPr>
    </w:p>
    <w:p w:rsidR="00B11DC9" w:rsidRPr="00D5380D" w:rsidRDefault="006E36E0" w:rsidP="00A803E6">
      <w:pPr>
        <w:pStyle w:val="ListBullet"/>
        <w:numPr>
          <w:ilvl w:val="0"/>
          <w:numId w:val="5"/>
        </w:numPr>
        <w:jc w:val="both"/>
        <w:rPr>
          <w:rFonts w:cs="Arial"/>
          <w:b/>
          <w:sz w:val="22"/>
          <w:lang w:val="en-GB"/>
        </w:rPr>
      </w:pPr>
      <w:r w:rsidRPr="00D5380D">
        <w:rPr>
          <w:rFonts w:cs="Arial"/>
          <w:b/>
          <w:sz w:val="22"/>
          <w:lang w:val="en-GB"/>
        </w:rPr>
        <w:t xml:space="preserve">Clarification of the discrepancy in budget figures for cold chain and vehicles between cMYP and HSS Proposal </w:t>
      </w:r>
    </w:p>
    <w:p w:rsidR="006E36E0" w:rsidRDefault="006E36E0" w:rsidP="00A803E6">
      <w:pPr>
        <w:pStyle w:val="ListBullet"/>
        <w:numPr>
          <w:ilvl w:val="0"/>
          <w:numId w:val="0"/>
        </w:numPr>
        <w:jc w:val="both"/>
        <w:rPr>
          <w:rFonts w:eastAsia="Times New Roman" w:cs="Arial"/>
          <w:sz w:val="22"/>
        </w:rPr>
      </w:pPr>
      <w:r w:rsidRPr="003575F9">
        <w:rPr>
          <w:rFonts w:cs="Arial"/>
          <w:sz w:val="22"/>
          <w:lang w:val="en-GB"/>
        </w:rPr>
        <w:t xml:space="preserve">It was clearly seen that there is a huge budget gap identified in cMYP and HSFP proposal specific to cold chain part. The cMYP document somewhat missed to incorporate the comprehensive cold chain rehabilitation plan. Recognizing that the </w:t>
      </w:r>
      <w:r w:rsidR="001C4BFD">
        <w:rPr>
          <w:rFonts w:cs="Arial"/>
          <w:sz w:val="22"/>
          <w:lang w:val="en-GB"/>
        </w:rPr>
        <w:t>Health Promotion and Disease Prevention Directorate (</w:t>
      </w:r>
      <w:r w:rsidRPr="003575F9">
        <w:rPr>
          <w:rFonts w:cs="Arial"/>
          <w:sz w:val="22"/>
          <w:lang w:val="en-GB"/>
        </w:rPr>
        <w:t>HPDP</w:t>
      </w:r>
      <w:r w:rsidR="001C4BFD">
        <w:rPr>
          <w:rFonts w:cs="Arial"/>
          <w:sz w:val="22"/>
          <w:lang w:val="en-GB"/>
        </w:rPr>
        <w:t>)</w:t>
      </w:r>
      <w:r w:rsidRPr="003575F9">
        <w:rPr>
          <w:rFonts w:cs="Arial"/>
          <w:sz w:val="22"/>
          <w:lang w:val="en-GB"/>
        </w:rPr>
        <w:t xml:space="preserve"> called the TWG who worked on cMYP earlier to discuss on the way forward. The TWG decided that this is a big gap and the document needs to be revised at this point without waiting for its time to end. Accordingly the cold chain part </w:t>
      </w:r>
      <w:r w:rsidRPr="003575F9">
        <w:rPr>
          <w:rFonts w:eastAsia="Times New Roman" w:cs="Arial"/>
          <w:sz w:val="22"/>
        </w:rPr>
        <w:t xml:space="preserve"> </w:t>
      </w:r>
      <w:r w:rsidRPr="003575F9">
        <w:rPr>
          <w:rFonts w:cs="Arial"/>
          <w:sz w:val="22"/>
          <w:lang w:val="en-GB"/>
        </w:rPr>
        <w:t xml:space="preserve"> together with its budget is </w:t>
      </w:r>
      <w:r w:rsidRPr="003575F9">
        <w:rPr>
          <w:rFonts w:eastAsia="Times New Roman" w:cs="Arial"/>
          <w:sz w:val="22"/>
        </w:rPr>
        <w:t>revised and endorsed by the ICC.  Please find the attached minutes of ICC and the revised document.</w:t>
      </w:r>
    </w:p>
    <w:p w:rsidR="00407661" w:rsidRPr="003575F9" w:rsidRDefault="00407661" w:rsidP="00A803E6">
      <w:pPr>
        <w:pStyle w:val="ListBullet"/>
        <w:numPr>
          <w:ilvl w:val="0"/>
          <w:numId w:val="0"/>
        </w:numPr>
        <w:jc w:val="both"/>
        <w:rPr>
          <w:rFonts w:eastAsia="Times New Roman" w:cs="Arial"/>
          <w:sz w:val="22"/>
        </w:rPr>
      </w:pPr>
    </w:p>
    <w:p w:rsidR="006E36E0" w:rsidRDefault="006E36E0" w:rsidP="00A803E6">
      <w:pPr>
        <w:pStyle w:val="ListBullet"/>
        <w:numPr>
          <w:ilvl w:val="0"/>
          <w:numId w:val="5"/>
        </w:numPr>
        <w:jc w:val="both"/>
        <w:rPr>
          <w:rFonts w:cs="Arial"/>
          <w:b/>
          <w:sz w:val="22"/>
          <w:lang w:val="en-GB"/>
        </w:rPr>
      </w:pPr>
      <w:r w:rsidRPr="00D5380D">
        <w:rPr>
          <w:rFonts w:cs="Arial"/>
          <w:b/>
          <w:sz w:val="22"/>
          <w:lang w:val="en-GB"/>
        </w:rPr>
        <w:t>Clarification of the very high unit costs for trucks, the training cost per participant and EMR.</w:t>
      </w:r>
    </w:p>
    <w:p w:rsidR="009E2BDD" w:rsidRDefault="009E2BDD" w:rsidP="009E2BDD">
      <w:pPr>
        <w:pStyle w:val="ListBullet"/>
        <w:numPr>
          <w:ilvl w:val="0"/>
          <w:numId w:val="0"/>
        </w:numPr>
        <w:jc w:val="both"/>
        <w:rPr>
          <w:rFonts w:cs="Arial"/>
          <w:sz w:val="22"/>
          <w:lang w:val="en-GB"/>
        </w:rPr>
      </w:pPr>
      <w:r w:rsidRPr="00677118">
        <w:rPr>
          <w:rFonts w:cs="Arial"/>
          <w:sz w:val="22"/>
          <w:lang w:val="en-GB"/>
        </w:rPr>
        <w:t xml:space="preserve">The cost for the EMR is defined based on the standard materials specification and the least price based on the specification given. Most of the procurement cost estimation information is collected from PFSA, a procurement agency under the ministry.  Accordingly, as it is described </w:t>
      </w:r>
      <w:r w:rsidRPr="00677118">
        <w:rPr>
          <w:rFonts w:cs="Arial"/>
          <w:sz w:val="22"/>
          <w:lang w:val="en-GB"/>
        </w:rPr>
        <w:lastRenderedPageBreak/>
        <w:t>in the</w:t>
      </w:r>
      <w:r>
        <w:rPr>
          <w:rFonts w:cs="Arial"/>
          <w:sz w:val="22"/>
          <w:lang w:val="en-GB"/>
        </w:rPr>
        <w:t xml:space="preserve"> Annex 1 T</w:t>
      </w:r>
      <w:r w:rsidRPr="00677118">
        <w:rPr>
          <w:rFonts w:cs="Arial"/>
          <w:sz w:val="22"/>
          <w:lang w:val="en-GB"/>
        </w:rPr>
        <w:t>able 1 attached, for the given material specification and quantity, a unit cost is provided. This unit cost is defined after conducting a market analysis of the potential suppliers and taking the least price.</w:t>
      </w:r>
    </w:p>
    <w:p w:rsidR="009E2BDD" w:rsidRDefault="009E2BDD" w:rsidP="009E2BDD">
      <w:pPr>
        <w:pStyle w:val="ListBullet"/>
        <w:numPr>
          <w:ilvl w:val="0"/>
          <w:numId w:val="0"/>
        </w:numPr>
        <w:ind w:left="360" w:hanging="360"/>
        <w:jc w:val="both"/>
        <w:rPr>
          <w:rFonts w:cs="Arial"/>
          <w:sz w:val="22"/>
          <w:lang w:val="en-GB"/>
        </w:rPr>
      </w:pPr>
    </w:p>
    <w:p w:rsidR="009E2BDD" w:rsidRPr="00677118" w:rsidRDefault="009E2BDD" w:rsidP="009E2BDD">
      <w:pPr>
        <w:pStyle w:val="ListBullet"/>
        <w:numPr>
          <w:ilvl w:val="0"/>
          <w:numId w:val="0"/>
        </w:numPr>
        <w:jc w:val="both"/>
        <w:rPr>
          <w:rFonts w:cs="Arial"/>
          <w:sz w:val="22"/>
          <w:lang w:val="en-GB"/>
        </w:rPr>
      </w:pPr>
      <w:r w:rsidRPr="00677118">
        <w:rPr>
          <w:rFonts w:cs="Arial"/>
          <w:sz w:val="22"/>
          <w:lang w:val="en-GB"/>
        </w:rPr>
        <w:t xml:space="preserve">With regard to the </w:t>
      </w:r>
      <w:r>
        <w:rPr>
          <w:rFonts w:cs="Arial"/>
          <w:sz w:val="22"/>
          <w:lang w:val="en-GB"/>
        </w:rPr>
        <w:t xml:space="preserve">cost of the </w:t>
      </w:r>
      <w:r w:rsidRPr="00677118">
        <w:rPr>
          <w:rFonts w:cs="Arial"/>
          <w:sz w:val="22"/>
          <w:lang w:val="en-GB"/>
        </w:rPr>
        <w:t>refrigerated truck, according to the information from PFSA, we are planning to procure IVECO, 2009 model refrigerated truck. The cost estimation is made from a website (</w:t>
      </w:r>
      <w:hyperlink r:id="rId7" w:tgtFrame="_blank" w:history="1">
        <w:r w:rsidRPr="00677118">
          <w:rPr>
            <w:rStyle w:val="yshortcuts"/>
            <w:color w:val="0000FF"/>
            <w:sz w:val="22"/>
            <w:u w:val="single"/>
          </w:rPr>
          <w:t>http://www.trucksales.com.au/buy/details.aspx</w:t>
        </w:r>
      </w:hyperlink>
      <w:r w:rsidRPr="00677118">
        <w:rPr>
          <w:sz w:val="22"/>
        </w:rPr>
        <w:t>) for the budgeting purpose.</w:t>
      </w:r>
      <w:r w:rsidRPr="00677118">
        <w:rPr>
          <w:rFonts w:cs="Arial"/>
          <w:sz w:val="22"/>
          <w:lang w:val="en-GB"/>
        </w:rPr>
        <w:t xml:space="preserve"> </w:t>
      </w:r>
      <w:r>
        <w:rPr>
          <w:rFonts w:cs="Arial"/>
          <w:sz w:val="22"/>
          <w:lang w:val="en-GB"/>
        </w:rPr>
        <w:t>These trucks are going to serve transportation of vaccines from the centre to all regions.</w:t>
      </w:r>
    </w:p>
    <w:p w:rsidR="009E2BDD" w:rsidRPr="00A803E6" w:rsidRDefault="009E2BDD" w:rsidP="009E2BDD">
      <w:pPr>
        <w:pStyle w:val="ListBullet"/>
        <w:numPr>
          <w:ilvl w:val="0"/>
          <w:numId w:val="0"/>
        </w:numPr>
        <w:ind w:left="360" w:hanging="360"/>
        <w:jc w:val="both"/>
        <w:rPr>
          <w:rFonts w:cs="Arial"/>
          <w:sz w:val="22"/>
          <w:lang w:val="en-GB"/>
        </w:rPr>
      </w:pPr>
    </w:p>
    <w:p w:rsidR="009E2BDD" w:rsidRDefault="009E2BDD" w:rsidP="009E2BDD">
      <w:pPr>
        <w:pStyle w:val="ListBullet"/>
        <w:numPr>
          <w:ilvl w:val="0"/>
          <w:numId w:val="0"/>
        </w:numPr>
        <w:jc w:val="both"/>
        <w:rPr>
          <w:rFonts w:cs="Arial"/>
          <w:sz w:val="22"/>
          <w:lang w:val="en-GB"/>
        </w:rPr>
      </w:pPr>
      <w:r w:rsidRPr="00A803E6">
        <w:rPr>
          <w:rFonts w:cs="Arial"/>
          <w:sz w:val="22"/>
          <w:lang w:val="en-GB"/>
        </w:rPr>
        <w:t>The training cost per participant (277USD) given in the proposal includes the perdiem, transportation, stationeries, refreshment and other costs</w:t>
      </w:r>
      <w:r>
        <w:rPr>
          <w:rFonts w:cs="Arial"/>
          <w:sz w:val="22"/>
          <w:lang w:val="en-GB"/>
        </w:rPr>
        <w:t xml:space="preserve"> of the training calculated </w:t>
      </w:r>
      <w:r w:rsidRPr="00A803E6">
        <w:rPr>
          <w:rFonts w:cs="Arial"/>
          <w:sz w:val="22"/>
          <w:lang w:val="en-GB"/>
        </w:rPr>
        <w:t xml:space="preserve">per participant. The estimation is made by </w:t>
      </w:r>
      <w:r>
        <w:rPr>
          <w:rFonts w:cs="Arial"/>
          <w:sz w:val="22"/>
          <w:lang w:val="en-GB"/>
        </w:rPr>
        <w:t xml:space="preserve">applying </w:t>
      </w:r>
      <w:r w:rsidRPr="00A803E6">
        <w:rPr>
          <w:rFonts w:cs="Arial"/>
          <w:sz w:val="22"/>
          <w:lang w:val="en-GB"/>
        </w:rPr>
        <w:t xml:space="preserve">the government rules </w:t>
      </w:r>
      <w:r>
        <w:rPr>
          <w:rFonts w:cs="Arial"/>
          <w:sz w:val="22"/>
          <w:lang w:val="en-GB"/>
        </w:rPr>
        <w:t xml:space="preserve">of </w:t>
      </w:r>
      <w:r w:rsidRPr="00A803E6">
        <w:rPr>
          <w:rFonts w:cs="Arial"/>
          <w:sz w:val="22"/>
          <w:lang w:val="en-GB"/>
        </w:rPr>
        <w:t xml:space="preserve">payment to participants </w:t>
      </w:r>
      <w:r>
        <w:rPr>
          <w:rFonts w:cs="Arial"/>
          <w:sz w:val="22"/>
          <w:lang w:val="en-GB"/>
        </w:rPr>
        <w:t xml:space="preserve">during </w:t>
      </w:r>
      <w:r w:rsidRPr="00A803E6">
        <w:rPr>
          <w:rFonts w:cs="Arial"/>
          <w:sz w:val="22"/>
          <w:lang w:val="en-GB"/>
        </w:rPr>
        <w:t>training</w:t>
      </w:r>
      <w:r>
        <w:rPr>
          <w:rFonts w:cs="Arial"/>
          <w:sz w:val="22"/>
          <w:lang w:val="en-GB"/>
        </w:rPr>
        <w:t>s</w:t>
      </w:r>
      <w:r w:rsidRPr="00A803E6">
        <w:rPr>
          <w:rFonts w:cs="Arial"/>
          <w:sz w:val="22"/>
          <w:lang w:val="en-GB"/>
        </w:rPr>
        <w:t xml:space="preserve">. Please see </w:t>
      </w:r>
      <w:r>
        <w:rPr>
          <w:rFonts w:cs="Arial"/>
          <w:sz w:val="22"/>
          <w:lang w:val="en-GB"/>
        </w:rPr>
        <w:t xml:space="preserve">the </w:t>
      </w:r>
      <w:r w:rsidRPr="00A803E6">
        <w:rPr>
          <w:rFonts w:cs="Arial"/>
          <w:sz w:val="22"/>
          <w:lang w:val="en-GB"/>
        </w:rPr>
        <w:t xml:space="preserve">table 2 </w:t>
      </w:r>
      <w:r>
        <w:rPr>
          <w:rFonts w:cs="Arial"/>
          <w:sz w:val="22"/>
          <w:lang w:val="en-GB"/>
        </w:rPr>
        <w:t xml:space="preserve">in Annex 2 </w:t>
      </w:r>
      <w:r w:rsidRPr="00A803E6">
        <w:rPr>
          <w:rFonts w:cs="Arial"/>
          <w:sz w:val="22"/>
          <w:lang w:val="en-GB"/>
        </w:rPr>
        <w:t>attached</w:t>
      </w:r>
      <w:r>
        <w:rPr>
          <w:rFonts w:cs="Arial"/>
          <w:sz w:val="22"/>
          <w:lang w:val="en-GB"/>
        </w:rPr>
        <w:t>.</w:t>
      </w:r>
    </w:p>
    <w:p w:rsidR="009E2BDD" w:rsidRPr="00D5380D" w:rsidRDefault="009E2BDD" w:rsidP="009E2BDD">
      <w:pPr>
        <w:pStyle w:val="ListBullet"/>
        <w:numPr>
          <w:ilvl w:val="0"/>
          <w:numId w:val="0"/>
        </w:numPr>
        <w:jc w:val="both"/>
        <w:rPr>
          <w:rFonts w:cs="Arial"/>
          <w:b/>
          <w:sz w:val="22"/>
          <w:lang w:val="en-GB"/>
        </w:rPr>
      </w:pPr>
    </w:p>
    <w:p w:rsidR="006E36E0" w:rsidRPr="00A803E6" w:rsidRDefault="006E36E0" w:rsidP="00A803E6">
      <w:pPr>
        <w:pStyle w:val="ListBullet"/>
        <w:numPr>
          <w:ilvl w:val="0"/>
          <w:numId w:val="0"/>
        </w:numPr>
        <w:ind w:left="360"/>
        <w:jc w:val="both"/>
        <w:rPr>
          <w:rFonts w:cs="Arial"/>
          <w:sz w:val="22"/>
          <w:lang w:val="en-GB"/>
        </w:rPr>
      </w:pPr>
    </w:p>
    <w:p w:rsidR="006E36E0" w:rsidRPr="00A803E6" w:rsidRDefault="006E36E0" w:rsidP="00A803E6">
      <w:pPr>
        <w:pStyle w:val="ListBullet"/>
        <w:numPr>
          <w:ilvl w:val="0"/>
          <w:numId w:val="5"/>
        </w:numPr>
        <w:jc w:val="both"/>
        <w:rPr>
          <w:rFonts w:cs="Arial"/>
          <w:b/>
          <w:sz w:val="22"/>
          <w:lang w:val="en-GB"/>
        </w:rPr>
      </w:pPr>
      <w:r w:rsidRPr="00A803E6">
        <w:rPr>
          <w:rFonts w:cs="Arial"/>
          <w:b/>
          <w:sz w:val="22"/>
          <w:lang w:val="en-GB"/>
        </w:rPr>
        <w:t>Operational details and benefits of m-Health</w:t>
      </w:r>
    </w:p>
    <w:p w:rsidR="009E2BDD" w:rsidRPr="009E2BDD" w:rsidRDefault="009E2BDD" w:rsidP="009E2BDD">
      <w:pPr>
        <w:autoSpaceDE w:val="0"/>
        <w:autoSpaceDN w:val="0"/>
        <w:adjustRightInd w:val="0"/>
        <w:jc w:val="both"/>
        <w:rPr>
          <w:rFonts w:ascii="Arial" w:hAnsi="Arial" w:cs="Arial"/>
          <w:lang w:val="en-GB"/>
        </w:rPr>
      </w:pPr>
      <w:r w:rsidRPr="009E2BDD">
        <w:rPr>
          <w:rFonts w:ascii="Arial" w:hAnsi="Arial" w:cs="Arial"/>
          <w:lang w:val="en-GB"/>
        </w:rPr>
        <w:t>mHealth or the use of mobile and wireless technologies as a strategy to support the achievement of global health objectives such as the Millennium Development Goals and Health Systems Strengthening, is rapidly advancing throughout the world.  It has been seen in other countries that mHealth Program leverages to improve the maternal and child health interventions through facilitation of timely data exchange.  In addition, mHealth is believed to be the centre pivot in supply chain management.</w:t>
      </w:r>
    </w:p>
    <w:p w:rsidR="009E2BDD" w:rsidRPr="009E2BDD" w:rsidRDefault="009E2BDD" w:rsidP="009E2BDD">
      <w:pPr>
        <w:pStyle w:val="ListParagraph"/>
        <w:autoSpaceDE w:val="0"/>
        <w:autoSpaceDN w:val="0"/>
        <w:adjustRightInd w:val="0"/>
        <w:ind w:firstLine="0"/>
        <w:jc w:val="both"/>
        <w:rPr>
          <w:rFonts w:ascii="Arial" w:hAnsi="Arial" w:cs="Arial"/>
          <w:b w:val="0"/>
          <w:sz w:val="22"/>
          <w:szCs w:val="22"/>
          <w:lang w:val="en-GB"/>
        </w:rPr>
      </w:pPr>
    </w:p>
    <w:p w:rsidR="009E2BDD" w:rsidRPr="009E2BDD" w:rsidRDefault="009E2BDD" w:rsidP="009E2BDD">
      <w:pPr>
        <w:autoSpaceDE w:val="0"/>
        <w:autoSpaceDN w:val="0"/>
        <w:adjustRightInd w:val="0"/>
        <w:jc w:val="both"/>
        <w:rPr>
          <w:rFonts w:ascii="Arial" w:hAnsi="Arial" w:cs="Arial"/>
          <w:lang w:val="en-GB"/>
        </w:rPr>
      </w:pPr>
      <w:r w:rsidRPr="009E2BDD">
        <w:rPr>
          <w:rFonts w:ascii="Arial" w:hAnsi="Arial" w:cs="Arial"/>
          <w:lang w:val="en-GB"/>
        </w:rPr>
        <w:t xml:space="preserve">In Ethiopia, HEWs are the center in the data flow between the community, health posts and health center/Woreda health office. Timely data flow between these different actors determines timely technical and logistic support for HEWs during different occasions, including cold chain dysfunctions thereby prevent vaccine wastages and missed opportunities in the provision of different services at the health posts. A study conducted by vital wave consulting confirmed the feasibility of mobile technologies in the health sector programs specially those interventions who have women at their centre.  </w:t>
      </w:r>
    </w:p>
    <w:p w:rsidR="009E2BDD" w:rsidRPr="00A803E6" w:rsidRDefault="009E2BDD" w:rsidP="009E2BDD">
      <w:pPr>
        <w:pStyle w:val="Default"/>
        <w:spacing w:line="276" w:lineRule="auto"/>
        <w:ind w:left="720"/>
        <w:jc w:val="both"/>
        <w:rPr>
          <w:sz w:val="22"/>
          <w:szCs w:val="22"/>
        </w:rPr>
      </w:pPr>
    </w:p>
    <w:p w:rsidR="009E2BDD" w:rsidRDefault="009E2BDD" w:rsidP="009E2BDD">
      <w:pPr>
        <w:pStyle w:val="Default"/>
        <w:spacing w:line="276" w:lineRule="auto"/>
        <w:jc w:val="both"/>
        <w:rPr>
          <w:sz w:val="22"/>
          <w:szCs w:val="22"/>
        </w:rPr>
      </w:pPr>
      <w:r w:rsidRPr="00A803E6">
        <w:rPr>
          <w:sz w:val="22"/>
          <w:szCs w:val="22"/>
        </w:rPr>
        <w:t xml:space="preserve">This feasibility study of mHealth in Ethiopia is based on telecommunication and electricity coverage, HEWs mobile ownership, communication and data flow system in the health sector and other parameters. Moreover, more researches are being conducted in the country by Addis Abeba University and </w:t>
      </w:r>
      <w:r>
        <w:rPr>
          <w:sz w:val="22"/>
          <w:szCs w:val="22"/>
        </w:rPr>
        <w:t xml:space="preserve">more than 12 </w:t>
      </w:r>
      <w:r w:rsidRPr="00A803E6">
        <w:rPr>
          <w:sz w:val="22"/>
          <w:szCs w:val="22"/>
        </w:rPr>
        <w:t>other development partners to further evaluate the tool and define the operational details for scale up</w:t>
      </w:r>
      <w:r>
        <w:rPr>
          <w:sz w:val="22"/>
          <w:szCs w:val="22"/>
        </w:rPr>
        <w:t xml:space="preserve">. Many other studies, published in PubMed, conducted in rural Malawi, Uganda, South Africa and other developing countries have revealed the positive contribution of mHealth in; saving the time of CHWs and health professionals in communication and visiting a health institution for reporting, improvement in logistic management and positive outcome in maternal and child health interventions.  </w:t>
      </w:r>
    </w:p>
    <w:p w:rsidR="009E2BDD" w:rsidRDefault="009E2BDD" w:rsidP="009E2BDD">
      <w:pPr>
        <w:pStyle w:val="Default"/>
        <w:spacing w:line="276" w:lineRule="auto"/>
        <w:ind w:left="720"/>
        <w:jc w:val="both"/>
        <w:rPr>
          <w:sz w:val="22"/>
          <w:szCs w:val="22"/>
        </w:rPr>
      </w:pPr>
    </w:p>
    <w:p w:rsidR="009E2BDD" w:rsidRDefault="009E2BDD" w:rsidP="009E2BDD">
      <w:pPr>
        <w:pStyle w:val="Default"/>
        <w:spacing w:line="276" w:lineRule="auto"/>
        <w:jc w:val="both"/>
        <w:rPr>
          <w:sz w:val="22"/>
          <w:szCs w:val="22"/>
        </w:rPr>
      </w:pPr>
      <w:r>
        <w:rPr>
          <w:sz w:val="22"/>
          <w:szCs w:val="22"/>
        </w:rPr>
        <w:t xml:space="preserve">In Ethiopia, the major information and communication related health systems bottlenecks identified so far includes; geographical barriers which resulted in  delays to submit reports/get feedback, delays in getting technical and logistic support from Woreda health office and </w:t>
      </w:r>
      <w:r>
        <w:rPr>
          <w:sz w:val="22"/>
          <w:szCs w:val="22"/>
        </w:rPr>
        <w:lastRenderedPageBreak/>
        <w:t>supervisors and delays in facilitation of referral especially for maternal and child health related problems. So far, specific to vaccination services, these health systems bottlenecks have caused substantial delays in supply of different vaccines and logistics for immunization activities at the health posts and delays the technical support from health extension supervisors to solve the issues related to cold chain dysfunction on timely basis.</w:t>
      </w:r>
      <w:r w:rsidRPr="00D3504A">
        <w:rPr>
          <w:sz w:val="22"/>
          <w:szCs w:val="22"/>
        </w:rPr>
        <w:t xml:space="preserve"> </w:t>
      </w:r>
      <w:r w:rsidRPr="007C5538">
        <w:rPr>
          <w:color w:val="auto"/>
          <w:sz w:val="22"/>
          <w:szCs w:val="22"/>
        </w:rPr>
        <w:t>In addition, in urban areas where there is significant mobile ownership by the community, mHealth could be a tool to remind mothers on different service schedules including immunization, ANC etc.</w:t>
      </w:r>
      <w:r w:rsidRPr="00D3504A">
        <w:rPr>
          <w:sz w:val="22"/>
          <w:szCs w:val="22"/>
        </w:rPr>
        <w:t xml:space="preserve"> </w:t>
      </w:r>
    </w:p>
    <w:p w:rsidR="009E2BDD" w:rsidRDefault="009E2BDD" w:rsidP="009E2BDD">
      <w:pPr>
        <w:pStyle w:val="Default"/>
        <w:spacing w:line="276" w:lineRule="auto"/>
        <w:ind w:left="720"/>
        <w:jc w:val="both"/>
        <w:rPr>
          <w:sz w:val="22"/>
          <w:szCs w:val="22"/>
        </w:rPr>
      </w:pPr>
    </w:p>
    <w:p w:rsidR="009E2BDD" w:rsidRPr="00A803E6" w:rsidRDefault="009E2BDD" w:rsidP="009E2BDD">
      <w:pPr>
        <w:pStyle w:val="Default"/>
        <w:spacing w:line="276" w:lineRule="auto"/>
        <w:jc w:val="both"/>
        <w:rPr>
          <w:sz w:val="22"/>
          <w:szCs w:val="22"/>
        </w:rPr>
      </w:pPr>
      <w:r>
        <w:rPr>
          <w:sz w:val="22"/>
          <w:szCs w:val="22"/>
        </w:rPr>
        <w:t xml:space="preserve">mHealth has been considered to take part in the GAVI HSS request by considering its significant contribution to address those health system bottlenecks. From the experience in other parts of the world and different pilot mHealth projects in Ethiopia, mHealth is believed to be a significant input in addressing these bottlenecks. This is also confirmed by mHealth assessment report of May 2011 conducted by Vital Wave consulting which outlines five areas for mHealth application for health extension program in Ethiopia. These are; supply chain management, data exchange, consultation, referrals and training and education. Thus, the introduction of mHealth will facilitate the communication between health extension workers and their supervisors to get logistic/commodity support for immunization activities, immediate technical support in case of cold chain dysfunction so that decrease vaccine wastage, facilitation of on time reporting and consultation for different occasions.   </w:t>
      </w:r>
    </w:p>
    <w:p w:rsidR="009E2BDD" w:rsidRDefault="009E2BDD" w:rsidP="009E2BDD">
      <w:pPr>
        <w:pStyle w:val="Default"/>
        <w:spacing w:line="276" w:lineRule="auto"/>
        <w:ind w:left="720"/>
        <w:jc w:val="both"/>
        <w:rPr>
          <w:sz w:val="22"/>
          <w:szCs w:val="22"/>
        </w:rPr>
      </w:pPr>
    </w:p>
    <w:p w:rsidR="009E2BDD" w:rsidRPr="00A803E6" w:rsidRDefault="009E2BDD" w:rsidP="009E2BDD">
      <w:pPr>
        <w:pStyle w:val="Default"/>
        <w:spacing w:line="276" w:lineRule="auto"/>
        <w:jc w:val="both"/>
        <w:rPr>
          <w:sz w:val="22"/>
          <w:szCs w:val="22"/>
        </w:rPr>
      </w:pPr>
      <w:r w:rsidRPr="00A803E6">
        <w:rPr>
          <w:sz w:val="22"/>
          <w:szCs w:val="22"/>
        </w:rPr>
        <w:t xml:space="preserve">The infrastructure directorate of the ministry, in collaboration with </w:t>
      </w:r>
      <w:r>
        <w:rPr>
          <w:sz w:val="22"/>
          <w:szCs w:val="22"/>
        </w:rPr>
        <w:t>Colombia University, PATH, Vital Wave consulting and others</w:t>
      </w:r>
      <w:r w:rsidRPr="00A803E6">
        <w:rPr>
          <w:sz w:val="22"/>
          <w:szCs w:val="22"/>
        </w:rPr>
        <w:t xml:space="preserve">, has been working on </w:t>
      </w:r>
      <w:r>
        <w:rPr>
          <w:sz w:val="22"/>
          <w:szCs w:val="22"/>
        </w:rPr>
        <w:t xml:space="preserve">the road map and plan of action of   mHealth in Ethiopia which will further </w:t>
      </w:r>
      <w:r w:rsidRPr="00A803E6">
        <w:rPr>
          <w:sz w:val="22"/>
          <w:szCs w:val="22"/>
        </w:rPr>
        <w:t>enriched with results of the studies being conducted in the country.</w:t>
      </w:r>
    </w:p>
    <w:p w:rsidR="009E2BDD" w:rsidRPr="00A803E6" w:rsidRDefault="009E2BDD" w:rsidP="009E2BDD">
      <w:pPr>
        <w:pStyle w:val="Default"/>
        <w:spacing w:line="276" w:lineRule="auto"/>
        <w:ind w:left="720"/>
        <w:jc w:val="both"/>
        <w:rPr>
          <w:sz w:val="22"/>
          <w:szCs w:val="22"/>
        </w:rPr>
      </w:pPr>
    </w:p>
    <w:p w:rsidR="00D5380D" w:rsidRPr="009E2BDD" w:rsidRDefault="009E2BDD" w:rsidP="009E2BDD">
      <w:pPr>
        <w:pStyle w:val="Default"/>
        <w:spacing w:line="276" w:lineRule="auto"/>
        <w:jc w:val="both"/>
        <w:rPr>
          <w:sz w:val="22"/>
          <w:szCs w:val="22"/>
        </w:rPr>
      </w:pPr>
      <w:r w:rsidRPr="009E2BDD">
        <w:rPr>
          <w:sz w:val="22"/>
          <w:szCs w:val="22"/>
        </w:rPr>
        <w:t>The GAVI HSS support will cover the procurement, software development and training costs related to introducing and scaling mHealth in the country which will build on the experiences of other similar countries and the results of the different studies being conducted in the country.      Therefore, the introduction of mHealth in the GAVI HSS proposal is based on the feasibility of mHealth in Ethiopia and the experience and success in other similar developing countries</w:t>
      </w:r>
    </w:p>
    <w:p w:rsidR="009E2BDD" w:rsidRDefault="009E2BDD" w:rsidP="009E2BDD">
      <w:pPr>
        <w:pStyle w:val="ListParagraph"/>
        <w:ind w:firstLine="0"/>
        <w:jc w:val="both"/>
        <w:rPr>
          <w:rFonts w:ascii="Arial" w:hAnsi="Arial" w:cs="Arial"/>
          <w:sz w:val="22"/>
          <w:szCs w:val="22"/>
          <w:lang w:val="en-GB"/>
        </w:rPr>
      </w:pPr>
    </w:p>
    <w:p w:rsidR="009E2BDD" w:rsidRDefault="009E2BDD" w:rsidP="009E2BDD">
      <w:pPr>
        <w:pStyle w:val="ListParagraph"/>
        <w:ind w:firstLine="0"/>
        <w:jc w:val="both"/>
        <w:rPr>
          <w:rFonts w:ascii="Arial" w:hAnsi="Arial" w:cs="Arial"/>
          <w:sz w:val="22"/>
          <w:szCs w:val="22"/>
          <w:lang w:val="en-GB"/>
        </w:rPr>
      </w:pPr>
    </w:p>
    <w:p w:rsidR="006E36E0" w:rsidRPr="00D5380D" w:rsidRDefault="006E36E0" w:rsidP="00A803E6">
      <w:pPr>
        <w:pStyle w:val="ListParagraph"/>
        <w:numPr>
          <w:ilvl w:val="0"/>
          <w:numId w:val="5"/>
        </w:numPr>
        <w:jc w:val="both"/>
        <w:rPr>
          <w:rFonts w:ascii="Arial" w:hAnsi="Arial" w:cs="Arial"/>
          <w:sz w:val="22"/>
          <w:szCs w:val="22"/>
          <w:lang w:val="en-GB"/>
        </w:rPr>
      </w:pPr>
      <w:r w:rsidRPr="00D5380D">
        <w:rPr>
          <w:rFonts w:ascii="Arial" w:hAnsi="Arial" w:cs="Arial"/>
          <w:sz w:val="22"/>
          <w:szCs w:val="22"/>
          <w:lang w:val="en-GB"/>
        </w:rPr>
        <w:t>A clear specification of the types of materials to be acquired for the health centres and their unit costs.</w:t>
      </w:r>
    </w:p>
    <w:p w:rsidR="006E36E0" w:rsidRDefault="00B11DC9" w:rsidP="00A803E6">
      <w:pPr>
        <w:pStyle w:val="ListParagraph"/>
        <w:ind w:left="0" w:firstLine="0"/>
        <w:jc w:val="both"/>
        <w:rPr>
          <w:rFonts w:ascii="Arial" w:hAnsi="Arial" w:cs="Arial"/>
          <w:b w:val="0"/>
          <w:sz w:val="22"/>
          <w:szCs w:val="22"/>
          <w:lang w:val="en-GB"/>
        </w:rPr>
      </w:pPr>
      <w:r w:rsidRPr="00A803E6">
        <w:rPr>
          <w:rFonts w:ascii="Arial" w:hAnsi="Arial" w:cs="Arial"/>
          <w:b w:val="0"/>
          <w:sz w:val="22"/>
          <w:szCs w:val="22"/>
          <w:lang w:val="en-GB"/>
        </w:rPr>
        <w:t xml:space="preserve">The health </w:t>
      </w:r>
      <w:r w:rsidR="00A803E6" w:rsidRPr="00A803E6">
        <w:rPr>
          <w:rFonts w:ascii="Arial" w:hAnsi="Arial" w:cs="Arial"/>
          <w:b w:val="0"/>
          <w:sz w:val="22"/>
          <w:szCs w:val="22"/>
          <w:lang w:val="en-GB"/>
        </w:rPr>
        <w:t>centre</w:t>
      </w:r>
      <w:r w:rsidRPr="00A803E6">
        <w:rPr>
          <w:rFonts w:ascii="Arial" w:hAnsi="Arial" w:cs="Arial"/>
          <w:b w:val="0"/>
          <w:sz w:val="22"/>
          <w:szCs w:val="22"/>
          <w:lang w:val="en-GB"/>
        </w:rPr>
        <w:t xml:space="preserve"> equipments </w:t>
      </w:r>
      <w:r w:rsidR="008358C9" w:rsidRPr="00A803E6">
        <w:rPr>
          <w:rFonts w:ascii="Arial" w:hAnsi="Arial" w:cs="Arial"/>
          <w:b w:val="0"/>
          <w:sz w:val="22"/>
          <w:szCs w:val="22"/>
          <w:lang w:val="en-GB"/>
        </w:rPr>
        <w:t xml:space="preserve">procurement </w:t>
      </w:r>
      <w:r w:rsidRPr="00A803E6">
        <w:rPr>
          <w:rFonts w:ascii="Arial" w:hAnsi="Arial" w:cs="Arial"/>
          <w:b w:val="0"/>
          <w:sz w:val="22"/>
          <w:szCs w:val="22"/>
          <w:lang w:val="en-GB"/>
        </w:rPr>
        <w:t>modality is</w:t>
      </w:r>
      <w:r w:rsidR="008358C9" w:rsidRPr="00A803E6">
        <w:rPr>
          <w:rFonts w:ascii="Arial" w:hAnsi="Arial" w:cs="Arial"/>
          <w:b w:val="0"/>
          <w:sz w:val="22"/>
          <w:szCs w:val="22"/>
          <w:lang w:val="en-GB"/>
        </w:rPr>
        <w:t xml:space="preserve"> based on lots. Each of the lots </w:t>
      </w:r>
      <w:r w:rsidR="00563B82" w:rsidRPr="00A803E6">
        <w:rPr>
          <w:rFonts w:ascii="Arial" w:hAnsi="Arial" w:cs="Arial"/>
          <w:b w:val="0"/>
          <w:sz w:val="22"/>
          <w:szCs w:val="22"/>
          <w:lang w:val="en-GB"/>
        </w:rPr>
        <w:t>has</w:t>
      </w:r>
      <w:r w:rsidR="008358C9" w:rsidRPr="00A803E6">
        <w:rPr>
          <w:rFonts w:ascii="Arial" w:hAnsi="Arial" w:cs="Arial"/>
          <w:b w:val="0"/>
          <w:sz w:val="22"/>
          <w:szCs w:val="22"/>
          <w:lang w:val="en-GB"/>
        </w:rPr>
        <w:t xml:space="preserve"> a defined standard list of materials </w:t>
      </w:r>
      <w:r w:rsidR="00563B82" w:rsidRPr="00A803E6">
        <w:rPr>
          <w:rFonts w:ascii="Arial" w:hAnsi="Arial" w:cs="Arial"/>
          <w:b w:val="0"/>
          <w:sz w:val="22"/>
          <w:szCs w:val="22"/>
          <w:lang w:val="en-GB"/>
        </w:rPr>
        <w:t>for a health centre with detail quantity. The cost is provided per lot.</w:t>
      </w:r>
      <w:r w:rsidR="00407661">
        <w:rPr>
          <w:rFonts w:ascii="Arial" w:hAnsi="Arial" w:cs="Arial"/>
          <w:b w:val="0"/>
          <w:sz w:val="22"/>
          <w:szCs w:val="22"/>
          <w:lang w:val="en-GB"/>
        </w:rPr>
        <w:t xml:space="preserve"> </w:t>
      </w:r>
      <w:r w:rsidR="0032532B">
        <w:rPr>
          <w:rFonts w:ascii="Arial" w:hAnsi="Arial" w:cs="Arial"/>
          <w:b w:val="0"/>
          <w:sz w:val="22"/>
          <w:szCs w:val="22"/>
          <w:lang w:val="en-GB"/>
        </w:rPr>
        <w:t xml:space="preserve">Please see table 3 </w:t>
      </w:r>
      <w:r w:rsidR="00912287">
        <w:rPr>
          <w:rFonts w:ascii="Arial" w:hAnsi="Arial" w:cs="Arial"/>
          <w:b w:val="0"/>
          <w:sz w:val="22"/>
          <w:szCs w:val="22"/>
          <w:lang w:val="en-GB"/>
        </w:rPr>
        <w:t xml:space="preserve">below </w:t>
      </w:r>
      <w:r w:rsidR="0032532B">
        <w:rPr>
          <w:rFonts w:ascii="Arial" w:hAnsi="Arial" w:cs="Arial"/>
          <w:b w:val="0"/>
          <w:sz w:val="22"/>
          <w:szCs w:val="22"/>
          <w:lang w:val="en-GB"/>
        </w:rPr>
        <w:t xml:space="preserve">for the cost per lot and </w:t>
      </w:r>
      <w:r w:rsidR="00563B82" w:rsidRPr="00A803E6">
        <w:rPr>
          <w:rFonts w:ascii="Arial" w:hAnsi="Arial" w:cs="Arial"/>
          <w:b w:val="0"/>
          <w:sz w:val="22"/>
          <w:szCs w:val="22"/>
          <w:lang w:val="en-GB"/>
        </w:rPr>
        <w:t xml:space="preserve">table </w:t>
      </w:r>
      <w:r w:rsidR="0032532B">
        <w:rPr>
          <w:rFonts w:ascii="Arial" w:hAnsi="Arial" w:cs="Arial"/>
          <w:b w:val="0"/>
          <w:sz w:val="22"/>
          <w:szCs w:val="22"/>
          <w:lang w:val="en-GB"/>
        </w:rPr>
        <w:t xml:space="preserve">4 </w:t>
      </w:r>
      <w:r w:rsidR="00BA7099">
        <w:rPr>
          <w:rFonts w:ascii="Arial" w:hAnsi="Arial" w:cs="Arial"/>
          <w:b w:val="0"/>
          <w:sz w:val="22"/>
          <w:szCs w:val="22"/>
          <w:lang w:val="en-GB"/>
        </w:rPr>
        <w:t xml:space="preserve">in Annex 3 </w:t>
      </w:r>
      <w:r w:rsidR="0032532B">
        <w:rPr>
          <w:rFonts w:ascii="Arial" w:hAnsi="Arial" w:cs="Arial"/>
          <w:b w:val="0"/>
          <w:sz w:val="22"/>
          <w:szCs w:val="22"/>
          <w:lang w:val="en-GB"/>
        </w:rPr>
        <w:t xml:space="preserve">attached for </w:t>
      </w:r>
      <w:r w:rsidR="00563B82" w:rsidRPr="00A803E6">
        <w:rPr>
          <w:rFonts w:ascii="Arial" w:hAnsi="Arial" w:cs="Arial"/>
          <w:b w:val="0"/>
          <w:sz w:val="22"/>
          <w:szCs w:val="22"/>
          <w:lang w:val="en-GB"/>
        </w:rPr>
        <w:t xml:space="preserve">detail description </w:t>
      </w:r>
      <w:r w:rsidR="00A803E6" w:rsidRPr="00A803E6">
        <w:rPr>
          <w:rFonts w:ascii="Arial" w:hAnsi="Arial" w:cs="Arial"/>
          <w:b w:val="0"/>
          <w:sz w:val="22"/>
          <w:szCs w:val="22"/>
          <w:lang w:val="en-GB"/>
        </w:rPr>
        <w:t xml:space="preserve">and quantity of </w:t>
      </w:r>
      <w:r w:rsidR="00563B82" w:rsidRPr="00A803E6">
        <w:rPr>
          <w:rFonts w:ascii="Arial" w:hAnsi="Arial" w:cs="Arial"/>
          <w:b w:val="0"/>
          <w:sz w:val="22"/>
          <w:szCs w:val="22"/>
          <w:lang w:val="en-GB"/>
        </w:rPr>
        <w:t>the equipments per health centre.</w:t>
      </w:r>
    </w:p>
    <w:p w:rsidR="00BA7099" w:rsidRDefault="00BA7099" w:rsidP="00A803E6">
      <w:pPr>
        <w:pStyle w:val="ListParagraph"/>
        <w:ind w:left="0" w:firstLine="0"/>
        <w:jc w:val="both"/>
        <w:rPr>
          <w:rFonts w:ascii="Arial" w:hAnsi="Arial" w:cs="Arial"/>
          <w:sz w:val="22"/>
          <w:szCs w:val="22"/>
          <w:lang w:val="en-GB"/>
        </w:rPr>
      </w:pPr>
    </w:p>
    <w:p w:rsidR="009E2BDD" w:rsidRDefault="009E2BDD" w:rsidP="00A803E6">
      <w:pPr>
        <w:pStyle w:val="ListParagraph"/>
        <w:ind w:left="0" w:firstLine="0"/>
        <w:jc w:val="both"/>
        <w:rPr>
          <w:rFonts w:ascii="Arial" w:hAnsi="Arial" w:cs="Arial"/>
          <w:sz w:val="22"/>
          <w:szCs w:val="22"/>
          <w:lang w:val="en-GB"/>
        </w:rPr>
      </w:pPr>
    </w:p>
    <w:p w:rsidR="009E2BDD" w:rsidRDefault="009E2BDD" w:rsidP="00A803E6">
      <w:pPr>
        <w:pStyle w:val="ListParagraph"/>
        <w:ind w:left="0" w:firstLine="0"/>
        <w:jc w:val="both"/>
        <w:rPr>
          <w:rFonts w:ascii="Arial" w:hAnsi="Arial" w:cs="Arial"/>
          <w:sz w:val="22"/>
          <w:szCs w:val="22"/>
          <w:lang w:val="en-GB"/>
        </w:rPr>
      </w:pPr>
    </w:p>
    <w:p w:rsidR="009E2BDD" w:rsidRDefault="009E2BDD" w:rsidP="00A803E6">
      <w:pPr>
        <w:pStyle w:val="ListParagraph"/>
        <w:ind w:left="0" w:firstLine="0"/>
        <w:jc w:val="both"/>
        <w:rPr>
          <w:rFonts w:ascii="Arial" w:hAnsi="Arial" w:cs="Arial"/>
          <w:sz w:val="22"/>
          <w:szCs w:val="22"/>
          <w:lang w:val="en-GB"/>
        </w:rPr>
      </w:pPr>
    </w:p>
    <w:p w:rsidR="009E2BDD" w:rsidRDefault="009E2BDD" w:rsidP="00A803E6">
      <w:pPr>
        <w:pStyle w:val="ListParagraph"/>
        <w:ind w:left="0" w:firstLine="0"/>
        <w:jc w:val="both"/>
        <w:rPr>
          <w:rFonts w:ascii="Arial" w:hAnsi="Arial" w:cs="Arial"/>
          <w:sz w:val="22"/>
          <w:szCs w:val="22"/>
          <w:lang w:val="en-GB"/>
        </w:rPr>
      </w:pPr>
    </w:p>
    <w:p w:rsidR="009E2BDD" w:rsidRDefault="009E2BDD" w:rsidP="00A803E6">
      <w:pPr>
        <w:pStyle w:val="ListParagraph"/>
        <w:ind w:left="0" w:firstLine="0"/>
        <w:jc w:val="both"/>
        <w:rPr>
          <w:rFonts w:ascii="Arial" w:hAnsi="Arial" w:cs="Arial"/>
          <w:sz w:val="22"/>
          <w:szCs w:val="22"/>
          <w:lang w:val="en-GB"/>
        </w:rPr>
      </w:pPr>
    </w:p>
    <w:p w:rsidR="0032532B" w:rsidRPr="0032532B" w:rsidRDefault="0032532B" w:rsidP="00A803E6">
      <w:pPr>
        <w:pStyle w:val="ListParagraph"/>
        <w:ind w:left="0" w:firstLine="0"/>
        <w:jc w:val="both"/>
        <w:rPr>
          <w:rFonts w:ascii="Arial" w:hAnsi="Arial" w:cs="Arial"/>
          <w:sz w:val="22"/>
          <w:szCs w:val="22"/>
          <w:lang w:val="en-GB"/>
        </w:rPr>
      </w:pPr>
      <w:r w:rsidRPr="0032532B">
        <w:rPr>
          <w:rFonts w:ascii="Arial" w:hAnsi="Arial" w:cs="Arial"/>
          <w:sz w:val="22"/>
          <w:szCs w:val="22"/>
          <w:lang w:val="en-GB"/>
        </w:rPr>
        <w:lastRenderedPageBreak/>
        <w:t xml:space="preserve">Table 3: Cost of health </w:t>
      </w:r>
      <w:r w:rsidR="00BA7099" w:rsidRPr="0032532B">
        <w:rPr>
          <w:rFonts w:ascii="Arial" w:hAnsi="Arial" w:cs="Arial"/>
          <w:sz w:val="22"/>
          <w:szCs w:val="22"/>
          <w:lang w:val="en-GB"/>
        </w:rPr>
        <w:t>centre</w:t>
      </w:r>
      <w:r w:rsidRPr="0032532B">
        <w:rPr>
          <w:rFonts w:ascii="Arial" w:hAnsi="Arial" w:cs="Arial"/>
          <w:sz w:val="22"/>
          <w:szCs w:val="22"/>
          <w:lang w:val="en-GB"/>
        </w:rPr>
        <w:t xml:space="preserve"> equipment per lot</w:t>
      </w:r>
    </w:p>
    <w:tbl>
      <w:tblPr>
        <w:tblStyle w:val="TableGrid"/>
        <w:tblW w:w="0" w:type="auto"/>
        <w:tblLook w:val="04A0"/>
      </w:tblPr>
      <w:tblGrid>
        <w:gridCol w:w="1998"/>
        <w:gridCol w:w="6210"/>
        <w:gridCol w:w="1368"/>
      </w:tblGrid>
      <w:tr w:rsidR="0032532B" w:rsidTr="00317540">
        <w:tc>
          <w:tcPr>
            <w:tcW w:w="1998" w:type="dxa"/>
            <w:vAlign w:val="bottom"/>
          </w:tcPr>
          <w:p w:rsidR="0032532B" w:rsidRPr="008B126E" w:rsidRDefault="0032532B" w:rsidP="00317540">
            <w:pPr>
              <w:rPr>
                <w:rFonts w:eastAsia="Times New Roman" w:cs="Calibri"/>
                <w:color w:val="000000"/>
                <w:sz w:val="24"/>
                <w:szCs w:val="24"/>
              </w:rPr>
            </w:pPr>
            <w:r w:rsidRPr="008B126E">
              <w:rPr>
                <w:rFonts w:eastAsia="Times New Roman" w:cs="Calibri"/>
                <w:color w:val="000000"/>
                <w:sz w:val="24"/>
                <w:szCs w:val="24"/>
              </w:rPr>
              <w:t xml:space="preserve">Lot I  </w:t>
            </w:r>
          </w:p>
        </w:tc>
        <w:tc>
          <w:tcPr>
            <w:tcW w:w="6210" w:type="dxa"/>
            <w:vAlign w:val="bottom"/>
          </w:tcPr>
          <w:p w:rsidR="0032532B" w:rsidRPr="008B126E" w:rsidRDefault="0032532B" w:rsidP="00317540">
            <w:pPr>
              <w:rPr>
                <w:rFonts w:eastAsia="Times New Roman" w:cs="Calibri"/>
                <w:color w:val="000000"/>
                <w:sz w:val="24"/>
                <w:szCs w:val="24"/>
              </w:rPr>
            </w:pPr>
            <w:r w:rsidRPr="008B126E">
              <w:rPr>
                <w:rFonts w:eastAsia="Times New Roman" w:cs="Calibri"/>
                <w:color w:val="000000"/>
                <w:sz w:val="24"/>
                <w:szCs w:val="24"/>
              </w:rPr>
              <w:t>Microscope</w:t>
            </w:r>
          </w:p>
        </w:tc>
        <w:tc>
          <w:tcPr>
            <w:tcW w:w="1368" w:type="dxa"/>
            <w:vAlign w:val="bottom"/>
          </w:tcPr>
          <w:p w:rsidR="0032532B" w:rsidRPr="008B126E" w:rsidRDefault="0032532B" w:rsidP="00317540">
            <w:pPr>
              <w:rPr>
                <w:rFonts w:eastAsia="Times New Roman" w:cs="Calibri"/>
                <w:color w:val="000000"/>
              </w:rPr>
            </w:pPr>
            <w:r>
              <w:rPr>
                <w:rFonts w:eastAsia="Times New Roman" w:cs="Calibri"/>
                <w:color w:val="000000"/>
              </w:rPr>
              <w:t>560</w:t>
            </w:r>
            <w:r w:rsidR="00AC482F">
              <w:rPr>
                <w:rFonts w:eastAsia="Times New Roman" w:cs="Calibri"/>
                <w:color w:val="000000"/>
              </w:rPr>
              <w:t xml:space="preserve"> USD</w:t>
            </w:r>
          </w:p>
        </w:tc>
      </w:tr>
      <w:tr w:rsidR="0032532B" w:rsidTr="00317540">
        <w:tc>
          <w:tcPr>
            <w:tcW w:w="199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Lot II</w:t>
            </w:r>
          </w:p>
        </w:tc>
        <w:tc>
          <w:tcPr>
            <w:tcW w:w="6210"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Centrifuge</w:t>
            </w:r>
          </w:p>
        </w:tc>
        <w:tc>
          <w:tcPr>
            <w:tcW w:w="1368" w:type="dxa"/>
            <w:vAlign w:val="bottom"/>
          </w:tcPr>
          <w:p w:rsidR="0032532B" w:rsidRPr="008B126E" w:rsidRDefault="0032532B" w:rsidP="00317540">
            <w:pPr>
              <w:rPr>
                <w:rFonts w:eastAsia="Times New Roman" w:cs="Calibri"/>
                <w:color w:val="000000"/>
              </w:rPr>
            </w:pPr>
            <w:r>
              <w:rPr>
                <w:rFonts w:eastAsia="Times New Roman" w:cs="Calibri"/>
                <w:color w:val="000000"/>
              </w:rPr>
              <w:t>6</w:t>
            </w:r>
            <w:r w:rsidR="00B0056A">
              <w:rPr>
                <w:rFonts w:eastAsia="Times New Roman" w:cs="Calibri"/>
                <w:color w:val="000000"/>
              </w:rPr>
              <w:t>,</w:t>
            </w:r>
            <w:r>
              <w:rPr>
                <w:rFonts w:eastAsia="Times New Roman" w:cs="Calibri"/>
                <w:color w:val="000000"/>
              </w:rPr>
              <w:t>000</w:t>
            </w:r>
            <w:r w:rsidR="00B0056A">
              <w:rPr>
                <w:rFonts w:eastAsia="Times New Roman" w:cs="Calibri"/>
                <w:color w:val="000000"/>
              </w:rPr>
              <w:t xml:space="preserve"> USD</w:t>
            </w:r>
          </w:p>
        </w:tc>
      </w:tr>
      <w:tr w:rsidR="0032532B" w:rsidTr="00317540">
        <w:tc>
          <w:tcPr>
            <w:tcW w:w="199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Lot III</w:t>
            </w:r>
          </w:p>
        </w:tc>
        <w:tc>
          <w:tcPr>
            <w:tcW w:w="6210"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Sterilizers</w:t>
            </w:r>
          </w:p>
        </w:tc>
        <w:tc>
          <w:tcPr>
            <w:tcW w:w="1368" w:type="dxa"/>
            <w:vAlign w:val="bottom"/>
          </w:tcPr>
          <w:p w:rsidR="0032532B" w:rsidRPr="008B126E" w:rsidRDefault="0032532B" w:rsidP="00317540">
            <w:pPr>
              <w:rPr>
                <w:rFonts w:eastAsia="Times New Roman" w:cs="Calibri"/>
                <w:color w:val="000000"/>
              </w:rPr>
            </w:pPr>
            <w:r>
              <w:rPr>
                <w:rFonts w:eastAsia="Times New Roman" w:cs="Calibri"/>
                <w:color w:val="000000"/>
              </w:rPr>
              <w:t>7,100</w:t>
            </w:r>
            <w:r w:rsidR="00B0056A">
              <w:rPr>
                <w:rFonts w:eastAsia="Times New Roman" w:cs="Calibri"/>
                <w:color w:val="000000"/>
              </w:rPr>
              <w:t xml:space="preserve"> USD</w:t>
            </w:r>
          </w:p>
        </w:tc>
      </w:tr>
      <w:tr w:rsidR="0032532B" w:rsidTr="00317540">
        <w:tc>
          <w:tcPr>
            <w:tcW w:w="199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Lot IV</w:t>
            </w:r>
          </w:p>
        </w:tc>
        <w:tc>
          <w:tcPr>
            <w:tcW w:w="6210"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Refrigerators</w:t>
            </w:r>
          </w:p>
        </w:tc>
        <w:tc>
          <w:tcPr>
            <w:tcW w:w="1368" w:type="dxa"/>
            <w:vAlign w:val="bottom"/>
          </w:tcPr>
          <w:p w:rsidR="0032532B" w:rsidRPr="008B126E" w:rsidRDefault="0032532B" w:rsidP="00317540">
            <w:pPr>
              <w:rPr>
                <w:rFonts w:eastAsia="Times New Roman" w:cs="Calibri"/>
                <w:color w:val="000000"/>
              </w:rPr>
            </w:pPr>
            <w:r>
              <w:rPr>
                <w:rFonts w:eastAsia="Times New Roman" w:cs="Calibri"/>
                <w:color w:val="000000"/>
              </w:rPr>
              <w:t>10,340</w:t>
            </w:r>
            <w:r w:rsidR="00B0056A">
              <w:rPr>
                <w:rFonts w:eastAsia="Times New Roman" w:cs="Calibri"/>
                <w:color w:val="000000"/>
              </w:rPr>
              <w:t xml:space="preserve"> USD</w:t>
            </w:r>
          </w:p>
        </w:tc>
      </w:tr>
      <w:tr w:rsidR="0032532B" w:rsidTr="00317540">
        <w:tc>
          <w:tcPr>
            <w:tcW w:w="199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Lot V</w:t>
            </w:r>
          </w:p>
        </w:tc>
        <w:tc>
          <w:tcPr>
            <w:tcW w:w="6210" w:type="dxa"/>
            <w:vAlign w:val="bottom"/>
          </w:tcPr>
          <w:p w:rsidR="0032532B" w:rsidRPr="008B126E" w:rsidRDefault="00BA7099" w:rsidP="00317540">
            <w:pPr>
              <w:rPr>
                <w:rFonts w:eastAsia="Times New Roman" w:cs="Calibri"/>
                <w:color w:val="000000"/>
                <w:sz w:val="24"/>
                <w:szCs w:val="24"/>
              </w:rPr>
            </w:pPr>
            <w:r>
              <w:rPr>
                <w:rFonts w:eastAsia="Times New Roman" w:cs="Calibri"/>
                <w:color w:val="000000"/>
                <w:sz w:val="24"/>
                <w:szCs w:val="24"/>
              </w:rPr>
              <w:t>Differ</w:t>
            </w:r>
            <w:r w:rsidRPr="008B126E">
              <w:rPr>
                <w:rFonts w:eastAsia="Times New Roman" w:cs="Calibri"/>
                <w:color w:val="000000"/>
                <w:sz w:val="24"/>
                <w:szCs w:val="24"/>
              </w:rPr>
              <w:t>ent</w:t>
            </w:r>
            <w:r w:rsidR="0032532B" w:rsidRPr="008B126E">
              <w:rPr>
                <w:rFonts w:eastAsia="Times New Roman" w:cs="Calibri"/>
                <w:color w:val="000000"/>
                <w:sz w:val="24"/>
                <w:szCs w:val="24"/>
              </w:rPr>
              <w:t xml:space="preserve"> kinds of Laboratory &amp; Pharmacy Equipment </w:t>
            </w:r>
          </w:p>
        </w:tc>
        <w:tc>
          <w:tcPr>
            <w:tcW w:w="136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 </w:t>
            </w:r>
            <w:r>
              <w:rPr>
                <w:rFonts w:eastAsia="Times New Roman" w:cs="Calibri"/>
                <w:color w:val="000000"/>
              </w:rPr>
              <w:t>4,500</w:t>
            </w:r>
            <w:r w:rsidR="00B0056A">
              <w:rPr>
                <w:rFonts w:eastAsia="Times New Roman" w:cs="Calibri"/>
                <w:color w:val="000000"/>
              </w:rPr>
              <w:t xml:space="preserve"> USD</w:t>
            </w:r>
          </w:p>
        </w:tc>
      </w:tr>
      <w:tr w:rsidR="0032532B" w:rsidTr="00317540">
        <w:tc>
          <w:tcPr>
            <w:tcW w:w="1998" w:type="dxa"/>
            <w:vAlign w:val="bottom"/>
          </w:tcPr>
          <w:p w:rsidR="0032532B" w:rsidRPr="008B126E" w:rsidRDefault="0032532B" w:rsidP="00317540">
            <w:pPr>
              <w:rPr>
                <w:rFonts w:eastAsia="Times New Roman" w:cs="Calibri"/>
                <w:color w:val="000000"/>
              </w:rPr>
            </w:pPr>
            <w:r w:rsidRPr="008B126E">
              <w:rPr>
                <w:rFonts w:eastAsia="Times New Roman" w:cs="Calibri"/>
                <w:color w:val="000000"/>
              </w:rPr>
              <w:t>Lot VI</w:t>
            </w:r>
          </w:p>
        </w:tc>
        <w:tc>
          <w:tcPr>
            <w:tcW w:w="6210" w:type="dxa"/>
            <w:vAlign w:val="bottom"/>
          </w:tcPr>
          <w:p w:rsidR="0032532B" w:rsidRPr="008B126E" w:rsidRDefault="0032532B" w:rsidP="00317540">
            <w:pPr>
              <w:rPr>
                <w:rFonts w:eastAsia="Times New Roman" w:cs="Calibri"/>
                <w:color w:val="000000"/>
                <w:sz w:val="24"/>
                <w:szCs w:val="24"/>
              </w:rPr>
            </w:pPr>
            <w:r w:rsidRPr="008B126E">
              <w:rPr>
                <w:rFonts w:eastAsia="Times New Roman" w:cs="Calibri"/>
                <w:color w:val="000000"/>
                <w:sz w:val="24"/>
                <w:szCs w:val="24"/>
              </w:rPr>
              <w:t>Examination, Treatment, MCH, OR &amp; Delivery Equipment </w:t>
            </w:r>
          </w:p>
        </w:tc>
        <w:tc>
          <w:tcPr>
            <w:tcW w:w="1368" w:type="dxa"/>
            <w:vAlign w:val="bottom"/>
          </w:tcPr>
          <w:p w:rsidR="0032532B" w:rsidRPr="008B126E" w:rsidRDefault="0032532B" w:rsidP="00317540">
            <w:pPr>
              <w:rPr>
                <w:rFonts w:eastAsia="Times New Roman" w:cs="Calibri"/>
                <w:color w:val="000000"/>
              </w:rPr>
            </w:pPr>
            <w:r>
              <w:rPr>
                <w:rFonts w:eastAsia="Times New Roman" w:cs="Calibri"/>
                <w:color w:val="000000"/>
              </w:rPr>
              <w:t>5,500</w:t>
            </w:r>
            <w:r w:rsidR="00B0056A">
              <w:rPr>
                <w:rFonts w:eastAsia="Times New Roman" w:cs="Calibri"/>
                <w:color w:val="000000"/>
              </w:rPr>
              <w:t xml:space="preserve"> USD</w:t>
            </w:r>
          </w:p>
        </w:tc>
      </w:tr>
      <w:tr w:rsidR="0032532B" w:rsidRPr="008B126E" w:rsidTr="00317540">
        <w:tc>
          <w:tcPr>
            <w:tcW w:w="8208" w:type="dxa"/>
            <w:gridSpan w:val="2"/>
          </w:tcPr>
          <w:p w:rsidR="0032532B" w:rsidRPr="008B126E" w:rsidRDefault="0032532B" w:rsidP="00317540">
            <w:pPr>
              <w:jc w:val="center"/>
              <w:rPr>
                <w:b/>
              </w:rPr>
            </w:pPr>
            <w:r w:rsidRPr="008B126E">
              <w:rPr>
                <w:b/>
              </w:rPr>
              <w:t>Total</w:t>
            </w:r>
          </w:p>
        </w:tc>
        <w:tc>
          <w:tcPr>
            <w:tcW w:w="1368" w:type="dxa"/>
          </w:tcPr>
          <w:p w:rsidR="0032532B" w:rsidRPr="008B126E" w:rsidRDefault="0032532B" w:rsidP="00317540">
            <w:pPr>
              <w:rPr>
                <w:b/>
              </w:rPr>
            </w:pPr>
            <w:r w:rsidRPr="008B126E">
              <w:rPr>
                <w:b/>
              </w:rPr>
              <w:t>34,000</w:t>
            </w:r>
            <w:r w:rsidR="00B0056A">
              <w:rPr>
                <w:b/>
              </w:rPr>
              <w:t xml:space="preserve"> USD</w:t>
            </w:r>
          </w:p>
        </w:tc>
      </w:tr>
    </w:tbl>
    <w:p w:rsidR="00CF62D6" w:rsidRPr="00A803E6" w:rsidRDefault="00CF62D6" w:rsidP="00A803E6">
      <w:pPr>
        <w:pStyle w:val="ListParagraph"/>
        <w:ind w:left="0" w:firstLine="0"/>
        <w:jc w:val="both"/>
        <w:rPr>
          <w:rFonts w:ascii="Arial" w:hAnsi="Arial" w:cs="Arial"/>
          <w:b w:val="0"/>
          <w:sz w:val="22"/>
          <w:szCs w:val="22"/>
          <w:lang w:val="en-GB"/>
        </w:rPr>
      </w:pPr>
    </w:p>
    <w:p w:rsidR="006E36E0" w:rsidRPr="00D5380D" w:rsidRDefault="006E36E0" w:rsidP="00A803E6">
      <w:pPr>
        <w:pStyle w:val="ListParagraph"/>
        <w:numPr>
          <w:ilvl w:val="0"/>
          <w:numId w:val="5"/>
        </w:numPr>
        <w:jc w:val="both"/>
        <w:rPr>
          <w:rFonts w:ascii="Arial" w:hAnsi="Arial" w:cs="Arial"/>
          <w:sz w:val="22"/>
          <w:szCs w:val="22"/>
          <w:lang w:val="en-GB"/>
        </w:rPr>
      </w:pPr>
      <w:r w:rsidRPr="00D5380D">
        <w:rPr>
          <w:rFonts w:ascii="Arial" w:hAnsi="Arial" w:cs="Arial"/>
          <w:sz w:val="22"/>
          <w:szCs w:val="22"/>
          <w:lang w:val="en-GB"/>
        </w:rPr>
        <w:t>The incorporation of depreciation or replacement costs [or plans] for the equipments and vehicles to be acquired.</w:t>
      </w:r>
    </w:p>
    <w:p w:rsidR="00420362" w:rsidRDefault="009E2BDD" w:rsidP="009E2BDD">
      <w:pPr>
        <w:jc w:val="both"/>
        <w:rPr>
          <w:rFonts w:ascii="Arial" w:hAnsi="Arial" w:cs="Arial"/>
          <w:lang w:val="en-GB"/>
        </w:rPr>
      </w:pPr>
      <w:r w:rsidRPr="009E2BDD">
        <w:rPr>
          <w:rFonts w:ascii="Arial" w:hAnsi="Arial" w:cs="Arial"/>
          <w:lang w:val="en-GB"/>
        </w:rPr>
        <w:t xml:space="preserve">According to the vehicles procurement and management rules of the government, the vehicles are expected to serve for more than 10 years as far as all the needed timely maintenance and services are kept. For all the vehicles under the government, an annual plan for maintenance and replacement will be designed. In addition, as a rule of government, the regional government will have a matching fund agreement with the central government to cover the continuous maintenance and replacement cost need for equipments and vehicles purchased and distributed to regions. One practical experience </w:t>
      </w:r>
      <w:r>
        <w:rPr>
          <w:rFonts w:ascii="Arial" w:hAnsi="Arial" w:cs="Arial"/>
          <w:lang w:val="en-GB"/>
        </w:rPr>
        <w:t xml:space="preserve">which can be sited as an example for this could be </w:t>
      </w:r>
      <w:r w:rsidRPr="009E2BDD">
        <w:rPr>
          <w:rFonts w:ascii="Arial" w:hAnsi="Arial" w:cs="Arial"/>
          <w:lang w:val="en-GB"/>
        </w:rPr>
        <w:t xml:space="preserve">the </w:t>
      </w:r>
      <w:r w:rsidR="00420362">
        <w:rPr>
          <w:rFonts w:ascii="Arial" w:hAnsi="Arial" w:cs="Arial"/>
          <w:lang w:val="en-GB"/>
        </w:rPr>
        <w:t xml:space="preserve">procurement of Ambulances by the Federal MoH which are </w:t>
      </w:r>
      <w:r w:rsidRPr="009E2BDD">
        <w:rPr>
          <w:rFonts w:ascii="Arial" w:hAnsi="Arial" w:cs="Arial"/>
          <w:lang w:val="en-GB"/>
        </w:rPr>
        <w:t>distribut</w:t>
      </w:r>
      <w:r w:rsidR="00420362">
        <w:rPr>
          <w:rFonts w:ascii="Arial" w:hAnsi="Arial" w:cs="Arial"/>
          <w:lang w:val="en-GB"/>
        </w:rPr>
        <w:t>ed to each woreda</w:t>
      </w:r>
      <w:r w:rsidRPr="009E2BDD">
        <w:rPr>
          <w:rFonts w:ascii="Arial" w:hAnsi="Arial" w:cs="Arial"/>
          <w:lang w:val="en-GB"/>
        </w:rPr>
        <w:t xml:space="preserve"> </w:t>
      </w:r>
      <w:r w:rsidR="00420362">
        <w:rPr>
          <w:rFonts w:ascii="Arial" w:hAnsi="Arial" w:cs="Arial"/>
          <w:lang w:val="en-GB"/>
        </w:rPr>
        <w:t xml:space="preserve">(One per woreda) </w:t>
      </w:r>
      <w:r w:rsidRPr="009E2BDD">
        <w:rPr>
          <w:rFonts w:ascii="Arial" w:hAnsi="Arial" w:cs="Arial"/>
          <w:lang w:val="en-GB"/>
        </w:rPr>
        <w:t>where each region</w:t>
      </w:r>
      <w:r w:rsidR="00420362">
        <w:rPr>
          <w:rFonts w:ascii="Arial" w:hAnsi="Arial" w:cs="Arial"/>
          <w:lang w:val="en-GB"/>
        </w:rPr>
        <w:t xml:space="preserve">al president </w:t>
      </w:r>
      <w:r w:rsidRPr="009E2BDD">
        <w:rPr>
          <w:rFonts w:ascii="Arial" w:hAnsi="Arial" w:cs="Arial"/>
          <w:lang w:val="en-GB"/>
        </w:rPr>
        <w:t>ha</w:t>
      </w:r>
      <w:r w:rsidR="00420362">
        <w:rPr>
          <w:rFonts w:ascii="Arial" w:hAnsi="Arial" w:cs="Arial"/>
          <w:lang w:val="en-GB"/>
        </w:rPr>
        <w:t>s</w:t>
      </w:r>
      <w:r w:rsidRPr="009E2BDD">
        <w:rPr>
          <w:rFonts w:ascii="Arial" w:hAnsi="Arial" w:cs="Arial"/>
          <w:lang w:val="en-GB"/>
        </w:rPr>
        <w:t xml:space="preserve"> committed </w:t>
      </w:r>
      <w:r w:rsidR="00420362">
        <w:rPr>
          <w:rFonts w:ascii="Arial" w:hAnsi="Arial" w:cs="Arial"/>
          <w:lang w:val="en-GB"/>
        </w:rPr>
        <w:t xml:space="preserve">and signed an agreement </w:t>
      </w:r>
      <w:r w:rsidRPr="009E2BDD">
        <w:rPr>
          <w:rFonts w:ascii="Arial" w:hAnsi="Arial" w:cs="Arial"/>
          <w:lang w:val="en-GB"/>
        </w:rPr>
        <w:t>to cover all the maintenance, replacement and running cost for the Ambulances</w:t>
      </w:r>
      <w:r w:rsidR="00420362">
        <w:rPr>
          <w:rFonts w:ascii="Arial" w:hAnsi="Arial" w:cs="Arial"/>
          <w:lang w:val="en-GB"/>
        </w:rPr>
        <w:t>.</w:t>
      </w:r>
    </w:p>
    <w:p w:rsidR="00420362" w:rsidRDefault="00420362" w:rsidP="009E2BDD">
      <w:pPr>
        <w:jc w:val="both"/>
        <w:rPr>
          <w:rFonts w:ascii="Arial" w:hAnsi="Arial" w:cs="Arial"/>
          <w:lang w:val="en-GB"/>
        </w:rPr>
      </w:pPr>
    </w:p>
    <w:p w:rsidR="009E2BDD" w:rsidRDefault="00420362" w:rsidP="009E2BDD">
      <w:pPr>
        <w:jc w:val="both"/>
        <w:rPr>
          <w:rFonts w:ascii="Arial" w:hAnsi="Arial" w:cs="Arial"/>
          <w:lang w:val="en-GB"/>
        </w:rPr>
      </w:pPr>
      <w:r>
        <w:rPr>
          <w:rFonts w:ascii="Arial" w:hAnsi="Arial" w:cs="Arial"/>
          <w:lang w:val="en-GB"/>
        </w:rPr>
        <w:t>Moreover; t</w:t>
      </w:r>
      <w:r w:rsidR="009E2BDD" w:rsidRPr="009E2BDD">
        <w:rPr>
          <w:rFonts w:ascii="Arial" w:hAnsi="Arial" w:cs="Arial"/>
          <w:lang w:val="en-GB"/>
        </w:rPr>
        <w:t xml:space="preserve">he grant period for GAVI HSS is only 4 years, which is too far less than the expected </w:t>
      </w:r>
      <w:r>
        <w:rPr>
          <w:rFonts w:ascii="Arial" w:hAnsi="Arial" w:cs="Arial"/>
          <w:lang w:val="en-GB"/>
        </w:rPr>
        <w:t xml:space="preserve">replacement </w:t>
      </w:r>
      <w:r w:rsidR="009E2BDD" w:rsidRPr="009E2BDD">
        <w:rPr>
          <w:rFonts w:ascii="Arial" w:hAnsi="Arial" w:cs="Arial"/>
          <w:lang w:val="en-GB"/>
        </w:rPr>
        <w:t>years of the vehicles. Thus, there is no need to include the depreciation/replacement costs in th</w:t>
      </w:r>
      <w:r>
        <w:rPr>
          <w:rFonts w:ascii="Arial" w:hAnsi="Arial" w:cs="Arial"/>
          <w:lang w:val="en-GB"/>
        </w:rPr>
        <w:t>is</w:t>
      </w:r>
      <w:r w:rsidR="009E2BDD" w:rsidRPr="009E2BDD">
        <w:rPr>
          <w:rFonts w:ascii="Arial" w:hAnsi="Arial" w:cs="Arial"/>
          <w:lang w:val="en-GB"/>
        </w:rPr>
        <w:t xml:space="preserve"> proposal. With the given period of the grant, the important point to consider is maintenance and as it is stated in the proposal, the continuous maintenance cost will be covered by the government.  </w:t>
      </w:r>
    </w:p>
    <w:p w:rsidR="009E2BDD" w:rsidRPr="009E2BDD" w:rsidRDefault="009E2BDD" w:rsidP="009E2BDD">
      <w:pPr>
        <w:jc w:val="both"/>
        <w:rPr>
          <w:rFonts w:ascii="Arial" w:hAnsi="Arial" w:cs="Arial"/>
          <w:lang w:val="en-GB"/>
        </w:rPr>
      </w:pPr>
    </w:p>
    <w:p w:rsidR="006E36E0" w:rsidRPr="00A803E6" w:rsidRDefault="006E36E0" w:rsidP="00A803E6">
      <w:pPr>
        <w:pStyle w:val="ListParagraph"/>
        <w:ind w:left="0" w:firstLine="0"/>
        <w:jc w:val="both"/>
        <w:rPr>
          <w:rFonts w:ascii="Arial" w:hAnsi="Arial" w:cs="Arial"/>
          <w:b w:val="0"/>
          <w:sz w:val="22"/>
          <w:szCs w:val="22"/>
          <w:lang w:val="en-GB"/>
        </w:rPr>
      </w:pPr>
    </w:p>
    <w:p w:rsidR="006E36E0" w:rsidRPr="008A6535" w:rsidRDefault="006E36E0" w:rsidP="00A803E6">
      <w:pPr>
        <w:pStyle w:val="ListParagraph"/>
        <w:numPr>
          <w:ilvl w:val="0"/>
          <w:numId w:val="5"/>
        </w:numPr>
        <w:jc w:val="both"/>
        <w:rPr>
          <w:rFonts w:ascii="Arial" w:hAnsi="Arial" w:cs="Arial"/>
          <w:sz w:val="22"/>
          <w:szCs w:val="22"/>
          <w:lang w:val="en-GB"/>
        </w:rPr>
      </w:pPr>
      <w:r w:rsidRPr="008A6535">
        <w:rPr>
          <w:rFonts w:ascii="Arial" w:hAnsi="Arial" w:cs="Arial"/>
          <w:sz w:val="22"/>
          <w:szCs w:val="22"/>
          <w:lang w:val="en-GB"/>
        </w:rPr>
        <w:t>Further specification of the plans for the award of grants to the CSOs.</w:t>
      </w:r>
    </w:p>
    <w:p w:rsidR="00A803E6" w:rsidRPr="009E2BDD" w:rsidRDefault="00A803E6" w:rsidP="009E2BDD">
      <w:pPr>
        <w:jc w:val="both"/>
      </w:pPr>
      <w:r w:rsidRPr="009E2BDD">
        <w:rPr>
          <w:rFonts w:ascii="Arial" w:hAnsi="Arial" w:cs="Arial"/>
          <w:lang w:val="en-GB"/>
        </w:rPr>
        <w:t>Ethiopia is a low income country with an under-resourced health system. Civil Society Organizations (CSOs) are recognized as important stakeholders in the health system. CSOs typically provide complementary services to support the government’s Expanded Program on Immunization (EPI), including training health workers, community mobilization, technical assistance, etc.</w:t>
      </w:r>
      <w:r w:rsidR="009E2BDD">
        <w:rPr>
          <w:rFonts w:ascii="Arial" w:hAnsi="Arial" w:cs="Arial"/>
          <w:lang w:val="en-GB"/>
        </w:rPr>
        <w:t xml:space="preserve"> </w:t>
      </w:r>
      <w:r w:rsidRPr="009E2BDD">
        <w:rPr>
          <w:rFonts w:ascii="Arial" w:hAnsi="Arial" w:cs="Arial"/>
          <w:lang w:val="en-GB"/>
        </w:rPr>
        <w:t>Since the implementation of GAVI’s health system strengthening support to Ethiopia a total budget of   US$ 76,494,000 allocated for 2006/07 to 2009/10, and CSO support amounts to US$ 3,320,000 over a two year period from 2008 to 2010. As mentioned above the budget allocation for CSO reaches closely US$ 1,660,000 per year. Additionally the FMOH was using Ethiopian Paediatric Association, a professional association</w:t>
      </w:r>
      <w:r w:rsidR="00912287" w:rsidRPr="009E2BDD">
        <w:rPr>
          <w:rFonts w:ascii="Arial" w:hAnsi="Arial" w:cs="Arial"/>
          <w:lang w:val="en-GB"/>
        </w:rPr>
        <w:t>, to</w:t>
      </w:r>
      <w:r w:rsidRPr="009E2BDD">
        <w:rPr>
          <w:rFonts w:ascii="Arial" w:hAnsi="Arial" w:cs="Arial"/>
          <w:lang w:val="en-GB"/>
        </w:rPr>
        <w:t xml:space="preserve"> execute IMNCI </w:t>
      </w:r>
      <w:r w:rsidR="00912287" w:rsidRPr="009E2BDD">
        <w:rPr>
          <w:rFonts w:ascii="Arial" w:hAnsi="Arial" w:cs="Arial"/>
          <w:lang w:val="en-GB"/>
        </w:rPr>
        <w:t xml:space="preserve">training. </w:t>
      </w:r>
      <w:r w:rsidRPr="009E2BDD">
        <w:rPr>
          <w:rFonts w:ascii="Arial" w:hAnsi="Arial" w:cs="Arial"/>
          <w:lang w:val="en-GB"/>
        </w:rPr>
        <w:t>The annual budget for this was 360,000USD.. Adding the two together the annual budget used by CSOs was about 2,000,000USD</w:t>
      </w:r>
      <w:r w:rsidRPr="009E2BDD">
        <w:t xml:space="preserve">. </w:t>
      </w:r>
    </w:p>
    <w:p w:rsidR="00A803E6" w:rsidRPr="00A803E6" w:rsidRDefault="00A803E6" w:rsidP="00A803E6">
      <w:pPr>
        <w:pStyle w:val="Default"/>
        <w:jc w:val="both"/>
        <w:rPr>
          <w:sz w:val="22"/>
          <w:szCs w:val="22"/>
        </w:rPr>
      </w:pPr>
    </w:p>
    <w:p w:rsidR="00A803E6" w:rsidRPr="00A803E6" w:rsidRDefault="00A803E6" w:rsidP="009E2BDD">
      <w:pPr>
        <w:pStyle w:val="Default"/>
        <w:spacing w:line="276" w:lineRule="auto"/>
        <w:jc w:val="both"/>
        <w:rPr>
          <w:sz w:val="22"/>
          <w:szCs w:val="22"/>
        </w:rPr>
      </w:pPr>
      <w:r w:rsidRPr="00A803E6">
        <w:rPr>
          <w:sz w:val="22"/>
          <w:szCs w:val="22"/>
        </w:rPr>
        <w:t xml:space="preserve">In the previous experience, the GAVI/CSO Support Fund was able to improve the long standing low immunization coverage through community mobilization, capacity building, community </w:t>
      </w:r>
      <w:r w:rsidRPr="00A803E6">
        <w:rPr>
          <w:sz w:val="22"/>
          <w:szCs w:val="22"/>
        </w:rPr>
        <w:lastRenderedPageBreak/>
        <w:t xml:space="preserve">involvement and strengthening the mobile, outreach and static immunization service, which is believed to extend the EPI </w:t>
      </w:r>
      <w:r w:rsidR="00912287" w:rsidRPr="00A803E6">
        <w:rPr>
          <w:sz w:val="22"/>
          <w:szCs w:val="22"/>
        </w:rPr>
        <w:t>service to</w:t>
      </w:r>
      <w:r w:rsidRPr="00A803E6">
        <w:rPr>
          <w:sz w:val="22"/>
          <w:szCs w:val="22"/>
        </w:rPr>
        <w:t xml:space="preserve"> more pastoral and unreached community. Taking the previous experience into consideration, the allocation for CSO annually is fixed at 2,000,000USD. The total amount US$ 8000,000 in four years is about 10% of a total budget which is in line with GAVI’s recommendations. </w:t>
      </w:r>
    </w:p>
    <w:p w:rsidR="00A803E6" w:rsidRPr="00A803E6" w:rsidRDefault="00A803E6" w:rsidP="00A803E6">
      <w:pPr>
        <w:pStyle w:val="Default"/>
        <w:jc w:val="both"/>
        <w:rPr>
          <w:sz w:val="22"/>
          <w:szCs w:val="22"/>
        </w:rPr>
      </w:pPr>
    </w:p>
    <w:p w:rsidR="00A803E6" w:rsidRDefault="00A803E6" w:rsidP="00A803E6">
      <w:pPr>
        <w:jc w:val="both"/>
        <w:rPr>
          <w:rFonts w:ascii="Arial" w:hAnsi="Arial" w:cs="Arial"/>
        </w:rPr>
      </w:pPr>
      <w:r w:rsidRPr="00A803E6">
        <w:rPr>
          <w:rFonts w:ascii="Arial" w:hAnsi="Arial" w:cs="Arial"/>
        </w:rPr>
        <w:t>There are a large number of CSOs in Ethiopia, supporting the immunization sector as part of their broader work on maternal and child health</w:t>
      </w:r>
      <w:r w:rsidR="00BA7099">
        <w:rPr>
          <w:rFonts w:ascii="Arial" w:hAnsi="Arial" w:cs="Arial"/>
        </w:rPr>
        <w:t>.</w:t>
      </w:r>
      <w:r w:rsidRPr="00A803E6">
        <w:rPr>
          <w:rFonts w:ascii="Arial" w:hAnsi="Arial" w:cs="Arial"/>
        </w:rPr>
        <w:t xml:space="preserve"> Thus to provide equal opportunity there will be a call proposal which will be communicated through mass media and this will be based on a set criteria  and guidelines. . The submitted proposals will be evaluated against the criteria by FMoH jointly with JCCC and the accepted proposals will be funded. The ceiling for the budget will be the USD 2,000,000 per year. Therefore, the winner can be one or many CSOs based on the soundness of their proposal and the feasibility of their proposed budget. </w:t>
      </w:r>
    </w:p>
    <w:p w:rsidR="002A6F3A" w:rsidRDefault="002A6F3A" w:rsidP="00A803E6">
      <w:pPr>
        <w:jc w:val="both"/>
        <w:rPr>
          <w:rFonts w:ascii="Arial" w:hAnsi="Arial" w:cs="Arial"/>
          <w:b/>
        </w:rPr>
      </w:pPr>
    </w:p>
    <w:p w:rsidR="001C4BFD" w:rsidRPr="002A6F3A" w:rsidRDefault="001C4BFD" w:rsidP="00A803E6">
      <w:pPr>
        <w:jc w:val="both"/>
        <w:rPr>
          <w:rFonts w:ascii="Arial" w:hAnsi="Arial" w:cs="Arial"/>
          <w:b/>
        </w:rPr>
      </w:pPr>
      <w:r w:rsidRPr="002A6F3A">
        <w:rPr>
          <w:rFonts w:ascii="Arial" w:hAnsi="Arial" w:cs="Arial"/>
          <w:b/>
        </w:rPr>
        <w:t>List of attachments</w:t>
      </w:r>
    </w:p>
    <w:p w:rsidR="002A6F3A" w:rsidRPr="002A6F3A" w:rsidRDefault="002A6F3A" w:rsidP="001C4BFD">
      <w:pPr>
        <w:pStyle w:val="ListParagraph"/>
        <w:numPr>
          <w:ilvl w:val="0"/>
          <w:numId w:val="6"/>
        </w:numPr>
        <w:jc w:val="both"/>
        <w:rPr>
          <w:rFonts w:ascii="Arial" w:hAnsi="Arial" w:cs="Arial"/>
          <w:b w:val="0"/>
          <w:sz w:val="22"/>
          <w:szCs w:val="22"/>
        </w:rPr>
      </w:pPr>
      <w:r w:rsidRPr="002A6F3A">
        <w:rPr>
          <w:rFonts w:ascii="Arial" w:hAnsi="Arial" w:cs="Arial"/>
          <w:b w:val="0"/>
          <w:sz w:val="22"/>
          <w:szCs w:val="22"/>
        </w:rPr>
        <w:t>Minutes of ICC</w:t>
      </w:r>
    </w:p>
    <w:p w:rsidR="002A6F3A" w:rsidRPr="002A6F3A" w:rsidRDefault="002A6F3A" w:rsidP="001C4BFD">
      <w:pPr>
        <w:pStyle w:val="ListParagraph"/>
        <w:numPr>
          <w:ilvl w:val="0"/>
          <w:numId w:val="6"/>
        </w:numPr>
        <w:jc w:val="both"/>
        <w:rPr>
          <w:rFonts w:ascii="Arial" w:hAnsi="Arial" w:cs="Arial"/>
          <w:b w:val="0"/>
          <w:sz w:val="22"/>
          <w:szCs w:val="22"/>
        </w:rPr>
      </w:pPr>
      <w:r w:rsidRPr="002A6F3A">
        <w:rPr>
          <w:rFonts w:ascii="Arial" w:hAnsi="Arial" w:cs="Arial"/>
          <w:b w:val="0"/>
          <w:sz w:val="22"/>
          <w:szCs w:val="22"/>
        </w:rPr>
        <w:t>Revised cMYP</w:t>
      </w:r>
    </w:p>
    <w:p w:rsidR="001C4BFD" w:rsidRDefault="001C4BFD" w:rsidP="00912287">
      <w:pPr>
        <w:pStyle w:val="ListParagraph"/>
        <w:ind w:firstLine="0"/>
        <w:jc w:val="both"/>
        <w:rPr>
          <w:rFonts w:ascii="Arial" w:hAnsi="Arial" w:cs="Arial"/>
          <w:b w:val="0"/>
          <w:sz w:val="22"/>
          <w:szCs w:val="22"/>
        </w:rPr>
      </w:pPr>
    </w:p>
    <w:p w:rsidR="00333BA1" w:rsidRDefault="00333BA1" w:rsidP="00912287">
      <w:pPr>
        <w:pStyle w:val="ListParagraph"/>
        <w:ind w:firstLine="0"/>
        <w:jc w:val="both"/>
        <w:rPr>
          <w:rFonts w:ascii="Arial" w:hAnsi="Arial" w:cs="Arial"/>
          <w:b w:val="0"/>
          <w:sz w:val="22"/>
          <w:szCs w:val="22"/>
        </w:rPr>
      </w:pPr>
    </w:p>
    <w:p w:rsidR="00333BA1" w:rsidRDefault="00333BA1" w:rsidP="00912287">
      <w:pPr>
        <w:pStyle w:val="ListParagraph"/>
        <w:ind w:firstLine="0"/>
        <w:jc w:val="both"/>
        <w:rPr>
          <w:rFonts w:ascii="Arial" w:hAnsi="Arial" w:cs="Arial"/>
          <w:b w:val="0"/>
          <w:sz w:val="22"/>
          <w:szCs w:val="22"/>
        </w:rPr>
      </w:pPr>
    </w:p>
    <w:p w:rsidR="00407661" w:rsidRDefault="00407661">
      <w:pPr>
        <w:spacing w:after="200"/>
        <w:rPr>
          <w:rFonts w:ascii="Arial" w:hAnsi="Arial" w:cs="Arial"/>
        </w:rPr>
      </w:pPr>
      <w:r>
        <w:rPr>
          <w:rFonts w:ascii="Arial" w:hAnsi="Arial" w:cs="Arial"/>
          <w:b/>
        </w:rPr>
        <w:br w:type="page"/>
      </w:r>
    </w:p>
    <w:p w:rsidR="00D4530A" w:rsidRPr="00420362" w:rsidRDefault="00333BA1" w:rsidP="00912287">
      <w:pPr>
        <w:pStyle w:val="ListParagraph"/>
        <w:ind w:firstLine="0"/>
        <w:jc w:val="both"/>
        <w:rPr>
          <w:rFonts w:ascii="Arial" w:hAnsi="Arial" w:cs="Arial"/>
          <w:sz w:val="22"/>
          <w:szCs w:val="22"/>
        </w:rPr>
      </w:pPr>
      <w:r w:rsidRPr="00420362">
        <w:rPr>
          <w:rFonts w:ascii="Arial" w:hAnsi="Arial" w:cs="Arial"/>
          <w:sz w:val="22"/>
          <w:szCs w:val="22"/>
        </w:rPr>
        <w:lastRenderedPageBreak/>
        <w:t xml:space="preserve">Annex 1. </w:t>
      </w:r>
    </w:p>
    <w:p w:rsidR="00333BA1" w:rsidRPr="00D4530A" w:rsidRDefault="00333BA1" w:rsidP="00D4530A">
      <w:pPr>
        <w:jc w:val="both"/>
        <w:rPr>
          <w:rFonts w:ascii="Arial" w:hAnsi="Arial" w:cs="Arial"/>
          <w:b/>
        </w:rPr>
      </w:pPr>
      <w:r w:rsidRPr="00D4530A">
        <w:rPr>
          <w:rFonts w:ascii="Arial" w:hAnsi="Arial" w:cs="Arial"/>
          <w:b/>
        </w:rPr>
        <w:t>Table 1: List of materials and budget breakdown for the implementation of Electronic Medical Record (EMR)</w:t>
      </w:r>
    </w:p>
    <w:tbl>
      <w:tblPr>
        <w:tblStyle w:val="TableGrid"/>
        <w:tblW w:w="0" w:type="auto"/>
        <w:tblInd w:w="198" w:type="dxa"/>
        <w:tblLook w:val="04A0"/>
      </w:tblPr>
      <w:tblGrid>
        <w:gridCol w:w="3060"/>
        <w:gridCol w:w="1952"/>
        <w:gridCol w:w="2183"/>
        <w:gridCol w:w="2183"/>
      </w:tblGrid>
      <w:tr w:rsidR="00333BA1" w:rsidRPr="00D4530A" w:rsidTr="00D4530A">
        <w:tc>
          <w:tcPr>
            <w:tcW w:w="3060" w:type="dxa"/>
          </w:tcPr>
          <w:p w:rsidR="00333BA1" w:rsidRPr="00D4530A" w:rsidRDefault="00333BA1" w:rsidP="00912287">
            <w:pPr>
              <w:pStyle w:val="ListParagraph"/>
              <w:ind w:left="0" w:firstLine="0"/>
              <w:jc w:val="both"/>
              <w:rPr>
                <w:rFonts w:ascii="Arial" w:hAnsi="Arial" w:cs="Arial"/>
                <w:sz w:val="22"/>
                <w:szCs w:val="22"/>
              </w:rPr>
            </w:pPr>
            <w:r w:rsidRPr="00D4530A">
              <w:rPr>
                <w:rFonts w:ascii="Arial" w:hAnsi="Arial" w:cs="Arial"/>
                <w:sz w:val="22"/>
                <w:szCs w:val="22"/>
              </w:rPr>
              <w:t>Devices</w:t>
            </w:r>
          </w:p>
        </w:tc>
        <w:tc>
          <w:tcPr>
            <w:tcW w:w="1952" w:type="dxa"/>
          </w:tcPr>
          <w:p w:rsidR="00333BA1" w:rsidRPr="00D4530A" w:rsidRDefault="00333BA1" w:rsidP="00912287">
            <w:pPr>
              <w:pStyle w:val="ListParagraph"/>
              <w:ind w:left="0" w:firstLine="0"/>
              <w:jc w:val="both"/>
              <w:rPr>
                <w:rFonts w:ascii="Arial" w:hAnsi="Arial" w:cs="Arial"/>
                <w:sz w:val="22"/>
                <w:szCs w:val="22"/>
              </w:rPr>
            </w:pPr>
            <w:r w:rsidRPr="00D4530A">
              <w:rPr>
                <w:rFonts w:ascii="Arial" w:hAnsi="Arial" w:cs="Arial"/>
                <w:sz w:val="22"/>
                <w:szCs w:val="22"/>
              </w:rPr>
              <w:t>Quantity</w:t>
            </w:r>
          </w:p>
        </w:tc>
        <w:tc>
          <w:tcPr>
            <w:tcW w:w="2183" w:type="dxa"/>
          </w:tcPr>
          <w:p w:rsidR="00333BA1" w:rsidRPr="00D4530A" w:rsidRDefault="00333BA1" w:rsidP="00912287">
            <w:pPr>
              <w:pStyle w:val="ListParagraph"/>
              <w:ind w:left="0" w:firstLine="0"/>
              <w:jc w:val="both"/>
              <w:rPr>
                <w:rFonts w:ascii="Arial" w:hAnsi="Arial" w:cs="Arial"/>
                <w:sz w:val="22"/>
                <w:szCs w:val="22"/>
              </w:rPr>
            </w:pPr>
            <w:r w:rsidRPr="00D4530A">
              <w:rPr>
                <w:rFonts w:ascii="Arial" w:hAnsi="Arial" w:cs="Arial"/>
                <w:sz w:val="22"/>
                <w:szCs w:val="22"/>
              </w:rPr>
              <w:t>Unit Price $</w:t>
            </w:r>
          </w:p>
        </w:tc>
        <w:tc>
          <w:tcPr>
            <w:tcW w:w="2183" w:type="dxa"/>
          </w:tcPr>
          <w:p w:rsidR="00333BA1" w:rsidRPr="00D4530A" w:rsidRDefault="00333BA1" w:rsidP="00912287">
            <w:pPr>
              <w:pStyle w:val="ListParagraph"/>
              <w:ind w:left="0" w:firstLine="0"/>
              <w:jc w:val="both"/>
              <w:rPr>
                <w:rFonts w:ascii="Arial" w:hAnsi="Arial" w:cs="Arial"/>
                <w:sz w:val="22"/>
                <w:szCs w:val="22"/>
              </w:rPr>
            </w:pPr>
            <w:r w:rsidRPr="00D4530A">
              <w:rPr>
                <w:rFonts w:ascii="Arial" w:hAnsi="Arial" w:cs="Arial"/>
                <w:sz w:val="22"/>
                <w:szCs w:val="22"/>
              </w:rPr>
              <w:t>Total Price $</w:t>
            </w:r>
          </w:p>
        </w:tc>
      </w:tr>
      <w:tr w:rsidR="00333BA1" w:rsidTr="00D4530A">
        <w:tc>
          <w:tcPr>
            <w:tcW w:w="3060" w:type="dxa"/>
          </w:tcPr>
          <w:p w:rsidR="00333BA1" w:rsidRPr="00B44074" w:rsidRDefault="00333BA1" w:rsidP="00333BA1">
            <w:r w:rsidRPr="00B44074">
              <w:t>HP Server</w:t>
            </w:r>
          </w:p>
          <w:p w:rsidR="00333BA1" w:rsidRPr="00B44074" w:rsidRDefault="00333BA1" w:rsidP="00333BA1"/>
        </w:tc>
        <w:tc>
          <w:tcPr>
            <w:tcW w:w="1952" w:type="dxa"/>
          </w:tcPr>
          <w:p w:rsidR="00333BA1" w:rsidRPr="00B44074" w:rsidRDefault="00333BA1" w:rsidP="00333BA1">
            <w:r w:rsidRPr="00B44074">
              <w:t>2</w:t>
            </w:r>
          </w:p>
        </w:tc>
        <w:tc>
          <w:tcPr>
            <w:tcW w:w="2183" w:type="dxa"/>
          </w:tcPr>
          <w:p w:rsidR="00333BA1" w:rsidRPr="00B44074" w:rsidRDefault="00333BA1" w:rsidP="00333BA1">
            <w:r w:rsidRPr="00B44074">
              <w:t>7000</w:t>
            </w:r>
          </w:p>
        </w:tc>
        <w:tc>
          <w:tcPr>
            <w:tcW w:w="2183" w:type="dxa"/>
          </w:tcPr>
          <w:p w:rsidR="00333BA1" w:rsidRPr="00B44074" w:rsidRDefault="00333BA1" w:rsidP="00333BA1">
            <w:r w:rsidRPr="00B44074">
              <w:t>14000</w:t>
            </w:r>
          </w:p>
        </w:tc>
      </w:tr>
      <w:tr w:rsidR="00333BA1" w:rsidTr="00D4530A">
        <w:tc>
          <w:tcPr>
            <w:tcW w:w="3060" w:type="dxa"/>
          </w:tcPr>
          <w:p w:rsidR="00333BA1" w:rsidRPr="00B44074" w:rsidRDefault="00333BA1" w:rsidP="00333BA1">
            <w:r w:rsidRPr="00B44074">
              <w:t>Computers</w:t>
            </w:r>
          </w:p>
          <w:p w:rsidR="00333BA1" w:rsidRPr="00B44074" w:rsidRDefault="00333BA1" w:rsidP="00333BA1"/>
        </w:tc>
        <w:tc>
          <w:tcPr>
            <w:tcW w:w="1952" w:type="dxa"/>
          </w:tcPr>
          <w:p w:rsidR="00333BA1" w:rsidRPr="00B44074" w:rsidRDefault="00333BA1" w:rsidP="00333BA1">
            <w:r w:rsidRPr="00B44074">
              <w:t>65</w:t>
            </w:r>
          </w:p>
        </w:tc>
        <w:tc>
          <w:tcPr>
            <w:tcW w:w="2183" w:type="dxa"/>
          </w:tcPr>
          <w:p w:rsidR="00333BA1" w:rsidRPr="00B44074" w:rsidRDefault="00333BA1" w:rsidP="00333BA1">
            <w:r w:rsidRPr="00B44074">
              <w:t>800</w:t>
            </w:r>
          </w:p>
        </w:tc>
        <w:tc>
          <w:tcPr>
            <w:tcW w:w="2183" w:type="dxa"/>
          </w:tcPr>
          <w:p w:rsidR="00333BA1" w:rsidRPr="00B44074" w:rsidRDefault="00333BA1" w:rsidP="00333BA1">
            <w:r w:rsidRPr="00B44074">
              <w:t>52,000</w:t>
            </w:r>
          </w:p>
        </w:tc>
      </w:tr>
      <w:tr w:rsidR="00333BA1" w:rsidTr="00D4530A">
        <w:tc>
          <w:tcPr>
            <w:tcW w:w="3060" w:type="dxa"/>
          </w:tcPr>
          <w:p w:rsidR="00333BA1" w:rsidRPr="00B44074" w:rsidRDefault="00333BA1" w:rsidP="00333BA1">
            <w:r w:rsidRPr="00B44074">
              <w:t>Access Points</w:t>
            </w:r>
          </w:p>
          <w:p w:rsidR="00333BA1" w:rsidRPr="00B44074" w:rsidRDefault="00333BA1" w:rsidP="00333BA1"/>
        </w:tc>
        <w:tc>
          <w:tcPr>
            <w:tcW w:w="1952" w:type="dxa"/>
          </w:tcPr>
          <w:p w:rsidR="00333BA1" w:rsidRPr="00B44074" w:rsidRDefault="00333BA1" w:rsidP="00333BA1">
            <w:r w:rsidRPr="00B44074">
              <w:t>26</w:t>
            </w:r>
          </w:p>
        </w:tc>
        <w:tc>
          <w:tcPr>
            <w:tcW w:w="2183" w:type="dxa"/>
          </w:tcPr>
          <w:p w:rsidR="00333BA1" w:rsidRPr="00B44074" w:rsidRDefault="00333BA1" w:rsidP="00333BA1">
            <w:r w:rsidRPr="00B44074">
              <w:t>800</w:t>
            </w:r>
          </w:p>
        </w:tc>
        <w:tc>
          <w:tcPr>
            <w:tcW w:w="2183" w:type="dxa"/>
          </w:tcPr>
          <w:p w:rsidR="00333BA1" w:rsidRPr="00B44074" w:rsidRDefault="00333BA1" w:rsidP="00333BA1">
            <w:r w:rsidRPr="00B44074">
              <w:t>20,800</w:t>
            </w:r>
          </w:p>
        </w:tc>
      </w:tr>
      <w:tr w:rsidR="00333BA1" w:rsidTr="00D4530A">
        <w:tc>
          <w:tcPr>
            <w:tcW w:w="3060" w:type="dxa"/>
          </w:tcPr>
          <w:p w:rsidR="00333BA1" w:rsidRPr="00B44074" w:rsidRDefault="00333BA1" w:rsidP="00333BA1">
            <w:r w:rsidRPr="00B44074">
              <w:t>Wireless LAN Controller</w:t>
            </w:r>
          </w:p>
          <w:p w:rsidR="00333BA1" w:rsidRPr="00B44074" w:rsidRDefault="00333BA1" w:rsidP="00333BA1"/>
        </w:tc>
        <w:tc>
          <w:tcPr>
            <w:tcW w:w="1952" w:type="dxa"/>
          </w:tcPr>
          <w:p w:rsidR="00333BA1" w:rsidRPr="00B44074" w:rsidRDefault="00333BA1" w:rsidP="00333BA1">
            <w:r w:rsidRPr="00B44074">
              <w:t>2</w:t>
            </w:r>
          </w:p>
        </w:tc>
        <w:tc>
          <w:tcPr>
            <w:tcW w:w="2183" w:type="dxa"/>
          </w:tcPr>
          <w:p w:rsidR="00333BA1" w:rsidRPr="00B44074" w:rsidRDefault="00333BA1" w:rsidP="00333BA1">
            <w:r w:rsidRPr="00B44074">
              <w:t>6000</w:t>
            </w:r>
          </w:p>
        </w:tc>
        <w:tc>
          <w:tcPr>
            <w:tcW w:w="2183" w:type="dxa"/>
          </w:tcPr>
          <w:p w:rsidR="00333BA1" w:rsidRPr="00B44074" w:rsidRDefault="00333BA1" w:rsidP="00333BA1">
            <w:r w:rsidRPr="00B44074">
              <w:t>12000</w:t>
            </w:r>
          </w:p>
        </w:tc>
      </w:tr>
      <w:tr w:rsidR="00333BA1" w:rsidTr="00D4530A">
        <w:tc>
          <w:tcPr>
            <w:tcW w:w="3060" w:type="dxa"/>
          </w:tcPr>
          <w:p w:rsidR="00333BA1" w:rsidRPr="00B44074" w:rsidRDefault="00333BA1" w:rsidP="00333BA1">
            <w:r w:rsidRPr="00B44074">
              <w:t>APC UPS 2200VA</w:t>
            </w:r>
          </w:p>
          <w:p w:rsidR="00333BA1" w:rsidRPr="00B44074" w:rsidRDefault="00333BA1" w:rsidP="00333BA1"/>
        </w:tc>
        <w:tc>
          <w:tcPr>
            <w:tcW w:w="1952" w:type="dxa"/>
          </w:tcPr>
          <w:p w:rsidR="00333BA1" w:rsidRPr="00B44074" w:rsidRDefault="00333BA1" w:rsidP="00333BA1">
            <w:r w:rsidRPr="00B44074">
              <w:t>4</w:t>
            </w:r>
          </w:p>
        </w:tc>
        <w:tc>
          <w:tcPr>
            <w:tcW w:w="2183" w:type="dxa"/>
          </w:tcPr>
          <w:p w:rsidR="00333BA1" w:rsidRPr="00B44074" w:rsidRDefault="00333BA1" w:rsidP="00333BA1">
            <w:r w:rsidRPr="00B44074">
              <w:t>1000</w:t>
            </w:r>
          </w:p>
        </w:tc>
        <w:tc>
          <w:tcPr>
            <w:tcW w:w="2183" w:type="dxa"/>
          </w:tcPr>
          <w:p w:rsidR="00333BA1" w:rsidRPr="00B44074" w:rsidRDefault="00333BA1" w:rsidP="00333BA1">
            <w:r w:rsidRPr="00B44074">
              <w:t>4000</w:t>
            </w:r>
          </w:p>
        </w:tc>
      </w:tr>
      <w:tr w:rsidR="00333BA1" w:rsidTr="00D4530A">
        <w:tc>
          <w:tcPr>
            <w:tcW w:w="3060" w:type="dxa"/>
          </w:tcPr>
          <w:p w:rsidR="00333BA1" w:rsidRPr="00B44074" w:rsidRDefault="00333BA1" w:rsidP="00333BA1">
            <w:r w:rsidRPr="00B44074">
              <w:t>APC UPS 750 VA</w:t>
            </w:r>
          </w:p>
          <w:p w:rsidR="00333BA1" w:rsidRPr="00B44074" w:rsidRDefault="00333BA1" w:rsidP="00333BA1"/>
        </w:tc>
        <w:tc>
          <w:tcPr>
            <w:tcW w:w="1952" w:type="dxa"/>
          </w:tcPr>
          <w:p w:rsidR="00333BA1" w:rsidRPr="00B44074" w:rsidRDefault="00333BA1" w:rsidP="00333BA1">
            <w:r w:rsidRPr="00B44074">
              <w:t>70</w:t>
            </w:r>
          </w:p>
        </w:tc>
        <w:tc>
          <w:tcPr>
            <w:tcW w:w="2183" w:type="dxa"/>
          </w:tcPr>
          <w:p w:rsidR="00333BA1" w:rsidRPr="00B44074" w:rsidRDefault="00333BA1" w:rsidP="00333BA1">
            <w:r w:rsidRPr="00B44074">
              <w:t>350</w:t>
            </w:r>
          </w:p>
        </w:tc>
        <w:tc>
          <w:tcPr>
            <w:tcW w:w="2183" w:type="dxa"/>
          </w:tcPr>
          <w:p w:rsidR="00333BA1" w:rsidRPr="00B44074" w:rsidRDefault="00333BA1" w:rsidP="00333BA1">
            <w:r w:rsidRPr="00B44074">
              <w:t>24,500</w:t>
            </w:r>
          </w:p>
        </w:tc>
      </w:tr>
      <w:tr w:rsidR="00333BA1" w:rsidTr="00D4530A">
        <w:tc>
          <w:tcPr>
            <w:tcW w:w="3060" w:type="dxa"/>
          </w:tcPr>
          <w:p w:rsidR="00333BA1" w:rsidRPr="00B44074" w:rsidRDefault="00333BA1" w:rsidP="00333BA1">
            <w:r w:rsidRPr="00B44074">
              <w:t>Switch 24 port</w:t>
            </w:r>
          </w:p>
          <w:p w:rsidR="00333BA1" w:rsidRPr="00B44074" w:rsidRDefault="00333BA1" w:rsidP="00333BA1"/>
        </w:tc>
        <w:tc>
          <w:tcPr>
            <w:tcW w:w="1952" w:type="dxa"/>
          </w:tcPr>
          <w:p w:rsidR="00333BA1" w:rsidRPr="00B44074" w:rsidRDefault="00333BA1" w:rsidP="00333BA1">
            <w:r w:rsidRPr="00B44074">
              <w:t>7</w:t>
            </w:r>
          </w:p>
        </w:tc>
        <w:tc>
          <w:tcPr>
            <w:tcW w:w="2183" w:type="dxa"/>
          </w:tcPr>
          <w:p w:rsidR="00333BA1" w:rsidRPr="00B44074" w:rsidRDefault="00333BA1" w:rsidP="00333BA1">
            <w:r w:rsidRPr="00B44074">
              <w:t>1200</w:t>
            </w:r>
          </w:p>
        </w:tc>
        <w:tc>
          <w:tcPr>
            <w:tcW w:w="2183" w:type="dxa"/>
          </w:tcPr>
          <w:p w:rsidR="00333BA1" w:rsidRPr="00B44074" w:rsidRDefault="00333BA1" w:rsidP="00333BA1">
            <w:r w:rsidRPr="00B44074">
              <w:t>8,400</w:t>
            </w:r>
          </w:p>
        </w:tc>
      </w:tr>
      <w:tr w:rsidR="00333BA1" w:rsidTr="00D4530A">
        <w:tc>
          <w:tcPr>
            <w:tcW w:w="3060" w:type="dxa"/>
          </w:tcPr>
          <w:p w:rsidR="00333BA1" w:rsidRPr="00B44074" w:rsidRDefault="00333BA1" w:rsidP="00333BA1">
            <w:r w:rsidRPr="00B44074">
              <w:t>Rack 6U</w:t>
            </w:r>
          </w:p>
          <w:p w:rsidR="00333BA1" w:rsidRPr="00B44074" w:rsidRDefault="00333BA1" w:rsidP="00333BA1"/>
        </w:tc>
        <w:tc>
          <w:tcPr>
            <w:tcW w:w="1952" w:type="dxa"/>
          </w:tcPr>
          <w:p w:rsidR="00333BA1" w:rsidRPr="00B44074" w:rsidRDefault="00333BA1" w:rsidP="00333BA1">
            <w:r w:rsidRPr="00B44074">
              <w:t>7</w:t>
            </w:r>
          </w:p>
        </w:tc>
        <w:tc>
          <w:tcPr>
            <w:tcW w:w="2183" w:type="dxa"/>
          </w:tcPr>
          <w:p w:rsidR="00333BA1" w:rsidRPr="00B44074" w:rsidRDefault="00333BA1" w:rsidP="00333BA1">
            <w:r w:rsidRPr="00B44074">
              <w:t>300</w:t>
            </w:r>
          </w:p>
        </w:tc>
        <w:tc>
          <w:tcPr>
            <w:tcW w:w="2183" w:type="dxa"/>
          </w:tcPr>
          <w:p w:rsidR="00333BA1" w:rsidRPr="00B44074" w:rsidRDefault="00333BA1" w:rsidP="00333BA1">
            <w:r w:rsidRPr="00B44074">
              <w:t>2100</w:t>
            </w:r>
          </w:p>
        </w:tc>
      </w:tr>
      <w:tr w:rsidR="00333BA1" w:rsidTr="00D4530A">
        <w:tc>
          <w:tcPr>
            <w:tcW w:w="3060" w:type="dxa"/>
          </w:tcPr>
          <w:p w:rsidR="00333BA1" w:rsidRPr="00B44074" w:rsidRDefault="00333BA1" w:rsidP="00333BA1">
            <w:r w:rsidRPr="00B44074">
              <w:t>UTP CAT6 Cable (Bandle)</w:t>
            </w:r>
          </w:p>
          <w:p w:rsidR="00333BA1" w:rsidRPr="00B44074" w:rsidRDefault="00333BA1" w:rsidP="00333BA1"/>
        </w:tc>
        <w:tc>
          <w:tcPr>
            <w:tcW w:w="1952" w:type="dxa"/>
          </w:tcPr>
          <w:p w:rsidR="00333BA1" w:rsidRPr="00B44074" w:rsidRDefault="00333BA1" w:rsidP="00333BA1">
            <w:r w:rsidRPr="00B44074">
              <w:t>10</w:t>
            </w:r>
          </w:p>
        </w:tc>
        <w:tc>
          <w:tcPr>
            <w:tcW w:w="2183" w:type="dxa"/>
          </w:tcPr>
          <w:p w:rsidR="00333BA1" w:rsidRPr="00B44074" w:rsidRDefault="00333BA1" w:rsidP="00333BA1">
            <w:r w:rsidRPr="00B44074">
              <w:t>397</w:t>
            </w:r>
          </w:p>
        </w:tc>
        <w:tc>
          <w:tcPr>
            <w:tcW w:w="2183" w:type="dxa"/>
          </w:tcPr>
          <w:p w:rsidR="00333BA1" w:rsidRPr="00B44074" w:rsidRDefault="00333BA1" w:rsidP="00333BA1">
            <w:r w:rsidRPr="00B44074">
              <w:t>3970</w:t>
            </w:r>
          </w:p>
        </w:tc>
      </w:tr>
      <w:tr w:rsidR="00333BA1" w:rsidTr="00D4530A">
        <w:tc>
          <w:tcPr>
            <w:tcW w:w="3060" w:type="dxa"/>
          </w:tcPr>
          <w:p w:rsidR="00333BA1" w:rsidRPr="00B44074" w:rsidRDefault="00333BA1" w:rsidP="00333BA1">
            <w:r w:rsidRPr="00B44074">
              <w:t>Trunk 40x20 (meter)</w:t>
            </w:r>
          </w:p>
          <w:p w:rsidR="00333BA1" w:rsidRPr="00B44074" w:rsidRDefault="00333BA1" w:rsidP="00333BA1"/>
        </w:tc>
        <w:tc>
          <w:tcPr>
            <w:tcW w:w="1952" w:type="dxa"/>
          </w:tcPr>
          <w:p w:rsidR="00333BA1" w:rsidRPr="00B44074" w:rsidRDefault="00333BA1" w:rsidP="00333BA1">
            <w:r w:rsidRPr="00B44074">
              <w:t>1800</w:t>
            </w:r>
          </w:p>
        </w:tc>
        <w:tc>
          <w:tcPr>
            <w:tcW w:w="2183" w:type="dxa"/>
          </w:tcPr>
          <w:p w:rsidR="00333BA1" w:rsidRPr="00B44074" w:rsidRDefault="00333BA1" w:rsidP="00333BA1">
            <w:r w:rsidRPr="00B44074">
              <w:t>2.3</w:t>
            </w:r>
          </w:p>
        </w:tc>
        <w:tc>
          <w:tcPr>
            <w:tcW w:w="2183" w:type="dxa"/>
          </w:tcPr>
          <w:p w:rsidR="00333BA1" w:rsidRPr="00B44074" w:rsidRDefault="00333BA1" w:rsidP="00333BA1">
            <w:r w:rsidRPr="00B44074">
              <w:t>4,140</w:t>
            </w:r>
          </w:p>
        </w:tc>
      </w:tr>
      <w:tr w:rsidR="00333BA1" w:rsidTr="00D4530A">
        <w:tc>
          <w:tcPr>
            <w:tcW w:w="3060" w:type="dxa"/>
          </w:tcPr>
          <w:p w:rsidR="00333BA1" w:rsidRPr="00B44074" w:rsidRDefault="00333BA1" w:rsidP="00333BA1">
            <w:r w:rsidRPr="00B44074">
              <w:t>Conduit 16 mm (meter)</w:t>
            </w:r>
          </w:p>
          <w:p w:rsidR="00333BA1" w:rsidRPr="00B44074" w:rsidRDefault="00333BA1" w:rsidP="00333BA1"/>
        </w:tc>
        <w:tc>
          <w:tcPr>
            <w:tcW w:w="1952" w:type="dxa"/>
          </w:tcPr>
          <w:p w:rsidR="00333BA1" w:rsidRPr="00B44074" w:rsidRDefault="00333BA1" w:rsidP="00333BA1">
            <w:r w:rsidRPr="00B44074">
              <w:t>350</w:t>
            </w:r>
          </w:p>
        </w:tc>
        <w:tc>
          <w:tcPr>
            <w:tcW w:w="2183" w:type="dxa"/>
          </w:tcPr>
          <w:p w:rsidR="00333BA1" w:rsidRPr="00B44074" w:rsidRDefault="00333BA1" w:rsidP="00333BA1">
            <w:r w:rsidRPr="00B44074">
              <w:t>0.50</w:t>
            </w:r>
          </w:p>
        </w:tc>
        <w:tc>
          <w:tcPr>
            <w:tcW w:w="2183" w:type="dxa"/>
          </w:tcPr>
          <w:p w:rsidR="00333BA1" w:rsidRPr="00B44074" w:rsidRDefault="00333BA1" w:rsidP="00333BA1">
            <w:r w:rsidRPr="00B44074">
              <w:t>175</w:t>
            </w:r>
          </w:p>
        </w:tc>
      </w:tr>
      <w:tr w:rsidR="00333BA1" w:rsidTr="00D4530A">
        <w:tc>
          <w:tcPr>
            <w:tcW w:w="3060" w:type="dxa"/>
          </w:tcPr>
          <w:p w:rsidR="00333BA1" w:rsidRPr="00B44074" w:rsidRDefault="00333BA1" w:rsidP="00333BA1">
            <w:r w:rsidRPr="00B44074">
              <w:t>Power Cable (meter)</w:t>
            </w:r>
          </w:p>
          <w:p w:rsidR="00333BA1" w:rsidRPr="00B44074" w:rsidRDefault="00333BA1" w:rsidP="00333BA1"/>
        </w:tc>
        <w:tc>
          <w:tcPr>
            <w:tcW w:w="1952" w:type="dxa"/>
          </w:tcPr>
          <w:p w:rsidR="00333BA1" w:rsidRPr="00B44074" w:rsidRDefault="00333BA1" w:rsidP="00333BA1">
            <w:r w:rsidRPr="00B44074">
              <w:t>50</w:t>
            </w:r>
          </w:p>
        </w:tc>
        <w:tc>
          <w:tcPr>
            <w:tcW w:w="2183" w:type="dxa"/>
          </w:tcPr>
          <w:p w:rsidR="00333BA1" w:rsidRPr="00B44074" w:rsidRDefault="00333BA1" w:rsidP="00333BA1">
            <w:r w:rsidRPr="00B44074">
              <w:t>2.4</w:t>
            </w:r>
          </w:p>
        </w:tc>
        <w:tc>
          <w:tcPr>
            <w:tcW w:w="2183" w:type="dxa"/>
          </w:tcPr>
          <w:p w:rsidR="00333BA1" w:rsidRPr="00B44074" w:rsidRDefault="00333BA1" w:rsidP="00333BA1">
            <w:r w:rsidRPr="00B44074">
              <w:t>120</w:t>
            </w:r>
          </w:p>
        </w:tc>
      </w:tr>
      <w:tr w:rsidR="00333BA1" w:rsidTr="00D4530A">
        <w:tc>
          <w:tcPr>
            <w:tcW w:w="3060" w:type="dxa"/>
          </w:tcPr>
          <w:p w:rsidR="00333BA1" w:rsidRPr="00B44074" w:rsidRDefault="00333BA1" w:rsidP="00333BA1">
            <w:r w:rsidRPr="00B44074">
              <w:t>Patch Panel CAT6 24 port</w:t>
            </w:r>
          </w:p>
          <w:p w:rsidR="00333BA1" w:rsidRPr="00B44074" w:rsidRDefault="00333BA1" w:rsidP="00333BA1"/>
        </w:tc>
        <w:tc>
          <w:tcPr>
            <w:tcW w:w="1952" w:type="dxa"/>
          </w:tcPr>
          <w:p w:rsidR="00333BA1" w:rsidRPr="00B44074" w:rsidRDefault="00333BA1" w:rsidP="00333BA1">
            <w:r w:rsidRPr="00B44074">
              <w:t>7</w:t>
            </w:r>
          </w:p>
        </w:tc>
        <w:tc>
          <w:tcPr>
            <w:tcW w:w="2183" w:type="dxa"/>
          </w:tcPr>
          <w:p w:rsidR="00333BA1" w:rsidRPr="00B44074" w:rsidRDefault="00333BA1" w:rsidP="00333BA1">
            <w:r w:rsidRPr="00B44074">
              <w:t>270</w:t>
            </w:r>
          </w:p>
        </w:tc>
        <w:tc>
          <w:tcPr>
            <w:tcW w:w="2183" w:type="dxa"/>
          </w:tcPr>
          <w:p w:rsidR="00333BA1" w:rsidRPr="00B44074" w:rsidRDefault="00333BA1" w:rsidP="00333BA1">
            <w:r w:rsidRPr="00B44074">
              <w:t>1890</w:t>
            </w:r>
          </w:p>
        </w:tc>
      </w:tr>
      <w:tr w:rsidR="00333BA1" w:rsidTr="00D4530A">
        <w:tc>
          <w:tcPr>
            <w:tcW w:w="3060" w:type="dxa"/>
          </w:tcPr>
          <w:p w:rsidR="00333BA1" w:rsidRPr="00B44074" w:rsidRDefault="00333BA1" w:rsidP="00333BA1">
            <w:r w:rsidRPr="00B44074">
              <w:t>RJ-45 wall mountable Sockets</w:t>
            </w:r>
          </w:p>
          <w:p w:rsidR="00333BA1" w:rsidRPr="00B44074" w:rsidRDefault="00333BA1" w:rsidP="00333BA1"/>
        </w:tc>
        <w:tc>
          <w:tcPr>
            <w:tcW w:w="1952" w:type="dxa"/>
          </w:tcPr>
          <w:p w:rsidR="00333BA1" w:rsidRPr="00B44074" w:rsidRDefault="00333BA1" w:rsidP="00333BA1">
            <w:r w:rsidRPr="00B44074">
              <w:t>25</w:t>
            </w:r>
          </w:p>
        </w:tc>
        <w:tc>
          <w:tcPr>
            <w:tcW w:w="2183" w:type="dxa"/>
          </w:tcPr>
          <w:p w:rsidR="00333BA1" w:rsidRPr="00B44074" w:rsidRDefault="00333BA1" w:rsidP="00333BA1">
            <w:r w:rsidRPr="00B44074">
              <w:t>8</w:t>
            </w:r>
          </w:p>
        </w:tc>
        <w:tc>
          <w:tcPr>
            <w:tcW w:w="2183" w:type="dxa"/>
          </w:tcPr>
          <w:p w:rsidR="00333BA1" w:rsidRPr="00B44074" w:rsidRDefault="00333BA1" w:rsidP="00333BA1">
            <w:r w:rsidRPr="00B44074">
              <w:t>200</w:t>
            </w:r>
          </w:p>
        </w:tc>
      </w:tr>
      <w:tr w:rsidR="00333BA1" w:rsidTr="00D4530A">
        <w:tc>
          <w:tcPr>
            <w:tcW w:w="3060" w:type="dxa"/>
          </w:tcPr>
          <w:p w:rsidR="00333BA1" w:rsidRPr="00B44074" w:rsidRDefault="00333BA1" w:rsidP="00333BA1">
            <w:r w:rsidRPr="00B44074">
              <w:t>PCI Wireless Adapter</w:t>
            </w:r>
          </w:p>
          <w:p w:rsidR="00333BA1" w:rsidRPr="00B44074" w:rsidRDefault="00333BA1" w:rsidP="00333BA1"/>
        </w:tc>
        <w:tc>
          <w:tcPr>
            <w:tcW w:w="1952" w:type="dxa"/>
          </w:tcPr>
          <w:p w:rsidR="00333BA1" w:rsidRPr="00B44074" w:rsidRDefault="00333BA1" w:rsidP="00333BA1">
            <w:r w:rsidRPr="00B44074">
              <w:t>10</w:t>
            </w:r>
          </w:p>
        </w:tc>
        <w:tc>
          <w:tcPr>
            <w:tcW w:w="2183" w:type="dxa"/>
          </w:tcPr>
          <w:p w:rsidR="00333BA1" w:rsidRPr="00B44074" w:rsidRDefault="00333BA1" w:rsidP="00333BA1">
            <w:r w:rsidRPr="00B44074">
              <w:t>60</w:t>
            </w:r>
          </w:p>
        </w:tc>
        <w:tc>
          <w:tcPr>
            <w:tcW w:w="2183" w:type="dxa"/>
          </w:tcPr>
          <w:p w:rsidR="00333BA1" w:rsidRPr="00B44074" w:rsidRDefault="00333BA1" w:rsidP="00333BA1">
            <w:r w:rsidRPr="00B44074">
              <w:t>600</w:t>
            </w:r>
          </w:p>
        </w:tc>
      </w:tr>
      <w:tr w:rsidR="00333BA1" w:rsidTr="00D4530A">
        <w:tc>
          <w:tcPr>
            <w:tcW w:w="3060" w:type="dxa"/>
          </w:tcPr>
          <w:p w:rsidR="00333BA1" w:rsidRPr="00B44074" w:rsidRDefault="00333BA1" w:rsidP="00333BA1">
            <w:r w:rsidRPr="00B44074">
              <w:t>RJ-45 Connector CAT 6</w:t>
            </w:r>
          </w:p>
          <w:p w:rsidR="00333BA1" w:rsidRPr="00B44074" w:rsidRDefault="00333BA1" w:rsidP="00333BA1"/>
        </w:tc>
        <w:tc>
          <w:tcPr>
            <w:tcW w:w="1952" w:type="dxa"/>
          </w:tcPr>
          <w:p w:rsidR="00333BA1" w:rsidRPr="00B44074" w:rsidRDefault="00333BA1" w:rsidP="00333BA1">
            <w:r w:rsidRPr="00B44074">
              <w:t>60</w:t>
            </w:r>
          </w:p>
        </w:tc>
        <w:tc>
          <w:tcPr>
            <w:tcW w:w="2183" w:type="dxa"/>
          </w:tcPr>
          <w:p w:rsidR="00333BA1" w:rsidRPr="00B44074" w:rsidRDefault="00333BA1" w:rsidP="00333BA1">
            <w:r w:rsidRPr="00B44074">
              <w:t>0.50</w:t>
            </w:r>
          </w:p>
        </w:tc>
        <w:tc>
          <w:tcPr>
            <w:tcW w:w="2183" w:type="dxa"/>
          </w:tcPr>
          <w:p w:rsidR="00333BA1" w:rsidRPr="00B44074" w:rsidRDefault="00333BA1" w:rsidP="00333BA1">
            <w:r w:rsidRPr="00B44074">
              <w:t>30</w:t>
            </w:r>
          </w:p>
        </w:tc>
      </w:tr>
      <w:tr w:rsidR="00333BA1" w:rsidTr="00D4530A">
        <w:tc>
          <w:tcPr>
            <w:tcW w:w="3060" w:type="dxa"/>
          </w:tcPr>
          <w:p w:rsidR="00333BA1" w:rsidRPr="00B44074" w:rsidRDefault="00333BA1" w:rsidP="00D4530A">
            <w:r w:rsidRPr="00B44074">
              <w:t>Re-enforcement Cable (Meters)</w:t>
            </w:r>
          </w:p>
        </w:tc>
        <w:tc>
          <w:tcPr>
            <w:tcW w:w="1952" w:type="dxa"/>
          </w:tcPr>
          <w:p w:rsidR="00333BA1" w:rsidRPr="00B44074" w:rsidRDefault="00333BA1" w:rsidP="00333BA1">
            <w:r w:rsidRPr="00B44074">
              <w:t>250</w:t>
            </w:r>
          </w:p>
        </w:tc>
        <w:tc>
          <w:tcPr>
            <w:tcW w:w="2183" w:type="dxa"/>
          </w:tcPr>
          <w:p w:rsidR="00333BA1" w:rsidRPr="00B44074" w:rsidRDefault="00333BA1" w:rsidP="00333BA1">
            <w:r w:rsidRPr="00B44074">
              <w:t>2.00</w:t>
            </w:r>
          </w:p>
        </w:tc>
        <w:tc>
          <w:tcPr>
            <w:tcW w:w="2183" w:type="dxa"/>
          </w:tcPr>
          <w:p w:rsidR="00333BA1" w:rsidRPr="00B44074" w:rsidRDefault="00333BA1" w:rsidP="00333BA1">
            <w:r w:rsidRPr="00B44074">
              <w:t>500</w:t>
            </w:r>
          </w:p>
        </w:tc>
      </w:tr>
      <w:tr w:rsidR="00333BA1" w:rsidTr="00D4530A">
        <w:tc>
          <w:tcPr>
            <w:tcW w:w="3060" w:type="dxa"/>
          </w:tcPr>
          <w:p w:rsidR="00333BA1" w:rsidRPr="00B44074" w:rsidRDefault="00333BA1" w:rsidP="00333BA1">
            <w:r w:rsidRPr="00B44074">
              <w:t>Electric Extension Cord</w:t>
            </w:r>
          </w:p>
          <w:p w:rsidR="00333BA1" w:rsidRPr="00B44074" w:rsidRDefault="00333BA1" w:rsidP="00333BA1"/>
        </w:tc>
        <w:tc>
          <w:tcPr>
            <w:tcW w:w="1952" w:type="dxa"/>
          </w:tcPr>
          <w:p w:rsidR="00333BA1" w:rsidRPr="00B44074" w:rsidRDefault="00333BA1" w:rsidP="00333BA1">
            <w:r w:rsidRPr="00B44074">
              <w:t>20</w:t>
            </w:r>
          </w:p>
        </w:tc>
        <w:tc>
          <w:tcPr>
            <w:tcW w:w="2183" w:type="dxa"/>
          </w:tcPr>
          <w:p w:rsidR="00333BA1" w:rsidRPr="00B44074" w:rsidRDefault="00333BA1" w:rsidP="00333BA1">
            <w:r w:rsidRPr="00B44074">
              <w:t>15</w:t>
            </w:r>
          </w:p>
        </w:tc>
        <w:tc>
          <w:tcPr>
            <w:tcW w:w="2183" w:type="dxa"/>
          </w:tcPr>
          <w:p w:rsidR="00333BA1" w:rsidRPr="00B44074" w:rsidRDefault="00333BA1" w:rsidP="00333BA1">
            <w:r w:rsidRPr="00B44074">
              <w:t>300</w:t>
            </w:r>
          </w:p>
        </w:tc>
      </w:tr>
      <w:tr w:rsidR="00333BA1" w:rsidTr="00D4530A">
        <w:tc>
          <w:tcPr>
            <w:tcW w:w="3060" w:type="dxa"/>
          </w:tcPr>
          <w:p w:rsidR="00333BA1" w:rsidRPr="00B44074" w:rsidRDefault="00333BA1" w:rsidP="00333BA1">
            <w:r w:rsidRPr="00B44074">
              <w:t>Server Cooling Fan</w:t>
            </w:r>
          </w:p>
        </w:tc>
        <w:tc>
          <w:tcPr>
            <w:tcW w:w="1952" w:type="dxa"/>
          </w:tcPr>
          <w:p w:rsidR="00333BA1" w:rsidRPr="00B44074" w:rsidRDefault="00333BA1" w:rsidP="00333BA1">
            <w:r w:rsidRPr="00B44074">
              <w:t>2</w:t>
            </w:r>
          </w:p>
        </w:tc>
        <w:tc>
          <w:tcPr>
            <w:tcW w:w="2183" w:type="dxa"/>
          </w:tcPr>
          <w:p w:rsidR="00333BA1" w:rsidRPr="00B44074" w:rsidRDefault="00333BA1" w:rsidP="00333BA1">
            <w:r w:rsidRPr="00B44074">
              <w:t>48</w:t>
            </w:r>
          </w:p>
        </w:tc>
        <w:tc>
          <w:tcPr>
            <w:tcW w:w="2183" w:type="dxa"/>
          </w:tcPr>
          <w:p w:rsidR="00333BA1" w:rsidRPr="00B44074" w:rsidRDefault="00333BA1" w:rsidP="00333BA1">
            <w:r w:rsidRPr="00B44074">
              <w:t>96</w:t>
            </w:r>
          </w:p>
        </w:tc>
      </w:tr>
      <w:tr w:rsidR="00333BA1" w:rsidTr="00D4530A">
        <w:tc>
          <w:tcPr>
            <w:tcW w:w="3060" w:type="dxa"/>
          </w:tcPr>
          <w:p w:rsidR="00333BA1" w:rsidRPr="00B44074" w:rsidRDefault="00333BA1" w:rsidP="00333BA1">
            <w:r w:rsidRPr="00B44074">
              <w:t>Electric Power Sockets</w:t>
            </w:r>
          </w:p>
        </w:tc>
        <w:tc>
          <w:tcPr>
            <w:tcW w:w="1952" w:type="dxa"/>
          </w:tcPr>
          <w:p w:rsidR="00333BA1" w:rsidRPr="00B44074" w:rsidRDefault="00333BA1" w:rsidP="00333BA1">
            <w:r w:rsidRPr="00B44074">
              <w:t>5</w:t>
            </w:r>
          </w:p>
        </w:tc>
        <w:tc>
          <w:tcPr>
            <w:tcW w:w="2183" w:type="dxa"/>
          </w:tcPr>
          <w:p w:rsidR="00333BA1" w:rsidRPr="00B44074" w:rsidRDefault="00333BA1" w:rsidP="00333BA1">
            <w:r w:rsidRPr="00B44074">
              <w:t>2.</w:t>
            </w:r>
            <w:r>
              <w:t>8</w:t>
            </w:r>
            <w:r w:rsidRPr="00B44074">
              <w:t>0</w:t>
            </w:r>
          </w:p>
        </w:tc>
        <w:tc>
          <w:tcPr>
            <w:tcW w:w="2183" w:type="dxa"/>
          </w:tcPr>
          <w:p w:rsidR="00333BA1" w:rsidRPr="00B44074" w:rsidRDefault="00333BA1" w:rsidP="00333BA1">
            <w:r>
              <w:t>14</w:t>
            </w:r>
          </w:p>
        </w:tc>
      </w:tr>
      <w:tr w:rsidR="00D4530A" w:rsidTr="00D4530A">
        <w:tc>
          <w:tcPr>
            <w:tcW w:w="7195" w:type="dxa"/>
            <w:gridSpan w:val="3"/>
          </w:tcPr>
          <w:p w:rsidR="00D4530A" w:rsidRPr="00D4530A" w:rsidRDefault="00D4530A" w:rsidP="00D4530A">
            <w:pPr>
              <w:jc w:val="right"/>
              <w:rPr>
                <w:rFonts w:ascii="Times New Roman" w:hAnsi="Times New Roman"/>
                <w:b/>
                <w:sz w:val="28"/>
                <w:szCs w:val="28"/>
              </w:rPr>
            </w:pPr>
            <w:r w:rsidRPr="00D4530A">
              <w:rPr>
                <w:b/>
              </w:rPr>
              <w:t>Total Price</w:t>
            </w:r>
          </w:p>
        </w:tc>
        <w:tc>
          <w:tcPr>
            <w:tcW w:w="2183" w:type="dxa"/>
          </w:tcPr>
          <w:p w:rsidR="00D4530A" w:rsidRPr="00D4530A" w:rsidRDefault="00D4530A" w:rsidP="00D4530A">
            <w:pPr>
              <w:rPr>
                <w:b/>
              </w:rPr>
            </w:pPr>
            <w:r w:rsidRPr="00D4530A">
              <w:rPr>
                <w:b/>
              </w:rPr>
              <w:t>149,835</w:t>
            </w:r>
          </w:p>
        </w:tc>
      </w:tr>
    </w:tbl>
    <w:p w:rsidR="00333BA1" w:rsidRDefault="00333BA1" w:rsidP="00912287">
      <w:pPr>
        <w:pStyle w:val="ListParagraph"/>
        <w:ind w:firstLine="0"/>
        <w:jc w:val="both"/>
        <w:rPr>
          <w:rFonts w:ascii="Arial" w:hAnsi="Arial" w:cs="Arial"/>
          <w:b w:val="0"/>
          <w:sz w:val="22"/>
          <w:szCs w:val="22"/>
        </w:rPr>
      </w:pPr>
    </w:p>
    <w:p w:rsidR="00407661" w:rsidRDefault="00407661">
      <w:pPr>
        <w:spacing w:after="200"/>
        <w:rPr>
          <w:rFonts w:ascii="Arial" w:hAnsi="Arial" w:cs="Arial"/>
        </w:rPr>
      </w:pPr>
      <w:r>
        <w:rPr>
          <w:rFonts w:ascii="Arial" w:hAnsi="Arial" w:cs="Arial"/>
          <w:b/>
        </w:rPr>
        <w:br w:type="page"/>
      </w:r>
    </w:p>
    <w:p w:rsidR="00D4530A" w:rsidRPr="00420362" w:rsidRDefault="00D4530A" w:rsidP="00E03A70">
      <w:pPr>
        <w:pStyle w:val="ListParagraph"/>
        <w:ind w:firstLine="0"/>
        <w:jc w:val="both"/>
        <w:rPr>
          <w:rFonts w:ascii="Arial" w:hAnsi="Arial" w:cs="Arial"/>
          <w:sz w:val="22"/>
          <w:szCs w:val="22"/>
        </w:rPr>
      </w:pPr>
      <w:r w:rsidRPr="00420362">
        <w:rPr>
          <w:rFonts w:ascii="Arial" w:hAnsi="Arial" w:cs="Arial"/>
          <w:sz w:val="22"/>
          <w:szCs w:val="22"/>
        </w:rPr>
        <w:lastRenderedPageBreak/>
        <w:t>Annex 2</w:t>
      </w:r>
      <w:r w:rsidR="00E03A70" w:rsidRPr="00420362">
        <w:rPr>
          <w:rFonts w:ascii="Arial" w:hAnsi="Arial" w:cs="Arial"/>
          <w:sz w:val="22"/>
          <w:szCs w:val="22"/>
        </w:rPr>
        <w:t>.</w:t>
      </w:r>
    </w:p>
    <w:p w:rsidR="00D4530A" w:rsidRPr="00E03A70" w:rsidRDefault="00D4530A" w:rsidP="00E03A70">
      <w:pPr>
        <w:jc w:val="both"/>
        <w:rPr>
          <w:rFonts w:ascii="Arial" w:hAnsi="Arial" w:cs="Arial"/>
          <w:b/>
        </w:rPr>
      </w:pPr>
      <w:r w:rsidRPr="00E03A70">
        <w:rPr>
          <w:rFonts w:ascii="Arial" w:hAnsi="Arial" w:cs="Arial"/>
          <w:b/>
        </w:rPr>
        <w:t xml:space="preserve">Table 2: Detail cost break down for training cost per participant </w:t>
      </w:r>
    </w:p>
    <w:tbl>
      <w:tblPr>
        <w:tblW w:w="1009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94"/>
        <w:gridCol w:w="2532"/>
        <w:gridCol w:w="1279"/>
        <w:gridCol w:w="1409"/>
        <w:gridCol w:w="1800"/>
      </w:tblGrid>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S.N</w:t>
            </w:r>
          </w:p>
        </w:tc>
        <w:tc>
          <w:tcPr>
            <w:tcW w:w="249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 xml:space="preserve">Activity </w:t>
            </w:r>
          </w:p>
        </w:tc>
        <w:tc>
          <w:tcPr>
            <w:tcW w:w="2532"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Budget description</w:t>
            </w:r>
          </w:p>
        </w:tc>
        <w:tc>
          <w:tcPr>
            <w:tcW w:w="127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 xml:space="preserve">Unit cost </w:t>
            </w:r>
          </w:p>
        </w:tc>
        <w:tc>
          <w:tcPr>
            <w:tcW w:w="140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total</w:t>
            </w:r>
          </w:p>
        </w:tc>
        <w:tc>
          <w:tcPr>
            <w:tcW w:w="1800"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Remark</w:t>
            </w:r>
            <w:r>
              <w:rPr>
                <w:rFonts w:cs="Arial"/>
                <w:sz w:val="22"/>
                <w:lang w:val="en-GB"/>
              </w:rPr>
              <w:t xml:space="preserve"> </w:t>
            </w:r>
          </w:p>
        </w:tc>
      </w:tr>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1</w:t>
            </w:r>
          </w:p>
        </w:tc>
        <w:tc>
          <w:tcPr>
            <w:tcW w:w="249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 xml:space="preserve">Per diem </w:t>
            </w:r>
          </w:p>
        </w:tc>
        <w:tc>
          <w:tcPr>
            <w:tcW w:w="2532" w:type="dxa"/>
          </w:tcPr>
          <w:p w:rsidR="00D4530A" w:rsidRPr="00BA058D" w:rsidRDefault="00D4530A" w:rsidP="00D4530A">
            <w:pPr>
              <w:pStyle w:val="ListBullet"/>
              <w:numPr>
                <w:ilvl w:val="0"/>
                <w:numId w:val="4"/>
              </w:numPr>
              <w:ind w:left="162" w:hanging="180"/>
              <w:rPr>
                <w:rFonts w:cs="Arial"/>
                <w:sz w:val="22"/>
                <w:lang w:val="en-GB"/>
              </w:rPr>
            </w:pPr>
            <w:r w:rsidRPr="00BA058D">
              <w:rPr>
                <w:rFonts w:cs="Arial"/>
                <w:sz w:val="22"/>
                <w:lang w:val="en-GB"/>
              </w:rPr>
              <w:t>Total number of training (12) and average transportation day days (2) = 14</w:t>
            </w:r>
          </w:p>
          <w:p w:rsidR="00D4530A" w:rsidRPr="00BA058D" w:rsidRDefault="00D4530A" w:rsidP="00D4530A">
            <w:pPr>
              <w:pStyle w:val="ListBullet"/>
              <w:numPr>
                <w:ilvl w:val="0"/>
                <w:numId w:val="4"/>
              </w:numPr>
              <w:ind w:left="162" w:hanging="180"/>
              <w:rPr>
                <w:rFonts w:cs="Arial"/>
                <w:sz w:val="22"/>
                <w:lang w:val="en-GB"/>
              </w:rPr>
            </w:pPr>
            <w:r w:rsidRPr="00BA058D">
              <w:rPr>
                <w:rFonts w:cs="Arial"/>
                <w:sz w:val="22"/>
                <w:lang w:val="en-GB"/>
              </w:rPr>
              <w:t>Perdiem per day =</w:t>
            </w:r>
            <w:r>
              <w:rPr>
                <w:rFonts w:cs="Arial"/>
                <w:sz w:val="22"/>
                <w:lang w:val="en-GB"/>
              </w:rPr>
              <w:t xml:space="preserve"> </w:t>
            </w:r>
            <w:r w:rsidRPr="00BA058D">
              <w:rPr>
                <w:rFonts w:cs="Arial"/>
                <w:sz w:val="22"/>
                <w:lang w:val="en-GB"/>
              </w:rPr>
              <w:t>150 birr (8.57USD)</w:t>
            </w:r>
          </w:p>
          <w:p w:rsidR="00D4530A" w:rsidRPr="00BA058D" w:rsidRDefault="00D4530A" w:rsidP="00317540">
            <w:pPr>
              <w:pStyle w:val="ListBullet"/>
              <w:numPr>
                <w:ilvl w:val="0"/>
                <w:numId w:val="0"/>
              </w:numPr>
              <w:rPr>
                <w:rFonts w:cs="Arial"/>
                <w:sz w:val="22"/>
                <w:lang w:val="en-GB"/>
              </w:rPr>
            </w:pPr>
          </w:p>
        </w:tc>
        <w:tc>
          <w:tcPr>
            <w:tcW w:w="127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14</w:t>
            </w:r>
            <w:r>
              <w:rPr>
                <w:rFonts w:cs="Arial"/>
                <w:sz w:val="22"/>
                <w:lang w:val="en-GB"/>
              </w:rPr>
              <w:t xml:space="preserve"> </w:t>
            </w:r>
            <w:r w:rsidRPr="00BA058D">
              <w:rPr>
                <w:rFonts w:cs="Arial"/>
                <w:sz w:val="22"/>
                <w:lang w:val="en-GB"/>
              </w:rPr>
              <w:t>days X 8.57 USD</w:t>
            </w:r>
          </w:p>
        </w:tc>
        <w:tc>
          <w:tcPr>
            <w:tcW w:w="140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120</w:t>
            </w:r>
            <w:r>
              <w:rPr>
                <w:rFonts w:cs="Arial"/>
                <w:sz w:val="22"/>
                <w:lang w:val="en-GB"/>
              </w:rPr>
              <w:t xml:space="preserve"> USD</w:t>
            </w:r>
          </w:p>
        </w:tc>
        <w:tc>
          <w:tcPr>
            <w:tcW w:w="1800" w:type="dxa"/>
          </w:tcPr>
          <w:p w:rsidR="00D4530A" w:rsidRPr="00BA058D" w:rsidRDefault="00D4530A" w:rsidP="00317540">
            <w:pPr>
              <w:pStyle w:val="ListBullet"/>
              <w:numPr>
                <w:ilvl w:val="0"/>
                <w:numId w:val="0"/>
              </w:numPr>
              <w:rPr>
                <w:rFonts w:cs="Arial"/>
                <w:sz w:val="22"/>
                <w:lang w:val="en-GB"/>
              </w:rPr>
            </w:pPr>
          </w:p>
        </w:tc>
      </w:tr>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2</w:t>
            </w:r>
          </w:p>
        </w:tc>
        <w:tc>
          <w:tcPr>
            <w:tcW w:w="249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 xml:space="preserve">Refreshment </w:t>
            </w:r>
          </w:p>
        </w:tc>
        <w:tc>
          <w:tcPr>
            <w:tcW w:w="2532" w:type="dxa"/>
          </w:tcPr>
          <w:p w:rsidR="00D4530A" w:rsidRPr="00BA058D" w:rsidRDefault="00D4530A" w:rsidP="00D4530A">
            <w:pPr>
              <w:pStyle w:val="ListBullet"/>
              <w:numPr>
                <w:ilvl w:val="0"/>
                <w:numId w:val="4"/>
              </w:numPr>
              <w:ind w:left="162" w:hanging="180"/>
              <w:rPr>
                <w:rFonts w:cs="Arial"/>
                <w:sz w:val="22"/>
                <w:lang w:val="en-GB"/>
              </w:rPr>
            </w:pPr>
            <w:r w:rsidRPr="00BA058D">
              <w:rPr>
                <w:rFonts w:cs="Arial"/>
                <w:sz w:val="22"/>
                <w:lang w:val="en-GB"/>
              </w:rPr>
              <w:t>Total number of training days = 12</w:t>
            </w:r>
          </w:p>
          <w:p w:rsidR="00D4530A" w:rsidRPr="00BA058D" w:rsidRDefault="00D4530A" w:rsidP="00D4530A">
            <w:pPr>
              <w:pStyle w:val="ListBullet"/>
              <w:numPr>
                <w:ilvl w:val="0"/>
                <w:numId w:val="4"/>
              </w:numPr>
              <w:ind w:left="162" w:hanging="180"/>
              <w:rPr>
                <w:rFonts w:cs="Arial"/>
                <w:sz w:val="22"/>
                <w:lang w:val="en-GB"/>
              </w:rPr>
            </w:pPr>
            <w:r w:rsidRPr="00BA058D">
              <w:rPr>
                <w:rFonts w:cs="Arial"/>
                <w:sz w:val="22"/>
                <w:lang w:val="en-GB"/>
              </w:rPr>
              <w:t>Average refreshment cost 3 USD/per day</w:t>
            </w:r>
          </w:p>
        </w:tc>
        <w:tc>
          <w:tcPr>
            <w:tcW w:w="127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12 days X 3USD</w:t>
            </w:r>
          </w:p>
        </w:tc>
        <w:tc>
          <w:tcPr>
            <w:tcW w:w="140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36 USD</w:t>
            </w:r>
          </w:p>
        </w:tc>
        <w:tc>
          <w:tcPr>
            <w:tcW w:w="1800" w:type="dxa"/>
          </w:tcPr>
          <w:p w:rsidR="00D4530A" w:rsidRPr="00BA058D" w:rsidRDefault="00D4530A" w:rsidP="00317540">
            <w:pPr>
              <w:pStyle w:val="ListBullet"/>
              <w:numPr>
                <w:ilvl w:val="0"/>
                <w:numId w:val="0"/>
              </w:numPr>
              <w:rPr>
                <w:rFonts w:cs="Arial"/>
                <w:sz w:val="22"/>
                <w:lang w:val="en-GB"/>
              </w:rPr>
            </w:pPr>
          </w:p>
        </w:tc>
      </w:tr>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3</w:t>
            </w:r>
          </w:p>
        </w:tc>
        <w:tc>
          <w:tcPr>
            <w:tcW w:w="249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The share of each trainees from the cost of hall rent (1.5USD/day=1.5X12=18USD), stationary(1</w:t>
            </w:r>
            <w:r>
              <w:rPr>
                <w:rFonts w:cs="Arial"/>
                <w:sz w:val="22"/>
                <w:lang w:val="en-GB"/>
              </w:rPr>
              <w:t>4</w:t>
            </w:r>
            <w:r w:rsidRPr="00BA058D">
              <w:rPr>
                <w:rFonts w:cs="Arial"/>
                <w:sz w:val="22"/>
                <w:lang w:val="en-GB"/>
              </w:rPr>
              <w:t>USD/participant) and field practice (12 USD/Participant)</w:t>
            </w:r>
          </w:p>
        </w:tc>
        <w:tc>
          <w:tcPr>
            <w:tcW w:w="2532" w:type="dxa"/>
          </w:tcPr>
          <w:p w:rsidR="00D4530A" w:rsidRPr="00BA058D" w:rsidRDefault="00D4530A" w:rsidP="00317540">
            <w:pPr>
              <w:pStyle w:val="ListBullet"/>
              <w:numPr>
                <w:ilvl w:val="0"/>
                <w:numId w:val="0"/>
              </w:numPr>
              <w:rPr>
                <w:rFonts w:cs="Arial"/>
                <w:sz w:val="22"/>
                <w:lang w:val="en-GB"/>
              </w:rPr>
            </w:pPr>
          </w:p>
        </w:tc>
        <w:tc>
          <w:tcPr>
            <w:tcW w:w="127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18+1</w:t>
            </w:r>
            <w:r>
              <w:rPr>
                <w:rFonts w:cs="Arial"/>
                <w:sz w:val="22"/>
                <w:lang w:val="en-GB"/>
              </w:rPr>
              <w:t>4</w:t>
            </w:r>
            <w:r w:rsidRPr="00BA058D">
              <w:rPr>
                <w:rFonts w:cs="Arial"/>
                <w:sz w:val="22"/>
                <w:lang w:val="en-GB"/>
              </w:rPr>
              <w:t>+12</w:t>
            </w:r>
          </w:p>
        </w:tc>
        <w:tc>
          <w:tcPr>
            <w:tcW w:w="140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44 USD</w:t>
            </w:r>
          </w:p>
        </w:tc>
        <w:tc>
          <w:tcPr>
            <w:tcW w:w="1800"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 xml:space="preserve">The assumption is 30 trainees per session, </w:t>
            </w:r>
          </w:p>
        </w:tc>
      </w:tr>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4</w:t>
            </w:r>
          </w:p>
        </w:tc>
        <w:tc>
          <w:tcPr>
            <w:tcW w:w="2494"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The share of each trainees from the cost incurred to  trainers, Woreda coordinators and facilitators per session</w:t>
            </w:r>
          </w:p>
        </w:tc>
        <w:tc>
          <w:tcPr>
            <w:tcW w:w="2532" w:type="dxa"/>
          </w:tcPr>
          <w:p w:rsidR="00D4530A" w:rsidRPr="00BA058D" w:rsidRDefault="00D4530A" w:rsidP="00317540">
            <w:pPr>
              <w:pStyle w:val="ListBullet"/>
              <w:numPr>
                <w:ilvl w:val="0"/>
                <w:numId w:val="0"/>
              </w:numPr>
              <w:rPr>
                <w:rFonts w:cs="Arial"/>
                <w:sz w:val="22"/>
                <w:lang w:val="en-GB"/>
              </w:rPr>
            </w:pPr>
            <w:r>
              <w:rPr>
                <w:rFonts w:cs="Arial"/>
                <w:sz w:val="22"/>
                <w:lang w:val="en-GB"/>
              </w:rPr>
              <w:t>4 trainers, 2 facilitators and 1-2 Woreda coordinators</w:t>
            </w:r>
          </w:p>
        </w:tc>
        <w:tc>
          <w:tcPr>
            <w:tcW w:w="1279" w:type="dxa"/>
          </w:tcPr>
          <w:p w:rsidR="00D4530A" w:rsidRPr="00BA058D" w:rsidRDefault="00D4530A" w:rsidP="00317540">
            <w:pPr>
              <w:pStyle w:val="ListBullet"/>
              <w:numPr>
                <w:ilvl w:val="0"/>
                <w:numId w:val="0"/>
              </w:numPr>
              <w:rPr>
                <w:rFonts w:cs="Arial"/>
                <w:sz w:val="22"/>
                <w:lang w:val="en-GB"/>
              </w:rPr>
            </w:pPr>
          </w:p>
        </w:tc>
        <w:tc>
          <w:tcPr>
            <w:tcW w:w="1409" w:type="dxa"/>
          </w:tcPr>
          <w:p w:rsidR="00D4530A" w:rsidRPr="00BA058D" w:rsidRDefault="00D4530A" w:rsidP="00317540">
            <w:pPr>
              <w:pStyle w:val="ListBullet"/>
              <w:numPr>
                <w:ilvl w:val="0"/>
                <w:numId w:val="0"/>
              </w:numPr>
              <w:rPr>
                <w:rFonts w:cs="Arial"/>
                <w:sz w:val="22"/>
                <w:lang w:val="en-GB"/>
              </w:rPr>
            </w:pPr>
            <w:r w:rsidRPr="00BA058D">
              <w:rPr>
                <w:rFonts w:cs="Arial"/>
                <w:sz w:val="22"/>
                <w:lang w:val="en-GB"/>
              </w:rPr>
              <w:t>5</w:t>
            </w:r>
            <w:r>
              <w:rPr>
                <w:rFonts w:cs="Arial"/>
                <w:sz w:val="22"/>
                <w:lang w:val="en-GB"/>
              </w:rPr>
              <w:t>2</w:t>
            </w:r>
            <w:r w:rsidRPr="00BA058D">
              <w:rPr>
                <w:rFonts w:cs="Arial"/>
                <w:sz w:val="22"/>
                <w:lang w:val="en-GB"/>
              </w:rPr>
              <w:t xml:space="preserve"> USD</w:t>
            </w:r>
          </w:p>
        </w:tc>
        <w:tc>
          <w:tcPr>
            <w:tcW w:w="1800" w:type="dxa"/>
          </w:tcPr>
          <w:p w:rsidR="00D4530A" w:rsidRPr="00BA058D" w:rsidRDefault="00D4530A" w:rsidP="00317540">
            <w:pPr>
              <w:pStyle w:val="ListBullet"/>
              <w:numPr>
                <w:ilvl w:val="0"/>
                <w:numId w:val="0"/>
              </w:numPr>
              <w:rPr>
                <w:rFonts w:cs="Arial"/>
                <w:sz w:val="22"/>
                <w:lang w:val="en-GB"/>
              </w:rPr>
            </w:pPr>
          </w:p>
        </w:tc>
      </w:tr>
      <w:tr w:rsidR="00D4530A" w:rsidRPr="00EC3B15" w:rsidTr="00D4530A">
        <w:tc>
          <w:tcPr>
            <w:tcW w:w="584" w:type="dxa"/>
          </w:tcPr>
          <w:p w:rsidR="00D4530A" w:rsidRPr="00EC3B15" w:rsidRDefault="00D4530A" w:rsidP="00317540">
            <w:pPr>
              <w:pStyle w:val="ListBullet"/>
              <w:numPr>
                <w:ilvl w:val="0"/>
                <w:numId w:val="0"/>
              </w:numPr>
              <w:rPr>
                <w:rFonts w:cs="Arial"/>
                <w:b/>
                <w:sz w:val="22"/>
                <w:lang w:val="en-GB"/>
              </w:rPr>
            </w:pPr>
          </w:p>
        </w:tc>
        <w:tc>
          <w:tcPr>
            <w:tcW w:w="2494" w:type="dxa"/>
          </w:tcPr>
          <w:p w:rsidR="00D4530A" w:rsidRPr="00EC3B15" w:rsidRDefault="00D4530A" w:rsidP="00317540">
            <w:pPr>
              <w:pStyle w:val="ListBullet"/>
              <w:numPr>
                <w:ilvl w:val="0"/>
                <w:numId w:val="0"/>
              </w:numPr>
              <w:rPr>
                <w:rFonts w:cs="Arial"/>
                <w:b/>
                <w:sz w:val="22"/>
                <w:lang w:val="en-GB"/>
              </w:rPr>
            </w:pPr>
            <w:r w:rsidRPr="00EC3B15">
              <w:rPr>
                <w:rFonts w:cs="Arial"/>
                <w:b/>
                <w:sz w:val="22"/>
                <w:lang w:val="en-GB"/>
              </w:rPr>
              <w:t xml:space="preserve">Sub total </w:t>
            </w:r>
          </w:p>
        </w:tc>
        <w:tc>
          <w:tcPr>
            <w:tcW w:w="2532" w:type="dxa"/>
          </w:tcPr>
          <w:p w:rsidR="00D4530A" w:rsidRPr="00EC3B15" w:rsidRDefault="00D4530A" w:rsidP="00317540">
            <w:pPr>
              <w:pStyle w:val="ListBullet"/>
              <w:numPr>
                <w:ilvl w:val="0"/>
                <w:numId w:val="0"/>
              </w:numPr>
              <w:rPr>
                <w:rFonts w:cs="Arial"/>
                <w:b/>
                <w:sz w:val="22"/>
                <w:lang w:val="en-GB"/>
              </w:rPr>
            </w:pPr>
          </w:p>
        </w:tc>
        <w:tc>
          <w:tcPr>
            <w:tcW w:w="1279" w:type="dxa"/>
          </w:tcPr>
          <w:p w:rsidR="00D4530A" w:rsidRPr="00EC3B15" w:rsidRDefault="00D4530A" w:rsidP="00317540">
            <w:pPr>
              <w:pStyle w:val="ListBullet"/>
              <w:numPr>
                <w:ilvl w:val="0"/>
                <w:numId w:val="0"/>
              </w:numPr>
              <w:rPr>
                <w:rFonts w:cs="Arial"/>
                <w:b/>
                <w:sz w:val="22"/>
                <w:lang w:val="en-GB"/>
              </w:rPr>
            </w:pPr>
          </w:p>
        </w:tc>
        <w:tc>
          <w:tcPr>
            <w:tcW w:w="1409" w:type="dxa"/>
          </w:tcPr>
          <w:p w:rsidR="00D4530A" w:rsidRPr="00EC3B15" w:rsidRDefault="00D4530A" w:rsidP="00317540">
            <w:pPr>
              <w:pStyle w:val="ListBullet"/>
              <w:numPr>
                <w:ilvl w:val="0"/>
                <w:numId w:val="0"/>
              </w:numPr>
              <w:rPr>
                <w:rFonts w:cs="Arial"/>
                <w:b/>
                <w:sz w:val="22"/>
                <w:lang w:val="en-GB"/>
              </w:rPr>
            </w:pPr>
            <w:r w:rsidRPr="00EC3B15">
              <w:rPr>
                <w:rFonts w:cs="Arial"/>
                <w:b/>
                <w:sz w:val="22"/>
                <w:lang w:val="en-GB"/>
              </w:rPr>
              <w:t>252</w:t>
            </w:r>
          </w:p>
        </w:tc>
        <w:tc>
          <w:tcPr>
            <w:tcW w:w="1800" w:type="dxa"/>
          </w:tcPr>
          <w:p w:rsidR="00D4530A" w:rsidRPr="00EC3B15" w:rsidRDefault="00D4530A" w:rsidP="00317540">
            <w:pPr>
              <w:pStyle w:val="ListBullet"/>
              <w:numPr>
                <w:ilvl w:val="0"/>
                <w:numId w:val="0"/>
              </w:numPr>
              <w:rPr>
                <w:rFonts w:cs="Arial"/>
                <w:b/>
                <w:sz w:val="22"/>
                <w:lang w:val="en-GB"/>
              </w:rPr>
            </w:pPr>
          </w:p>
        </w:tc>
      </w:tr>
      <w:tr w:rsidR="00D4530A" w:rsidRPr="00BA058D" w:rsidTr="00D4530A">
        <w:tc>
          <w:tcPr>
            <w:tcW w:w="584" w:type="dxa"/>
          </w:tcPr>
          <w:p w:rsidR="00D4530A" w:rsidRPr="00BA058D" w:rsidRDefault="00D4530A" w:rsidP="00317540">
            <w:pPr>
              <w:pStyle w:val="ListBullet"/>
              <w:numPr>
                <w:ilvl w:val="0"/>
                <w:numId w:val="0"/>
              </w:numPr>
              <w:rPr>
                <w:rFonts w:cs="Arial"/>
                <w:sz w:val="22"/>
                <w:lang w:val="en-GB"/>
              </w:rPr>
            </w:pPr>
          </w:p>
        </w:tc>
        <w:tc>
          <w:tcPr>
            <w:tcW w:w="2494" w:type="dxa"/>
          </w:tcPr>
          <w:p w:rsidR="00D4530A" w:rsidRPr="00BA058D" w:rsidRDefault="00D4530A" w:rsidP="00317540">
            <w:pPr>
              <w:pStyle w:val="ListBullet"/>
              <w:numPr>
                <w:ilvl w:val="0"/>
                <w:numId w:val="0"/>
              </w:numPr>
              <w:rPr>
                <w:rFonts w:cs="Arial"/>
                <w:sz w:val="22"/>
                <w:lang w:val="en-GB"/>
              </w:rPr>
            </w:pPr>
            <w:r>
              <w:rPr>
                <w:rFonts w:cs="Arial"/>
                <w:sz w:val="22"/>
                <w:lang w:val="en-GB"/>
              </w:rPr>
              <w:t>Contingency cost</w:t>
            </w:r>
            <w:r w:rsidRPr="00BA058D">
              <w:rPr>
                <w:rFonts w:cs="Arial"/>
                <w:sz w:val="22"/>
                <w:lang w:val="en-GB"/>
              </w:rPr>
              <w:t xml:space="preserve"> </w:t>
            </w:r>
          </w:p>
        </w:tc>
        <w:tc>
          <w:tcPr>
            <w:tcW w:w="2532" w:type="dxa"/>
          </w:tcPr>
          <w:p w:rsidR="00D4530A" w:rsidRPr="00BA058D" w:rsidRDefault="00D4530A" w:rsidP="00317540">
            <w:pPr>
              <w:pStyle w:val="ListBullet"/>
              <w:numPr>
                <w:ilvl w:val="0"/>
                <w:numId w:val="0"/>
              </w:numPr>
              <w:rPr>
                <w:rFonts w:cs="Arial"/>
                <w:sz w:val="22"/>
                <w:lang w:val="en-GB"/>
              </w:rPr>
            </w:pPr>
            <w:r>
              <w:rPr>
                <w:rFonts w:cs="Arial"/>
                <w:sz w:val="22"/>
                <w:lang w:val="en-GB"/>
              </w:rPr>
              <w:t>10</w:t>
            </w:r>
            <w:r w:rsidRPr="00BA058D">
              <w:rPr>
                <w:rFonts w:cs="Arial"/>
                <w:sz w:val="22"/>
                <w:lang w:val="en-GB"/>
              </w:rPr>
              <w:t xml:space="preserve">% of the total cost </w:t>
            </w:r>
          </w:p>
        </w:tc>
        <w:tc>
          <w:tcPr>
            <w:tcW w:w="1279" w:type="dxa"/>
          </w:tcPr>
          <w:p w:rsidR="00D4530A" w:rsidRPr="00BA058D" w:rsidRDefault="00D4530A" w:rsidP="00317540">
            <w:pPr>
              <w:pStyle w:val="ListBullet"/>
              <w:numPr>
                <w:ilvl w:val="0"/>
                <w:numId w:val="0"/>
              </w:numPr>
              <w:rPr>
                <w:rFonts w:cs="Arial"/>
                <w:sz w:val="22"/>
                <w:lang w:val="en-GB"/>
              </w:rPr>
            </w:pPr>
          </w:p>
        </w:tc>
        <w:tc>
          <w:tcPr>
            <w:tcW w:w="1409" w:type="dxa"/>
          </w:tcPr>
          <w:p w:rsidR="00D4530A" w:rsidRPr="00BA058D" w:rsidRDefault="00D4530A" w:rsidP="00317540">
            <w:pPr>
              <w:pStyle w:val="ListBullet"/>
              <w:numPr>
                <w:ilvl w:val="0"/>
                <w:numId w:val="0"/>
              </w:numPr>
              <w:rPr>
                <w:rFonts w:cs="Arial"/>
                <w:sz w:val="22"/>
                <w:lang w:val="en-GB"/>
              </w:rPr>
            </w:pPr>
            <w:r>
              <w:rPr>
                <w:rFonts w:cs="Arial"/>
                <w:sz w:val="22"/>
                <w:lang w:val="en-GB"/>
              </w:rPr>
              <w:t>25.2</w:t>
            </w:r>
          </w:p>
        </w:tc>
        <w:tc>
          <w:tcPr>
            <w:tcW w:w="1800" w:type="dxa"/>
          </w:tcPr>
          <w:p w:rsidR="00D4530A" w:rsidRPr="00BA058D" w:rsidRDefault="00D4530A" w:rsidP="00317540">
            <w:pPr>
              <w:pStyle w:val="ListBullet"/>
              <w:numPr>
                <w:ilvl w:val="0"/>
                <w:numId w:val="0"/>
              </w:numPr>
              <w:rPr>
                <w:rFonts w:cs="Arial"/>
                <w:sz w:val="22"/>
                <w:lang w:val="en-GB"/>
              </w:rPr>
            </w:pPr>
          </w:p>
        </w:tc>
      </w:tr>
      <w:tr w:rsidR="00D4530A" w:rsidRPr="00EC3B15" w:rsidTr="00D4530A">
        <w:tc>
          <w:tcPr>
            <w:tcW w:w="584" w:type="dxa"/>
          </w:tcPr>
          <w:p w:rsidR="00D4530A" w:rsidRPr="00EC3B15" w:rsidRDefault="00D4530A" w:rsidP="00317540">
            <w:pPr>
              <w:pStyle w:val="ListBullet"/>
              <w:numPr>
                <w:ilvl w:val="0"/>
                <w:numId w:val="0"/>
              </w:numPr>
              <w:rPr>
                <w:rFonts w:cs="Arial"/>
                <w:b/>
                <w:sz w:val="22"/>
                <w:u w:val="single"/>
                <w:lang w:val="en-GB"/>
              </w:rPr>
            </w:pPr>
          </w:p>
        </w:tc>
        <w:tc>
          <w:tcPr>
            <w:tcW w:w="2494" w:type="dxa"/>
          </w:tcPr>
          <w:p w:rsidR="00D4530A" w:rsidRPr="00EC3B15" w:rsidRDefault="00D4530A" w:rsidP="00317540">
            <w:pPr>
              <w:pStyle w:val="ListBullet"/>
              <w:numPr>
                <w:ilvl w:val="0"/>
                <w:numId w:val="0"/>
              </w:numPr>
              <w:rPr>
                <w:rFonts w:cs="Arial"/>
                <w:b/>
                <w:sz w:val="22"/>
                <w:u w:val="single"/>
                <w:lang w:val="en-GB"/>
              </w:rPr>
            </w:pPr>
            <w:r w:rsidRPr="00EC3B15">
              <w:rPr>
                <w:rFonts w:cs="Arial"/>
                <w:b/>
                <w:sz w:val="22"/>
                <w:u w:val="single"/>
                <w:lang w:val="en-GB"/>
              </w:rPr>
              <w:t xml:space="preserve">Grand total </w:t>
            </w:r>
          </w:p>
        </w:tc>
        <w:tc>
          <w:tcPr>
            <w:tcW w:w="2532" w:type="dxa"/>
          </w:tcPr>
          <w:p w:rsidR="00D4530A" w:rsidRPr="00EC3B15" w:rsidRDefault="00D4530A" w:rsidP="00317540">
            <w:pPr>
              <w:pStyle w:val="ListBullet"/>
              <w:numPr>
                <w:ilvl w:val="0"/>
                <w:numId w:val="0"/>
              </w:numPr>
              <w:rPr>
                <w:rFonts w:cs="Arial"/>
                <w:b/>
                <w:sz w:val="22"/>
                <w:u w:val="single"/>
                <w:lang w:val="en-GB"/>
              </w:rPr>
            </w:pPr>
          </w:p>
        </w:tc>
        <w:tc>
          <w:tcPr>
            <w:tcW w:w="1279" w:type="dxa"/>
          </w:tcPr>
          <w:p w:rsidR="00D4530A" w:rsidRPr="00EC3B15" w:rsidRDefault="00D4530A" w:rsidP="00317540">
            <w:pPr>
              <w:pStyle w:val="ListBullet"/>
              <w:numPr>
                <w:ilvl w:val="0"/>
                <w:numId w:val="0"/>
              </w:numPr>
              <w:rPr>
                <w:rFonts w:cs="Arial"/>
                <w:b/>
                <w:sz w:val="22"/>
                <w:u w:val="single"/>
                <w:lang w:val="en-GB"/>
              </w:rPr>
            </w:pPr>
          </w:p>
        </w:tc>
        <w:tc>
          <w:tcPr>
            <w:tcW w:w="1409" w:type="dxa"/>
          </w:tcPr>
          <w:p w:rsidR="00D4530A" w:rsidRPr="00EC3B15" w:rsidRDefault="00D4530A" w:rsidP="00317540">
            <w:pPr>
              <w:pStyle w:val="ListBullet"/>
              <w:numPr>
                <w:ilvl w:val="0"/>
                <w:numId w:val="0"/>
              </w:numPr>
              <w:rPr>
                <w:rFonts w:cs="Arial"/>
                <w:b/>
                <w:sz w:val="22"/>
                <w:u w:val="single"/>
                <w:lang w:val="en-GB"/>
              </w:rPr>
            </w:pPr>
            <w:r w:rsidRPr="00EC3B15">
              <w:rPr>
                <w:rFonts w:cs="Arial"/>
                <w:b/>
                <w:sz w:val="22"/>
                <w:u w:val="single"/>
                <w:lang w:val="en-GB"/>
              </w:rPr>
              <w:t>277.2</w:t>
            </w:r>
          </w:p>
        </w:tc>
        <w:tc>
          <w:tcPr>
            <w:tcW w:w="1800" w:type="dxa"/>
          </w:tcPr>
          <w:p w:rsidR="00D4530A" w:rsidRPr="00EC3B15" w:rsidRDefault="00D4530A" w:rsidP="00317540">
            <w:pPr>
              <w:pStyle w:val="ListBullet"/>
              <w:numPr>
                <w:ilvl w:val="0"/>
                <w:numId w:val="0"/>
              </w:numPr>
              <w:rPr>
                <w:rFonts w:cs="Arial"/>
                <w:b/>
                <w:sz w:val="22"/>
                <w:u w:val="single"/>
                <w:lang w:val="en-GB"/>
              </w:rPr>
            </w:pPr>
          </w:p>
        </w:tc>
      </w:tr>
    </w:tbl>
    <w:p w:rsidR="00D4530A" w:rsidRDefault="00D4530A" w:rsidP="00D4530A"/>
    <w:p w:rsidR="00D4530A" w:rsidRPr="002A6F3A" w:rsidRDefault="00D4530A" w:rsidP="002A6F3A">
      <w:pPr>
        <w:pStyle w:val="ListParagraph"/>
        <w:ind w:firstLine="0"/>
        <w:jc w:val="both"/>
        <w:rPr>
          <w:rFonts w:ascii="Arial" w:hAnsi="Arial" w:cs="Arial"/>
          <w:b w:val="0"/>
          <w:sz w:val="22"/>
          <w:szCs w:val="22"/>
        </w:rPr>
      </w:pPr>
    </w:p>
    <w:p w:rsidR="006E36E0" w:rsidRDefault="006E36E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p w:rsidR="00E03A70" w:rsidRDefault="00E03A70" w:rsidP="00A803E6">
      <w:pPr>
        <w:rPr>
          <w:rFonts w:ascii="Arial" w:hAnsi="Arial" w:cs="Arial"/>
          <w:lang w:val="en-GB"/>
        </w:rPr>
      </w:pPr>
    </w:p>
    <w:tbl>
      <w:tblPr>
        <w:tblW w:w="8892" w:type="dxa"/>
        <w:tblInd w:w="95" w:type="dxa"/>
        <w:tblLook w:val="04A0"/>
      </w:tblPr>
      <w:tblGrid>
        <w:gridCol w:w="1543"/>
        <w:gridCol w:w="6120"/>
        <w:gridCol w:w="1229"/>
      </w:tblGrid>
      <w:tr w:rsidR="00E03A70" w:rsidRPr="00E03A70" w:rsidTr="00407661">
        <w:trPr>
          <w:trHeight w:val="367"/>
        </w:trPr>
        <w:tc>
          <w:tcPr>
            <w:tcW w:w="8892" w:type="dxa"/>
            <w:gridSpan w:val="3"/>
            <w:vMerge w:val="restart"/>
            <w:tcBorders>
              <w:top w:val="nil"/>
              <w:left w:val="nil"/>
              <w:bottom w:val="single" w:sz="4" w:space="0" w:color="000000"/>
              <w:right w:val="nil"/>
            </w:tcBorders>
            <w:shd w:val="clear" w:color="auto" w:fill="auto"/>
            <w:noWrap/>
            <w:vAlign w:val="bottom"/>
            <w:hideMark/>
          </w:tcPr>
          <w:p w:rsidR="00E03A70" w:rsidRPr="00420362" w:rsidRDefault="00E03A70" w:rsidP="00E03A70">
            <w:pPr>
              <w:jc w:val="both"/>
              <w:rPr>
                <w:rFonts w:ascii="Arial" w:hAnsi="Arial" w:cs="Arial"/>
                <w:b/>
              </w:rPr>
            </w:pPr>
            <w:r w:rsidRPr="00420362">
              <w:rPr>
                <w:rFonts w:ascii="Arial" w:hAnsi="Arial" w:cs="Arial"/>
                <w:b/>
              </w:rPr>
              <w:lastRenderedPageBreak/>
              <w:t>Annex 3.</w:t>
            </w:r>
          </w:p>
          <w:p w:rsidR="00E03A70" w:rsidRPr="00E03A70" w:rsidRDefault="00E03A70" w:rsidP="00E03A70">
            <w:pPr>
              <w:jc w:val="both"/>
              <w:rPr>
                <w:rFonts w:ascii="Arial" w:hAnsi="Arial" w:cs="Arial"/>
                <w:b/>
              </w:rPr>
            </w:pPr>
            <w:r w:rsidRPr="00420362">
              <w:rPr>
                <w:rFonts w:ascii="Arial" w:hAnsi="Arial" w:cs="Arial"/>
                <w:b/>
              </w:rPr>
              <w:t>Table 4: List</w:t>
            </w:r>
            <w:r w:rsidRPr="00E03A70">
              <w:rPr>
                <w:rFonts w:ascii="Arial" w:hAnsi="Arial" w:cs="Arial"/>
                <w:b/>
              </w:rPr>
              <w:t xml:space="preserve"> of  health center equipments</w:t>
            </w:r>
          </w:p>
        </w:tc>
      </w:tr>
      <w:tr w:rsidR="00E03A70" w:rsidRPr="00E03A70" w:rsidTr="00407661">
        <w:trPr>
          <w:trHeight w:val="367"/>
        </w:trPr>
        <w:tc>
          <w:tcPr>
            <w:tcW w:w="8892" w:type="dxa"/>
            <w:gridSpan w:val="3"/>
            <w:vMerge/>
            <w:tcBorders>
              <w:top w:val="nil"/>
              <w:left w:val="nil"/>
              <w:bottom w:val="single" w:sz="4" w:space="0" w:color="000000"/>
              <w:right w:val="nil"/>
            </w:tcBorders>
            <w:vAlign w:val="center"/>
            <w:hideMark/>
          </w:tcPr>
          <w:p w:rsidR="00E03A70" w:rsidRPr="00E03A70" w:rsidRDefault="00E03A70" w:rsidP="00E03A70">
            <w:pPr>
              <w:spacing w:line="240" w:lineRule="auto"/>
              <w:rPr>
                <w:rFonts w:ascii="Cooper Black" w:eastAsia="Times New Roman" w:hAnsi="Cooper Black"/>
                <w:color w:val="000000"/>
                <w:sz w:val="32"/>
                <w:szCs w:val="32"/>
              </w:rPr>
            </w:pP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ascii="Cooper Black" w:eastAsia="Times New Roman" w:hAnsi="Cooper Black"/>
                <w:color w:val="000000"/>
              </w:rPr>
            </w:pPr>
            <w:r w:rsidRPr="00E03A70">
              <w:rPr>
                <w:rFonts w:ascii="Cooper Black" w:eastAsia="Times New Roman" w:hAnsi="Cooper Black"/>
                <w:color w:val="000000"/>
              </w:rPr>
              <w:t xml:space="preserve">Lot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Item/equipment</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ascii="Cooper Black" w:eastAsia="Times New Roman" w:hAnsi="Cooper Black"/>
                <w:b/>
                <w:bCs/>
                <w:color w:val="000000"/>
              </w:rPr>
            </w:pPr>
            <w:r w:rsidRPr="00E03A70">
              <w:rPr>
                <w:rFonts w:ascii="Cooper Black" w:eastAsia="Times New Roman" w:hAnsi="Cooper Black"/>
                <w:b/>
                <w:bCs/>
                <w:color w:val="000000"/>
              </w:rPr>
              <w:t>Quantity</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Lot I</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Microscope</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Lot II</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Centrifuge</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Hand driven centrifuge</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Lot III</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Sterilizers</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Hot air sterilizer</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Steam sterilizer</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sterilizer</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Pressure cooker</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Sterilization drum 24x24 cm</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Sterilization drum 36x36cm</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Sterilization drum 29x35</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Lot IV</w:t>
            </w:r>
          </w:p>
        </w:tc>
        <w:tc>
          <w:tcPr>
            <w:tcW w:w="6120"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Refrigerators</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 </w:t>
            </w:r>
          </w:p>
        </w:tc>
      </w:tr>
      <w:tr w:rsidR="00E03A70" w:rsidRPr="00E03A70" w:rsidTr="00407661">
        <w:trPr>
          <w:trHeight w:val="300"/>
        </w:trPr>
        <w:tc>
          <w:tcPr>
            <w:tcW w:w="1543" w:type="dxa"/>
            <w:tcBorders>
              <w:top w:val="nil"/>
              <w:left w:val="single" w:sz="4" w:space="0" w:color="auto"/>
              <w:bottom w:val="single" w:sz="4" w:space="0" w:color="auto"/>
              <w:right w:val="nil"/>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Medical refrigerator 120-130 L</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nil"/>
            </w:tcBorders>
            <w:shd w:val="clear" w:color="auto" w:fill="auto"/>
            <w:noWrap/>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w:t>
            </w:r>
          </w:p>
        </w:tc>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Medical refrigerator 60-80 L</w:t>
            </w:r>
          </w:p>
        </w:tc>
        <w:tc>
          <w:tcPr>
            <w:tcW w:w="1229" w:type="dxa"/>
            <w:tcBorders>
              <w:top w:val="nil"/>
              <w:left w:val="nil"/>
              <w:bottom w:val="single" w:sz="4" w:space="0" w:color="auto"/>
              <w:right w:val="single" w:sz="4" w:space="0" w:color="auto"/>
            </w:tcBorders>
            <w:shd w:val="clear" w:color="auto" w:fill="auto"/>
            <w:noWrap/>
            <w:vAlign w:val="bottom"/>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nil"/>
            </w:tcBorders>
            <w:shd w:val="clear" w:color="auto" w:fill="auto"/>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 xml:space="preserve">Lot V </w:t>
            </w:r>
          </w:p>
        </w:tc>
        <w:tc>
          <w:tcPr>
            <w:tcW w:w="6120" w:type="dxa"/>
            <w:tcBorders>
              <w:top w:val="nil"/>
              <w:left w:val="single" w:sz="4" w:space="0" w:color="auto"/>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Laboratory &amp; Pharmacy Equipment </w:t>
            </w:r>
          </w:p>
        </w:tc>
        <w:tc>
          <w:tcPr>
            <w:tcW w:w="1229"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Differential counter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Alarm timer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Haemoglobinometer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xml:space="preserve">Precision balance </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Spoon</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Measuring cylinder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Jug</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Water filtration apparatus</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Laboratory glass wares</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ascii="Cooper Black" w:eastAsia="Times New Roman" w:hAnsi="Cooper Black"/>
                <w:color w:val="000000"/>
              </w:rPr>
            </w:pPr>
            <w:r w:rsidRPr="00E03A70">
              <w:rPr>
                <w:rFonts w:ascii="Cooper Black" w:eastAsia="Times New Roman" w:hAnsi="Cooper Black"/>
                <w:color w:val="000000"/>
              </w:rPr>
              <w:t>Lot VI</w:t>
            </w:r>
          </w:p>
        </w:tc>
        <w:tc>
          <w:tcPr>
            <w:tcW w:w="6120" w:type="dxa"/>
            <w:tcBorders>
              <w:top w:val="nil"/>
              <w:left w:val="nil"/>
              <w:bottom w:val="single" w:sz="4" w:space="0" w:color="auto"/>
              <w:right w:val="nil"/>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Examination, Treatment, MCH, OR &amp; Delivery Equipment </w:t>
            </w:r>
          </w:p>
        </w:tc>
        <w:tc>
          <w:tcPr>
            <w:tcW w:w="1229" w:type="dxa"/>
            <w:tcBorders>
              <w:top w:val="nil"/>
              <w:left w:val="single" w:sz="4" w:space="0" w:color="auto"/>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Examination light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xml:space="preserve">Sphygmomanometer </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xml:space="preserve">Stethoscope </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Fetal stethoscope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trolley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trolley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tray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tray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 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Filter tray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10</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Tablet counting tray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Bowl</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Bowl</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lastRenderedPageBreak/>
              <w:t>13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Bowl with stand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Infusion stand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10</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Vacuum extractor (Manual)</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Oxygen cylinder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Instrument cabinet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Stretcher with trolley</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Wheel chair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20</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Examination couch</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Gynecological examination bed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Delivery bed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Baby crib</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Patient bed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7</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Patient bed</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Screen</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Pick up forceps with jar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000000" w:fill="FFFFFF"/>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28</w:t>
            </w:r>
          </w:p>
        </w:tc>
        <w:tc>
          <w:tcPr>
            <w:tcW w:w="6120" w:type="dxa"/>
            <w:tcBorders>
              <w:top w:val="nil"/>
              <w:left w:val="nil"/>
              <w:bottom w:val="single" w:sz="4" w:space="0" w:color="auto"/>
              <w:right w:val="single" w:sz="4" w:space="0" w:color="auto"/>
            </w:tcBorders>
            <w:shd w:val="clear" w:color="000000" w:fill="FFFFFF"/>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Delivery forceps (set)</w:t>
            </w:r>
          </w:p>
        </w:tc>
        <w:tc>
          <w:tcPr>
            <w:tcW w:w="1229" w:type="dxa"/>
            <w:tcBorders>
              <w:top w:val="nil"/>
              <w:left w:val="nil"/>
              <w:bottom w:val="single" w:sz="4" w:space="0" w:color="auto"/>
              <w:right w:val="single" w:sz="4" w:space="0" w:color="auto"/>
            </w:tcBorders>
            <w:shd w:val="clear" w:color="000000" w:fill="FFFFFF"/>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Cup for cotton swabs</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30</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Resuscitation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Thermometer rectal</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xml:space="preserve">Thermonmeter </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Tape meter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Visual chart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Hand torch</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 xml:space="preserve">Adult Scale </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Infant scale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Bed pan</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7</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Urinal female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40</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Enema can</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Wash basin</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Pot with cover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Kidney dish</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Kidney dish</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Breast pump</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Aspirator</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Sputum cup</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Sputum cup</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Urine bottle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50</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Stove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2 </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51</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Stool OR type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52</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Minor operation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53</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D&amp;C complete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lastRenderedPageBreak/>
              <w:t>54</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Dental extraction set (complete)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55</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Dressing instrument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56</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MCH diagnostic kit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4</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57</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Diagnostic set (complete)</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r w:rsidR="00E03A70" w:rsidRPr="00E03A70" w:rsidTr="00407661">
        <w:trPr>
          <w:trHeight w:val="315"/>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58</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Delivery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3</w:t>
            </w:r>
          </w:p>
        </w:tc>
      </w:tr>
      <w:tr w:rsidR="00E03A70" w:rsidRPr="00E03A70" w:rsidTr="00407661">
        <w:trPr>
          <w:trHeight w:val="300"/>
        </w:trPr>
        <w:tc>
          <w:tcPr>
            <w:tcW w:w="1543" w:type="dxa"/>
            <w:tcBorders>
              <w:top w:val="nil"/>
              <w:left w:val="single" w:sz="4" w:space="0" w:color="auto"/>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59</w:t>
            </w:r>
          </w:p>
        </w:tc>
        <w:tc>
          <w:tcPr>
            <w:tcW w:w="6120" w:type="dxa"/>
            <w:tcBorders>
              <w:top w:val="nil"/>
              <w:left w:val="nil"/>
              <w:bottom w:val="single" w:sz="4" w:space="0" w:color="auto"/>
              <w:right w:val="single" w:sz="4" w:space="0" w:color="auto"/>
            </w:tcBorders>
            <w:shd w:val="clear" w:color="auto" w:fill="auto"/>
            <w:vAlign w:val="bottom"/>
            <w:hideMark/>
          </w:tcPr>
          <w:p w:rsidR="00E03A70" w:rsidRPr="00E03A70" w:rsidRDefault="00E03A70" w:rsidP="00E03A70">
            <w:pPr>
              <w:spacing w:line="240" w:lineRule="auto"/>
              <w:rPr>
                <w:rFonts w:eastAsia="Times New Roman"/>
                <w:color w:val="000000"/>
              </w:rPr>
            </w:pPr>
            <w:r w:rsidRPr="00E03A70">
              <w:rPr>
                <w:rFonts w:eastAsia="Times New Roman"/>
                <w:color w:val="000000"/>
              </w:rPr>
              <w:t>Craniotomy set</w:t>
            </w:r>
          </w:p>
        </w:tc>
        <w:tc>
          <w:tcPr>
            <w:tcW w:w="1229" w:type="dxa"/>
            <w:tcBorders>
              <w:top w:val="nil"/>
              <w:left w:val="nil"/>
              <w:bottom w:val="single" w:sz="4" w:space="0" w:color="auto"/>
              <w:right w:val="single" w:sz="4" w:space="0" w:color="auto"/>
            </w:tcBorders>
            <w:shd w:val="clear" w:color="auto" w:fill="auto"/>
            <w:hideMark/>
          </w:tcPr>
          <w:p w:rsidR="00E03A70" w:rsidRPr="00E03A70" w:rsidRDefault="00E03A70" w:rsidP="00E03A70">
            <w:pPr>
              <w:spacing w:line="240" w:lineRule="auto"/>
              <w:jc w:val="right"/>
              <w:rPr>
                <w:rFonts w:eastAsia="Times New Roman"/>
                <w:color w:val="000000"/>
              </w:rPr>
            </w:pPr>
            <w:r w:rsidRPr="00E03A70">
              <w:rPr>
                <w:rFonts w:eastAsia="Times New Roman"/>
                <w:color w:val="000000"/>
              </w:rPr>
              <w:t>1</w:t>
            </w:r>
          </w:p>
        </w:tc>
      </w:tr>
    </w:tbl>
    <w:p w:rsidR="00E03A70" w:rsidRPr="00E03A70" w:rsidRDefault="00E03A70" w:rsidP="00A803E6">
      <w:pPr>
        <w:rPr>
          <w:rFonts w:ascii="Arial" w:hAnsi="Arial" w:cs="Arial"/>
          <w:lang w:val="en-GB"/>
        </w:rPr>
      </w:pPr>
    </w:p>
    <w:sectPr w:rsidR="00E03A70" w:rsidRPr="00E03A70" w:rsidSect="0045230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FE4" w:rsidRDefault="00C06FE4" w:rsidP="00317540">
      <w:pPr>
        <w:spacing w:line="240" w:lineRule="auto"/>
      </w:pPr>
      <w:r>
        <w:separator/>
      </w:r>
    </w:p>
  </w:endnote>
  <w:endnote w:type="continuationSeparator" w:id="1">
    <w:p w:rsidR="00C06FE4" w:rsidRDefault="00C06FE4" w:rsidP="003175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2485"/>
      <w:docPartObj>
        <w:docPartGallery w:val="Page Numbers (Bottom of Page)"/>
        <w:docPartUnique/>
      </w:docPartObj>
    </w:sdtPr>
    <w:sdtContent>
      <w:p w:rsidR="009E2BDD" w:rsidRDefault="009E2BDD">
        <w:pPr>
          <w:pStyle w:val="Footer"/>
          <w:jc w:val="center"/>
        </w:pPr>
        <w:fldSimple w:instr=" PAGE   \* MERGEFORMAT ">
          <w:r w:rsidR="00420362">
            <w:rPr>
              <w:noProof/>
            </w:rPr>
            <w:t>5</w:t>
          </w:r>
        </w:fldSimple>
      </w:p>
    </w:sdtContent>
  </w:sdt>
  <w:p w:rsidR="009E2BDD" w:rsidRDefault="009E2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FE4" w:rsidRDefault="00C06FE4" w:rsidP="00317540">
      <w:pPr>
        <w:spacing w:line="240" w:lineRule="auto"/>
      </w:pPr>
      <w:r>
        <w:separator/>
      </w:r>
    </w:p>
  </w:footnote>
  <w:footnote w:type="continuationSeparator" w:id="1">
    <w:p w:rsidR="00C06FE4" w:rsidRDefault="00C06FE4" w:rsidP="003175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BCCA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B90898"/>
    <w:multiLevelType w:val="hybridMultilevel"/>
    <w:tmpl w:val="4B6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10136"/>
    <w:multiLevelType w:val="hybridMultilevel"/>
    <w:tmpl w:val="6138FDAE"/>
    <w:lvl w:ilvl="0" w:tplc="0409000F">
      <w:start w:val="1"/>
      <w:numFmt w:val="decimal"/>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34928CD"/>
    <w:multiLevelType w:val="hybridMultilevel"/>
    <w:tmpl w:val="3C98E0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C17F7"/>
    <w:multiLevelType w:val="hybridMultilevel"/>
    <w:tmpl w:val="E27893EC"/>
    <w:lvl w:ilvl="0" w:tplc="0809000F">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06C6423"/>
    <w:multiLevelType w:val="hybridMultilevel"/>
    <w:tmpl w:val="EEA6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F34AD"/>
    <w:multiLevelType w:val="hybridMultilevel"/>
    <w:tmpl w:val="0B6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6E36E0"/>
    <w:rsid w:val="000A6488"/>
    <w:rsid w:val="001C4BFD"/>
    <w:rsid w:val="00234D4B"/>
    <w:rsid w:val="002A6F3A"/>
    <w:rsid w:val="002B73AF"/>
    <w:rsid w:val="00317540"/>
    <w:rsid w:val="0032532B"/>
    <w:rsid w:val="00333BA1"/>
    <w:rsid w:val="003560A7"/>
    <w:rsid w:val="003575F9"/>
    <w:rsid w:val="003F4C27"/>
    <w:rsid w:val="00407661"/>
    <w:rsid w:val="00420362"/>
    <w:rsid w:val="004477B6"/>
    <w:rsid w:val="00452309"/>
    <w:rsid w:val="00563B82"/>
    <w:rsid w:val="006C2B39"/>
    <w:rsid w:val="006D2990"/>
    <w:rsid w:val="006E36E0"/>
    <w:rsid w:val="007304ED"/>
    <w:rsid w:val="00795C1F"/>
    <w:rsid w:val="007F3137"/>
    <w:rsid w:val="008358C9"/>
    <w:rsid w:val="00852617"/>
    <w:rsid w:val="008714D4"/>
    <w:rsid w:val="008A6535"/>
    <w:rsid w:val="008D5753"/>
    <w:rsid w:val="00900D82"/>
    <w:rsid w:val="00912287"/>
    <w:rsid w:val="0093228E"/>
    <w:rsid w:val="009E2BDD"/>
    <w:rsid w:val="00A803E6"/>
    <w:rsid w:val="00AC482F"/>
    <w:rsid w:val="00B0056A"/>
    <w:rsid w:val="00B11DC9"/>
    <w:rsid w:val="00BA7099"/>
    <w:rsid w:val="00BF761E"/>
    <w:rsid w:val="00C06FE4"/>
    <w:rsid w:val="00C663B9"/>
    <w:rsid w:val="00CA73DF"/>
    <w:rsid w:val="00CD78C7"/>
    <w:rsid w:val="00CF62D6"/>
    <w:rsid w:val="00D05C3D"/>
    <w:rsid w:val="00D4530A"/>
    <w:rsid w:val="00D51387"/>
    <w:rsid w:val="00D5380D"/>
    <w:rsid w:val="00D66D21"/>
    <w:rsid w:val="00DB72E7"/>
    <w:rsid w:val="00E03A70"/>
    <w:rsid w:val="00E86AC4"/>
    <w:rsid w:val="00F36AE0"/>
    <w:rsid w:val="00FA7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E0"/>
    <w:pPr>
      <w:spacing w:after="0"/>
    </w:pPr>
    <w:rPr>
      <w:rFonts w:ascii="Calibri" w:eastAsia="Calibri" w:hAnsi="Calibri" w:cs="Times New Roman"/>
    </w:rPr>
  </w:style>
  <w:style w:type="paragraph" w:styleId="Heading1">
    <w:name w:val="heading 1"/>
    <w:basedOn w:val="Normal"/>
    <w:link w:val="Heading1Char"/>
    <w:uiPriority w:val="9"/>
    <w:qFormat/>
    <w:rsid w:val="003575F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36E0"/>
    <w:pPr>
      <w:ind w:left="720" w:firstLine="720"/>
      <w:contextualSpacing/>
    </w:pPr>
    <w:rPr>
      <w:b/>
      <w:sz w:val="24"/>
      <w:szCs w:val="24"/>
    </w:rPr>
  </w:style>
  <w:style w:type="paragraph" w:customStyle="1" w:styleId="Default">
    <w:name w:val="Default"/>
    <w:rsid w:val="006E36E0"/>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ListParagraphChar">
    <w:name w:val="List Paragraph Char"/>
    <w:link w:val="ListParagraph"/>
    <w:uiPriority w:val="99"/>
    <w:rsid w:val="006E36E0"/>
    <w:rPr>
      <w:rFonts w:ascii="Calibri" w:eastAsia="Calibri" w:hAnsi="Calibri" w:cs="Times New Roman"/>
      <w:b/>
      <w:sz w:val="24"/>
      <w:szCs w:val="24"/>
    </w:rPr>
  </w:style>
  <w:style w:type="paragraph" w:styleId="ListBullet">
    <w:name w:val="List Bullet"/>
    <w:basedOn w:val="Normal"/>
    <w:uiPriority w:val="99"/>
    <w:unhideWhenUsed/>
    <w:rsid w:val="006E36E0"/>
    <w:pPr>
      <w:numPr>
        <w:numId w:val="2"/>
      </w:numPr>
      <w:contextualSpacing/>
    </w:pPr>
    <w:rPr>
      <w:rFonts w:ascii="Arial" w:hAnsi="Arial"/>
      <w:sz w:val="24"/>
    </w:rPr>
  </w:style>
  <w:style w:type="character" w:customStyle="1" w:styleId="Heading1Char">
    <w:name w:val="Heading 1 Char"/>
    <w:basedOn w:val="DefaultParagraphFont"/>
    <w:link w:val="Heading1"/>
    <w:uiPriority w:val="9"/>
    <w:rsid w:val="003575F9"/>
    <w:rPr>
      <w:rFonts w:ascii="Times New Roman" w:eastAsia="Times New Roman" w:hAnsi="Times New Roman" w:cs="Times New Roman"/>
      <w:b/>
      <w:bCs/>
      <w:kern w:val="36"/>
      <w:sz w:val="48"/>
      <w:szCs w:val="48"/>
    </w:rPr>
  </w:style>
  <w:style w:type="character" w:customStyle="1" w:styleId="highlight">
    <w:name w:val="highlight"/>
    <w:basedOn w:val="DefaultParagraphFont"/>
    <w:rsid w:val="003575F9"/>
  </w:style>
  <w:style w:type="table" w:styleId="TableGrid">
    <w:name w:val="Table Grid"/>
    <w:basedOn w:val="TableNormal"/>
    <w:uiPriority w:val="59"/>
    <w:rsid w:val="00325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754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7540"/>
    <w:rPr>
      <w:rFonts w:ascii="Calibri" w:eastAsia="Calibri" w:hAnsi="Calibri" w:cs="Times New Roman"/>
    </w:rPr>
  </w:style>
  <w:style w:type="paragraph" w:styleId="Footer">
    <w:name w:val="footer"/>
    <w:basedOn w:val="Normal"/>
    <w:link w:val="FooterChar"/>
    <w:uiPriority w:val="99"/>
    <w:unhideWhenUsed/>
    <w:rsid w:val="00317540"/>
    <w:pPr>
      <w:tabs>
        <w:tab w:val="center" w:pos="4680"/>
        <w:tab w:val="right" w:pos="9360"/>
      </w:tabs>
      <w:spacing w:line="240" w:lineRule="auto"/>
    </w:pPr>
  </w:style>
  <w:style w:type="character" w:customStyle="1" w:styleId="FooterChar">
    <w:name w:val="Footer Char"/>
    <w:basedOn w:val="DefaultParagraphFont"/>
    <w:link w:val="Footer"/>
    <w:uiPriority w:val="99"/>
    <w:rsid w:val="00317540"/>
    <w:rPr>
      <w:rFonts w:ascii="Calibri" w:eastAsia="Calibri" w:hAnsi="Calibri" w:cs="Times New Roman"/>
    </w:rPr>
  </w:style>
  <w:style w:type="paragraph" w:styleId="BodyText">
    <w:name w:val="Body Text"/>
    <w:basedOn w:val="Normal"/>
    <w:link w:val="BodyTextChar"/>
    <w:uiPriority w:val="99"/>
    <w:unhideWhenUsed/>
    <w:rsid w:val="00CD78C7"/>
    <w:pPr>
      <w:spacing w:after="120"/>
    </w:pPr>
    <w:rPr>
      <w:rFonts w:ascii="Arial" w:hAnsi="Arial"/>
      <w:sz w:val="24"/>
    </w:rPr>
  </w:style>
  <w:style w:type="character" w:customStyle="1" w:styleId="BodyTextChar">
    <w:name w:val="Body Text Char"/>
    <w:basedOn w:val="DefaultParagraphFont"/>
    <w:link w:val="BodyText"/>
    <w:uiPriority w:val="99"/>
    <w:rsid w:val="00CD78C7"/>
    <w:rPr>
      <w:rFonts w:ascii="Arial" w:eastAsia="Calibri" w:hAnsi="Arial" w:cs="Times New Roman"/>
      <w:sz w:val="24"/>
    </w:rPr>
  </w:style>
  <w:style w:type="character" w:customStyle="1" w:styleId="yshortcuts">
    <w:name w:val="yshortcuts"/>
    <w:basedOn w:val="DefaultParagraphFont"/>
    <w:rsid w:val="009E2BDD"/>
  </w:style>
</w:styles>
</file>

<file path=word/webSettings.xml><?xml version="1.0" encoding="utf-8"?>
<w:webSettings xmlns:r="http://schemas.openxmlformats.org/officeDocument/2006/relationships" xmlns:w="http://schemas.openxmlformats.org/wordprocessingml/2006/main">
  <w:divs>
    <w:div w:id="977996338">
      <w:bodyDiv w:val="1"/>
      <w:marLeft w:val="0"/>
      <w:marRight w:val="0"/>
      <w:marTop w:val="0"/>
      <w:marBottom w:val="0"/>
      <w:divBdr>
        <w:top w:val="none" w:sz="0" w:space="0" w:color="auto"/>
        <w:left w:val="none" w:sz="0" w:space="0" w:color="auto"/>
        <w:bottom w:val="none" w:sz="0" w:space="0" w:color="auto"/>
        <w:right w:val="none" w:sz="0" w:space="0" w:color="auto"/>
      </w:divBdr>
    </w:div>
    <w:div w:id="1334604763">
      <w:bodyDiv w:val="1"/>
      <w:marLeft w:val="0"/>
      <w:marRight w:val="0"/>
      <w:marTop w:val="0"/>
      <w:marBottom w:val="0"/>
      <w:divBdr>
        <w:top w:val="none" w:sz="0" w:space="0" w:color="auto"/>
        <w:left w:val="none" w:sz="0" w:space="0" w:color="auto"/>
        <w:bottom w:val="none" w:sz="0" w:space="0" w:color="auto"/>
        <w:right w:val="none" w:sz="0" w:space="0" w:color="auto"/>
      </w:divBdr>
    </w:div>
    <w:div w:id="13487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cksales.com.au/buy/detail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Preferred Customer</cp:lastModifiedBy>
  <cp:revision>9</cp:revision>
  <cp:lastPrinted>2012-04-11T06:01:00Z</cp:lastPrinted>
  <dcterms:created xsi:type="dcterms:W3CDTF">2012-04-09T08:06:00Z</dcterms:created>
  <dcterms:modified xsi:type="dcterms:W3CDTF">2012-04-12T10:32:00Z</dcterms:modified>
</cp:coreProperties>
</file>