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23" w:rsidRDefault="00DA5C23" w:rsidP="00DA5C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>Ec</w:t>
      </w:r>
      <w:r w:rsidRPr="0004199D">
        <w:rPr>
          <w:rFonts w:ascii="Arial" w:hAnsi="Arial" w:cs="Arial"/>
          <w:b/>
          <w:sz w:val="22"/>
          <w:szCs w:val="22"/>
          <w:lang w:val="fr-FR"/>
        </w:rPr>
        <w:t>la</w:t>
      </w:r>
      <w:r>
        <w:rPr>
          <w:rFonts w:ascii="Arial" w:hAnsi="Arial" w:cs="Arial"/>
          <w:b/>
          <w:sz w:val="22"/>
          <w:szCs w:val="22"/>
          <w:lang w:val="fr-FR"/>
        </w:rPr>
        <w:t>i</w:t>
      </w:r>
      <w:r w:rsidRPr="0004199D">
        <w:rPr>
          <w:rFonts w:ascii="Arial" w:hAnsi="Arial" w:cs="Arial"/>
          <w:b/>
          <w:sz w:val="22"/>
          <w:szCs w:val="22"/>
          <w:lang w:val="fr-FR"/>
        </w:rPr>
        <w:t>r</w:t>
      </w:r>
      <w:r>
        <w:rPr>
          <w:rFonts w:ascii="Arial" w:hAnsi="Arial" w:cs="Arial"/>
          <w:b/>
          <w:sz w:val="22"/>
          <w:szCs w:val="22"/>
          <w:lang w:val="fr-FR"/>
        </w:rPr>
        <w:t>c</w:t>
      </w:r>
      <w:r w:rsidRPr="0004199D">
        <w:rPr>
          <w:rFonts w:ascii="Arial" w:hAnsi="Arial" w:cs="Arial"/>
          <w:b/>
          <w:sz w:val="22"/>
          <w:szCs w:val="22"/>
          <w:lang w:val="fr-FR"/>
        </w:rPr>
        <w:t>i</w:t>
      </w:r>
      <w:r>
        <w:rPr>
          <w:rFonts w:ascii="Arial" w:hAnsi="Arial" w:cs="Arial"/>
          <w:b/>
          <w:sz w:val="22"/>
          <w:szCs w:val="22"/>
          <w:lang w:val="fr-FR"/>
        </w:rPr>
        <w:t>ssement</w:t>
      </w:r>
      <w:r w:rsidRPr="0004199D">
        <w:rPr>
          <w:rFonts w:ascii="Arial" w:hAnsi="Arial" w:cs="Arial"/>
          <w:b/>
          <w:sz w:val="22"/>
          <w:szCs w:val="22"/>
          <w:lang w:val="fr-FR"/>
        </w:rPr>
        <w:t>s:</w:t>
      </w:r>
    </w:p>
    <w:p w:rsidR="00DA5C23" w:rsidRPr="00021465" w:rsidRDefault="00DA5C23" w:rsidP="00DA5C23">
      <w:pPr>
        <w:jc w:val="both"/>
        <w:rPr>
          <w:rFonts w:ascii="Arial" w:hAnsi="Arial" w:cs="Arial"/>
          <w:b/>
          <w:sz w:val="22"/>
          <w:szCs w:val="22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Clarifier la durée de la campagne et des activités de ratissage et la question de savoir si d’autres services/interventions seront fournis en même temps que la vaccination (p. ex. bilans de santé, IEC relatives à la santé reproductive).</w:t>
      </w:r>
    </w:p>
    <w:p w:rsidR="00C42CC9" w:rsidRDefault="00C42CC9" w:rsidP="00C42CC9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C42CC9" w:rsidRPr="001B5EA4" w:rsidRDefault="00C42CC9" w:rsidP="00C42CC9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1B5EA4">
        <w:rPr>
          <w:rFonts w:ascii="Arial" w:hAnsi="Arial" w:cs="Arial"/>
          <w:color w:val="FF0000"/>
          <w:sz w:val="22"/>
          <w:szCs w:val="22"/>
          <w:lang w:val="fr-FR"/>
        </w:rPr>
        <w:t>La durée de la campagne sera fonction du schéma d’administration des trois doses de vaccin. Il y aura trois campagnes d’une durée de 10 jours chacune suivi de deux jours de ratissage.</w:t>
      </w:r>
    </w:p>
    <w:p w:rsidR="00C42CC9" w:rsidRPr="001B5EA4" w:rsidRDefault="00C42CC9" w:rsidP="00C42CC9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1B5EA4">
        <w:rPr>
          <w:rFonts w:ascii="Arial" w:hAnsi="Arial" w:cs="Arial"/>
          <w:color w:val="FF0000"/>
          <w:sz w:val="22"/>
          <w:szCs w:val="22"/>
          <w:lang w:val="fr-FR"/>
        </w:rPr>
        <w:t>Des séances de sensibilisation relatives à la santé reproductive seront réalisées simultanément.</w:t>
      </w:r>
    </w:p>
    <w:p w:rsidR="00C42CC9" w:rsidRPr="00F0648A" w:rsidRDefault="00C42CC9" w:rsidP="00C42CC9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Clarifier si toutes les écoles primaires et secondaires seront ciblées dans les deux districts et si les écoles privées seront comprises dans la vaccination et les autres activités associées.</w:t>
      </w:r>
    </w:p>
    <w:p w:rsidR="003E7B5E" w:rsidRDefault="003E7B5E" w:rsidP="003E7B5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3E7B5E" w:rsidRPr="001B5EA4" w:rsidRDefault="003E7B5E" w:rsidP="003E7B5E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1B5EA4">
        <w:rPr>
          <w:rFonts w:ascii="Arial" w:hAnsi="Arial" w:cs="Arial"/>
          <w:color w:val="FF0000"/>
          <w:sz w:val="22"/>
          <w:szCs w:val="22"/>
          <w:lang w:val="fr-FR"/>
        </w:rPr>
        <w:t>Toutes les écoles primaires et secondaires seront ciblées dans les deux districts ainsi que les écoles privées. En résumé tous les lieux ou nous pourrons toucher notre cible.</w:t>
      </w:r>
    </w:p>
    <w:p w:rsidR="003E7B5E" w:rsidRPr="003E7B5E" w:rsidRDefault="003E7B5E" w:rsidP="003E7B5E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Fournir de plus amples détails sur la stratégie d’approche des fillettes absentes de l’école pendant la vaccination.</w:t>
      </w:r>
    </w:p>
    <w:p w:rsidR="003E7B5E" w:rsidRDefault="003E7B5E" w:rsidP="003E7B5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3E7B5E" w:rsidRPr="00F0620D" w:rsidRDefault="003E7B5E" w:rsidP="003E7B5E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Il n’y a pas que les filles absentes de l’école, il y en a qui ne sont pas scolarisées, c’est pour cette raison que nous avons pensé à développer des stratégies pour atteindre la cible non scolarisée dans les deux districts à travers une campagne de sensibilisation des chefs de quartiers et des chefs de groupements. 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1C433F" w:rsidRDefault="00DA5C23" w:rsidP="001C433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 xml:space="preserve">Expliquer pourquoi il n’y a pas de budget pour l’évaluation des activités de santé à l’intention des adolescentes et comment la mise en œuvre sera financée la deuxième année. Clarifier comment les activités de santé à l’intention des adolescentes </w:t>
      </w:r>
      <w:proofErr w:type="gramStart"/>
      <w:r w:rsidRPr="0004199D">
        <w:rPr>
          <w:rFonts w:ascii="Arial" w:hAnsi="Arial" w:cs="Arial"/>
          <w:sz w:val="22"/>
          <w:szCs w:val="22"/>
          <w:lang w:val="fr-FR"/>
        </w:rPr>
        <w:t>seront</w:t>
      </w:r>
      <w:proofErr w:type="gramEnd"/>
      <w:r w:rsidRPr="0004199D">
        <w:rPr>
          <w:rFonts w:ascii="Arial" w:hAnsi="Arial" w:cs="Arial"/>
          <w:sz w:val="22"/>
          <w:szCs w:val="22"/>
          <w:lang w:val="fr-FR"/>
        </w:rPr>
        <w:t xml:space="preserve"> intégrées à d’autres activités de l’UNFPA.</w:t>
      </w:r>
    </w:p>
    <w:p w:rsidR="001C433F" w:rsidRDefault="001C433F" w:rsidP="001C433F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1C433F" w:rsidRPr="00F0620D" w:rsidRDefault="001C433F" w:rsidP="001C433F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>Il existe déjà des programmes de santé sexuelle et reproductive des jeunes adolescents (SSRAJ) financés par l’UNFPA</w:t>
      </w:r>
      <w:r w:rsidR="005B2734"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 qui sont évalués chaque année</w:t>
      </w:r>
      <w:r w:rsidRPr="00F0620D">
        <w:rPr>
          <w:rFonts w:ascii="Arial" w:hAnsi="Arial" w:cs="Arial"/>
          <w:color w:val="FF0000"/>
          <w:sz w:val="22"/>
          <w:szCs w:val="22"/>
          <w:lang w:val="fr-FR"/>
        </w:rPr>
        <w:t>. Nous comptons  intégrer cette évaluation au cours du processus d’</w:t>
      </w:r>
      <w:r w:rsidR="005B2734" w:rsidRPr="00F0620D">
        <w:rPr>
          <w:rFonts w:ascii="Arial" w:hAnsi="Arial" w:cs="Arial"/>
          <w:color w:val="FF0000"/>
          <w:sz w:val="22"/>
          <w:szCs w:val="22"/>
          <w:lang w:val="fr-FR"/>
        </w:rPr>
        <w:t>évaluation de ces programmes. Le but de tous ces programmes étant le même à savoir la santé sexuelle et reproductive, de surcroit conduit par les mêmes acteurs, l’intégration ne causera aucun problème.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Clarifier si le FNUAP teste son programme dans les deux districts sélectionnés. Décrire le calendrier du programme du FNUAP et ses activités dans les deux districts.</w:t>
      </w:r>
    </w:p>
    <w:p w:rsidR="00612E31" w:rsidRPr="00612E31" w:rsidRDefault="00612E31" w:rsidP="00612E31">
      <w:pPr>
        <w:pStyle w:val="Paragraphedeliste"/>
        <w:rPr>
          <w:rFonts w:ascii="Arial" w:hAnsi="Arial" w:cs="Arial"/>
          <w:sz w:val="22"/>
          <w:szCs w:val="22"/>
          <w:lang w:val="fr-FR"/>
        </w:rPr>
      </w:pPr>
    </w:p>
    <w:p w:rsidR="00612E31" w:rsidRPr="00F0620D" w:rsidRDefault="00612E31" w:rsidP="00612E31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Le FNUAP teste son programme que dans un district celui de </w:t>
      </w:r>
      <w:proofErr w:type="spellStart"/>
      <w:r w:rsidRPr="00F0620D">
        <w:rPr>
          <w:rFonts w:ascii="Arial" w:hAnsi="Arial" w:cs="Arial"/>
          <w:color w:val="FF0000"/>
          <w:sz w:val="22"/>
          <w:szCs w:val="22"/>
          <w:lang w:val="fr-FR"/>
        </w:rPr>
        <w:t>Madarounfa</w:t>
      </w:r>
      <w:proofErr w:type="spellEnd"/>
      <w:r w:rsidR="00966D1B">
        <w:rPr>
          <w:rFonts w:ascii="Arial" w:hAnsi="Arial" w:cs="Arial"/>
          <w:color w:val="FF0000"/>
          <w:sz w:val="22"/>
          <w:szCs w:val="22"/>
          <w:lang w:val="fr-FR"/>
        </w:rPr>
        <w:t xml:space="preserve">. Les activités du FNUAP démarrent  vers </w:t>
      </w:r>
      <w:proofErr w:type="gramStart"/>
      <w:r w:rsidR="00966D1B">
        <w:rPr>
          <w:rFonts w:ascii="Arial" w:hAnsi="Arial" w:cs="Arial"/>
          <w:color w:val="FF0000"/>
          <w:sz w:val="22"/>
          <w:szCs w:val="22"/>
          <w:lang w:val="fr-FR"/>
        </w:rPr>
        <w:t>la</w:t>
      </w:r>
      <w:proofErr w:type="gramEnd"/>
      <w:r w:rsidR="00966D1B">
        <w:rPr>
          <w:rFonts w:ascii="Arial" w:hAnsi="Arial" w:cs="Arial"/>
          <w:color w:val="FF0000"/>
          <w:sz w:val="22"/>
          <w:szCs w:val="22"/>
          <w:lang w:val="fr-FR"/>
        </w:rPr>
        <w:t xml:space="preserve"> mi juin et concernent des activités de sensibilisation sur la santé sexuelle et reproductives des jeunes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Pr="005B2734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199D">
        <w:rPr>
          <w:rFonts w:ascii="Arial" w:hAnsi="Arial" w:cs="Arial"/>
          <w:sz w:val="22"/>
          <w:szCs w:val="22"/>
          <w:lang w:val="fr-FR"/>
        </w:rPr>
        <w:t>Expliquer la relation entre le comité de pilotage SR, le GTC et le CCIA. Envisager une participation accrue de la société civile.</w:t>
      </w:r>
    </w:p>
    <w:p w:rsid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Ces trois comités regroupent en grande partie les mêmes acteurs y compris la soci</w:t>
      </w:r>
      <w:r w:rsidR="00F60C43">
        <w:rPr>
          <w:rFonts w:ascii="Arial" w:hAnsi="Arial" w:cs="Arial"/>
          <w:sz w:val="22"/>
          <w:szCs w:val="22"/>
          <w:lang w:val="fr-FR"/>
        </w:rPr>
        <w:t>é</w:t>
      </w:r>
      <w:r>
        <w:rPr>
          <w:rFonts w:ascii="Arial" w:hAnsi="Arial" w:cs="Arial"/>
          <w:sz w:val="22"/>
          <w:szCs w:val="22"/>
          <w:lang w:val="fr-FR"/>
        </w:rPr>
        <w:t>té civile</w:t>
      </w:r>
      <w:r w:rsidR="00F60C43">
        <w:rPr>
          <w:rFonts w:ascii="Arial" w:hAnsi="Arial" w:cs="Arial"/>
          <w:sz w:val="22"/>
          <w:szCs w:val="22"/>
          <w:lang w:val="fr-FR"/>
        </w:rPr>
        <w:t>.</w:t>
      </w:r>
    </w:p>
    <w:p w:rsid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5B2734" w:rsidRP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687278" w:rsidRDefault="009836A9" w:rsidP="00DA5C23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t xml:space="preserve">Le comité de pilotage </w:t>
      </w:r>
      <w:r w:rsidR="00687278">
        <w:rPr>
          <w:rFonts w:ascii="Arial" w:hAnsi="Arial" w:cs="Arial"/>
          <w:color w:val="FF0000"/>
          <w:sz w:val="22"/>
          <w:szCs w:val="22"/>
          <w:lang w:val="fr-FR"/>
        </w:rPr>
        <w:t xml:space="preserve">SR </w:t>
      </w:r>
      <w:r>
        <w:rPr>
          <w:rFonts w:ascii="Arial" w:hAnsi="Arial" w:cs="Arial"/>
          <w:color w:val="FF0000"/>
          <w:sz w:val="22"/>
          <w:szCs w:val="22"/>
          <w:lang w:val="fr-FR"/>
        </w:rPr>
        <w:t>et le GTC vont conduire la mise en œuvre de ce programme</w:t>
      </w:r>
      <w:r w:rsidR="00687278">
        <w:rPr>
          <w:rFonts w:ascii="Arial" w:hAnsi="Arial" w:cs="Arial"/>
          <w:color w:val="FF0000"/>
          <w:sz w:val="22"/>
          <w:szCs w:val="22"/>
          <w:lang w:val="fr-FR"/>
        </w:rPr>
        <w:t>. Ils amenderont et évalueront les termes de références des activités à mener. Le CCIA est l’organe de prise de décision qui assurera la garantie du respect des termes définis de ce programme.</w:t>
      </w:r>
    </w:p>
    <w:p w:rsidR="00DA5C23" w:rsidRPr="009836A9" w:rsidRDefault="00687278" w:rsidP="00DA5C23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 xml:space="preserve">Clarifier comment les rumeurs potentielles </w:t>
      </w:r>
      <w:proofErr w:type="gramStart"/>
      <w:r w:rsidRPr="0004199D">
        <w:rPr>
          <w:rFonts w:ascii="Arial" w:hAnsi="Arial" w:cs="Arial"/>
          <w:sz w:val="22"/>
          <w:szCs w:val="22"/>
          <w:lang w:val="fr-FR"/>
        </w:rPr>
        <w:t>seront</w:t>
      </w:r>
      <w:proofErr w:type="gramEnd"/>
      <w:r w:rsidRPr="0004199D">
        <w:rPr>
          <w:rFonts w:ascii="Arial" w:hAnsi="Arial" w:cs="Arial"/>
          <w:sz w:val="22"/>
          <w:szCs w:val="22"/>
          <w:lang w:val="fr-FR"/>
        </w:rPr>
        <w:t xml:space="preserve"> gérées.</w:t>
      </w:r>
    </w:p>
    <w:p w:rsid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5B2734" w:rsidRPr="00F0620D" w:rsidRDefault="005B2734" w:rsidP="005B2734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>Les rumeurs seront gérées à travers des conférences débats ave les différentes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F0620D">
        <w:rPr>
          <w:rFonts w:ascii="Arial" w:hAnsi="Arial" w:cs="Arial"/>
          <w:color w:val="FF0000"/>
          <w:sz w:val="22"/>
          <w:szCs w:val="22"/>
          <w:lang w:val="fr-FR"/>
        </w:rPr>
        <w:t>parties prenantes</w:t>
      </w:r>
      <w:r w:rsidR="00F60C43" w:rsidRPr="00F0620D">
        <w:rPr>
          <w:rFonts w:ascii="Arial" w:hAnsi="Arial" w:cs="Arial"/>
          <w:color w:val="FF0000"/>
          <w:sz w:val="22"/>
          <w:szCs w:val="22"/>
          <w:lang w:val="fr-FR"/>
        </w:rPr>
        <w:t>.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Clarifier l’engagement financier explicite de le FNUAP, de l’UNICEF et de l’OMS, étant donné que la mise à disposition du programme dépend de l’octroi des ressources.</w:t>
      </w:r>
    </w:p>
    <w:p w:rsid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5B2734" w:rsidRPr="00F0620D" w:rsidRDefault="005B2734" w:rsidP="005B2734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>Le présent projet a été élaboré avec ces différents acteurs qui de façon implicite se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F0620D">
        <w:rPr>
          <w:rFonts w:ascii="Arial" w:hAnsi="Arial" w:cs="Arial"/>
          <w:color w:val="FF0000"/>
          <w:sz w:val="22"/>
          <w:szCs w:val="22"/>
          <w:lang w:val="fr-FR"/>
        </w:rPr>
        <w:t>sont engagés à soutenir la réalisation de cette expérience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Clarifier les frais de personnel dans le budget par rapport aux activités.</w:t>
      </w:r>
    </w:p>
    <w:p w:rsidR="005B2734" w:rsidRDefault="005B2734" w:rsidP="005B2734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5B2734" w:rsidRPr="00F0620D" w:rsidRDefault="005B2734" w:rsidP="005B2734">
      <w:pPr>
        <w:pStyle w:val="Paragraphedeliste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Les frais de personnel concernent les </w:t>
      </w:r>
      <w:proofErr w:type="spellStart"/>
      <w:r w:rsidRPr="00F0620D">
        <w:rPr>
          <w:rFonts w:ascii="Arial" w:hAnsi="Arial" w:cs="Arial"/>
          <w:color w:val="FF0000"/>
          <w:sz w:val="22"/>
          <w:szCs w:val="22"/>
          <w:lang w:val="fr-FR"/>
        </w:rPr>
        <w:t>perdiems</w:t>
      </w:r>
      <w:proofErr w:type="spellEnd"/>
      <w:r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 de déplacement des agents de santé</w:t>
      </w:r>
      <w:r w:rsidR="002448FE"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 pour la vaccination</w:t>
      </w:r>
      <w:r w:rsidR="001E171A" w:rsidRPr="00F0620D">
        <w:rPr>
          <w:rFonts w:ascii="Arial" w:hAnsi="Arial" w:cs="Arial"/>
          <w:color w:val="FF0000"/>
          <w:sz w:val="22"/>
          <w:szCs w:val="22"/>
          <w:lang w:val="fr-FR"/>
        </w:rPr>
        <w:t xml:space="preserve"> ainsi que ceux de la mobilisation sociale</w:t>
      </w:r>
    </w:p>
    <w:p w:rsidR="00DA5C23" w:rsidRPr="00F0648A" w:rsidRDefault="00DA5C23" w:rsidP="00DA5C23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DA5C23" w:rsidRDefault="00DA5C23" w:rsidP="00DA5C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4199D">
        <w:rPr>
          <w:rFonts w:ascii="Arial" w:hAnsi="Arial" w:cs="Arial"/>
          <w:sz w:val="22"/>
          <w:szCs w:val="22"/>
          <w:lang w:val="fr-FR"/>
        </w:rPr>
        <w:t>Revoir le calendrier afin de dégager davantage de temps pour les activités de planification/préparation (au moins 3 mois), en tenant compte du calendrier des vacances scolaires.</w:t>
      </w:r>
    </w:p>
    <w:p w:rsidR="00AD5788" w:rsidRDefault="00AD5788" w:rsidP="00AD5788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AD5788" w:rsidRDefault="00AD5788" w:rsidP="00AD5788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W w:w="1171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32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480"/>
        <w:gridCol w:w="374"/>
        <w:gridCol w:w="374"/>
        <w:gridCol w:w="374"/>
        <w:gridCol w:w="374"/>
        <w:gridCol w:w="374"/>
        <w:gridCol w:w="374"/>
        <w:gridCol w:w="1299"/>
      </w:tblGrid>
      <w:tr w:rsidR="00AD5788" w:rsidRPr="00966D1B" w:rsidTr="0001792D">
        <w:trPr>
          <w:trHeight w:val="315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966D1B" w:rsidRDefault="00AD5788">
            <w:pPr>
              <w:rPr>
                <w:rFonts w:ascii="Calibri" w:hAnsi="Calibri"/>
                <w:color w:val="000000"/>
                <w:lang w:val="fr-FR"/>
              </w:rPr>
            </w:pPr>
            <w:r w:rsidRPr="00966D1B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609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D5788" w:rsidRP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Programme de démonstration du vaccin anti-VPH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5788" w:rsidRDefault="00AD5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ANNEE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Calibri" w:hAnsi="Calibri"/>
                <w:color w:val="000000"/>
              </w:rPr>
            </w:pPr>
          </w:p>
        </w:tc>
      </w:tr>
      <w:tr w:rsidR="00AD5788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Trimestre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5788" w:rsidRDefault="00AD5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Calibri" w:hAnsi="Calibri"/>
                <w:color w:val="000000"/>
              </w:rPr>
            </w:pPr>
          </w:p>
        </w:tc>
      </w:tr>
      <w:tr w:rsidR="00AD5788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Activité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Default="00AD5788">
            <w:pPr>
              <w:rPr>
                <w:rFonts w:ascii="Calibri" w:hAnsi="Calibri"/>
                <w:color w:val="000000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Administration de la première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 w:rsidRPr="00AD5788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Sessions de ratissage pour la première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 w:rsidRPr="00AD5788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Administration de la deuxième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 w:rsidRPr="00AD5788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Sessions de ratissage pour la deuxième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 w:rsidRPr="00AD5788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Administration de la troisième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15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Sessions de ratissage pour la troisième dose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5788" w:rsidRPr="00AD5788" w:rsidRDefault="00AD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78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266700" cy="733425"/>
                  <wp:effectExtent l="0" t="0" r="0" b="0"/>
                  <wp:wrapNone/>
                  <wp:docPr id="2" name="Flèche vers le hau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5255" y="2219325"/>
                            <a:ext cx="45719" cy="685800"/>
                            <a:chOff x="3945255" y="2219325"/>
                            <a:chExt cx="45719" cy="685800"/>
                          </a:xfrm>
                        </a:grpSpPr>
                        <a:sp>
                          <a:nvSpPr>
                            <a:cNvPr id="2" name="Flèche vers le haut 1"/>
                            <a:cNvSpPr/>
                          </a:nvSpPr>
                          <a:spPr>
                            <a:xfrm flipH="1">
                              <a:off x="3945255" y="2219325"/>
                              <a:ext cx="45719" cy="685800"/>
                            </a:xfrm>
                            <a:prstGeom prst="up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1100"/>
                                  <a:t>C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266700" cy="733425"/>
                  <wp:effectExtent l="0" t="0" r="0" b="0"/>
                  <wp:wrapNone/>
                  <wp:docPr id="3" name="Flèche vers le hau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29175" y="2305050"/>
                            <a:ext cx="45719" cy="685800"/>
                            <a:chOff x="4829175" y="2305050"/>
                            <a:chExt cx="45719" cy="685800"/>
                          </a:xfrm>
                        </a:grpSpPr>
                        <a:sp>
                          <a:nvSpPr>
                            <a:cNvPr id="3" name="Flèche vers le haut 2"/>
                            <a:cNvSpPr/>
                          </a:nvSpPr>
                          <a:spPr>
                            <a:xfrm flipH="1">
                              <a:off x="4829175" y="2305050"/>
                              <a:ext cx="45719" cy="685800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1100"/>
                                  <a:t>C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</w:tblGrid>
            <w:tr w:rsidR="00AD5788" w:rsidRPr="00966D1B">
              <w:trPr>
                <w:trHeight w:val="30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5788" w:rsidRPr="00AD5788" w:rsidRDefault="00AD5788">
                  <w:pPr>
                    <w:rPr>
                      <w:rFonts w:ascii="Calibri" w:hAnsi="Calibri"/>
                      <w:color w:val="000000"/>
                      <w:lang w:val="fr-FR"/>
                    </w:rPr>
                  </w:pPr>
                </w:p>
              </w:tc>
            </w:tr>
          </w:tbl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AD5788" w:rsidRPr="00966D1B" w:rsidTr="0001792D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88" w:rsidRPr="00AD5788" w:rsidRDefault="00AD5788">
            <w:pPr>
              <w:rPr>
                <w:rFonts w:ascii="Calibri" w:hAnsi="Calibri"/>
                <w:color w:val="000000"/>
                <w:lang w:val="fr-FR"/>
              </w:rPr>
            </w:pPr>
          </w:p>
        </w:tc>
      </w:tr>
      <w:tr w:rsidR="0001792D" w:rsidTr="0001792D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1ere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planification</w:t>
            </w:r>
            <w:proofErr w:type="spellEnd"/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 w:rsidP="000179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Changement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planification</w:t>
            </w:r>
            <w:proofErr w:type="spellEnd"/>
          </w:p>
        </w:tc>
      </w:tr>
      <w:tr w:rsidR="0001792D" w:rsidRPr="00966D1B" w:rsidTr="00BD2A17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partir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du T2 2013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9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  <w:r w:rsidRPr="00AD5788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première dose à partir de T4 -2013</w:t>
            </w:r>
          </w:p>
        </w:tc>
      </w:tr>
      <w:tr w:rsidR="0001792D" w:rsidTr="0046402A">
        <w:trPr>
          <w:trHeight w:val="30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2D" w:rsidRPr="00AD5788" w:rsidRDefault="0001792D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39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792D" w:rsidRDefault="000179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après 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vacances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scolaires</w:t>
            </w:r>
            <w:proofErr w:type="spellEnd"/>
          </w:p>
        </w:tc>
      </w:tr>
    </w:tbl>
    <w:p w:rsidR="00AD5788" w:rsidRDefault="00AD5788" w:rsidP="00AD5788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AD5788" w:rsidRPr="00F0648A" w:rsidRDefault="00AD5788" w:rsidP="00AD5788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:rsidR="00375BE8" w:rsidRDefault="00375BE8">
      <w:pPr>
        <w:rPr>
          <w:lang w:val="fr-FR"/>
        </w:rPr>
      </w:pPr>
    </w:p>
    <w:p w:rsidR="00612E31" w:rsidRPr="007A4976" w:rsidRDefault="007A4976">
      <w:pPr>
        <w:rPr>
          <w:rFonts w:asciiTheme="minorHAnsi" w:hAnsiTheme="minorHAnsi"/>
          <w:color w:val="FF0000"/>
          <w:sz w:val="28"/>
          <w:szCs w:val="28"/>
          <w:lang w:val="fr-FR"/>
        </w:rPr>
      </w:pPr>
      <w:r w:rsidRPr="007A4976">
        <w:rPr>
          <w:rFonts w:asciiTheme="minorHAnsi" w:hAnsiTheme="minorHAnsi"/>
          <w:color w:val="FF0000"/>
          <w:sz w:val="28"/>
          <w:szCs w:val="28"/>
          <w:lang w:val="fr-FR"/>
        </w:rPr>
        <w:t>Les autres activités vont</w:t>
      </w:r>
      <w:r w:rsidR="00732E31">
        <w:rPr>
          <w:rFonts w:asciiTheme="minorHAnsi" w:hAnsiTheme="minorHAnsi"/>
          <w:color w:val="FF0000"/>
          <w:sz w:val="28"/>
          <w:szCs w:val="28"/>
          <w:lang w:val="fr-FR"/>
        </w:rPr>
        <w:t>,</w:t>
      </w:r>
      <w:r w:rsidRPr="007A4976">
        <w:rPr>
          <w:rFonts w:asciiTheme="minorHAnsi" w:hAnsiTheme="minorHAnsi"/>
          <w:color w:val="FF0000"/>
          <w:sz w:val="28"/>
          <w:szCs w:val="28"/>
          <w:lang w:val="fr-FR"/>
        </w:rPr>
        <w:t xml:space="preserve"> de fait</w:t>
      </w:r>
      <w:r w:rsidR="00732E31">
        <w:rPr>
          <w:rFonts w:asciiTheme="minorHAnsi" w:hAnsiTheme="minorHAnsi"/>
          <w:color w:val="FF0000"/>
          <w:sz w:val="28"/>
          <w:szCs w:val="28"/>
          <w:lang w:val="fr-FR"/>
        </w:rPr>
        <w:t>,</w:t>
      </w:r>
      <w:r w:rsidRPr="007A4976">
        <w:rPr>
          <w:rFonts w:asciiTheme="minorHAnsi" w:hAnsiTheme="minorHAnsi"/>
          <w:color w:val="FF0000"/>
          <w:sz w:val="28"/>
          <w:szCs w:val="28"/>
          <w:lang w:val="fr-FR"/>
        </w:rPr>
        <w:t xml:space="preserve"> suivre ce changement de deux trimestres.</w:t>
      </w:r>
    </w:p>
    <w:p w:rsidR="007F2F50" w:rsidRPr="007F2F50" w:rsidRDefault="007F2F50" w:rsidP="007F2F50">
      <w:pPr>
        <w:pStyle w:val="yiv550034231msonormal"/>
        <w:rPr>
          <w:rFonts w:ascii="Arial" w:hAnsi="Arial" w:cs="Arial"/>
          <w:lang w:val="fr-CA"/>
        </w:rPr>
      </w:pPr>
      <w:r w:rsidRPr="007F2F50">
        <w:rPr>
          <w:rFonts w:ascii="Arial" w:hAnsi="Arial" w:cs="Arial"/>
          <w:sz w:val="22"/>
          <w:szCs w:val="22"/>
        </w:rPr>
        <w:lastRenderedPageBreak/>
        <w:t>Par ailleurs des informations sont également requises sur les points suivants :</w:t>
      </w:r>
    </w:p>
    <w:p w:rsidR="007F2F50" w:rsidRDefault="007F2F50" w:rsidP="007F2F50">
      <w:pPr>
        <w:pStyle w:val="yiv550034231msonormal"/>
        <w:rPr>
          <w:rFonts w:ascii="Arial" w:hAnsi="Arial" w:cs="Arial"/>
          <w:sz w:val="22"/>
          <w:szCs w:val="22"/>
        </w:rPr>
      </w:pPr>
      <w:r w:rsidRPr="007F2F50">
        <w:rPr>
          <w:rFonts w:ascii="Arial" w:hAnsi="Arial" w:cs="Arial"/>
          <w:sz w:val="22"/>
          <w:szCs w:val="22"/>
        </w:rPr>
        <w:t xml:space="preserve">- Le Niger a soumis une demande pour $264,645 alors que le maximum qu’il peut recevoir de GAVI est de $259,994 (selon les directives). Il est donc souhaitable que le pays nous fasse parvenir un budget respectant cette limite. </w:t>
      </w:r>
    </w:p>
    <w:p w:rsidR="007F2F50" w:rsidRPr="00803013" w:rsidRDefault="007F2F50" w:rsidP="007F2F50">
      <w:pPr>
        <w:pStyle w:val="yiv550034231msonormal"/>
        <w:rPr>
          <w:rFonts w:ascii="Arial" w:hAnsi="Arial" w:cs="Arial"/>
          <w:color w:val="FF0000"/>
          <w:lang w:val="fr-CA"/>
        </w:rPr>
      </w:pPr>
      <w:r w:rsidRPr="00803013">
        <w:rPr>
          <w:rFonts w:ascii="Arial" w:hAnsi="Arial" w:cs="Arial"/>
          <w:color w:val="FF0000"/>
          <w:sz w:val="22"/>
          <w:szCs w:val="22"/>
        </w:rPr>
        <w:t xml:space="preserve">Le budget a été </w:t>
      </w:r>
      <w:r w:rsidR="007E76D0" w:rsidRPr="00803013">
        <w:rPr>
          <w:rFonts w:ascii="Arial" w:hAnsi="Arial" w:cs="Arial"/>
          <w:color w:val="FF0000"/>
          <w:sz w:val="22"/>
          <w:szCs w:val="22"/>
        </w:rPr>
        <w:t>revu</w:t>
      </w:r>
      <w:r w:rsidRPr="00803013">
        <w:rPr>
          <w:rFonts w:ascii="Arial" w:hAnsi="Arial" w:cs="Arial"/>
          <w:color w:val="FF0000"/>
          <w:sz w:val="22"/>
          <w:szCs w:val="22"/>
        </w:rPr>
        <w:t xml:space="preserve"> pour être conforme à ce que l’on peut recevoir de GAVI (voir document)</w:t>
      </w:r>
    </w:p>
    <w:p w:rsidR="007F2F50" w:rsidRDefault="007F2F50" w:rsidP="007F2F50">
      <w:pPr>
        <w:pStyle w:val="yiv550034231msonormal"/>
        <w:rPr>
          <w:rFonts w:ascii="Arial" w:hAnsi="Arial" w:cs="Arial"/>
          <w:sz w:val="22"/>
          <w:szCs w:val="22"/>
        </w:rPr>
      </w:pPr>
      <w:r w:rsidRPr="007F2F50">
        <w:rPr>
          <w:rFonts w:ascii="Arial" w:hAnsi="Arial" w:cs="Arial"/>
          <w:sz w:val="22"/>
          <w:szCs w:val="22"/>
        </w:rPr>
        <w:t>- Nous aurons besoin de savoir quelle agence internationale sera représentée dans le comité d’évaluation du projet. Cet élément est requis dans ce programme.</w:t>
      </w:r>
    </w:p>
    <w:p w:rsidR="007F2F50" w:rsidRPr="00803013" w:rsidRDefault="007F2F50" w:rsidP="007F2F50">
      <w:pPr>
        <w:pStyle w:val="yiv550034231msonormal"/>
        <w:rPr>
          <w:rFonts w:ascii="Arial" w:hAnsi="Arial" w:cs="Arial"/>
          <w:color w:val="FF0000"/>
          <w:lang w:val="fr-CA"/>
        </w:rPr>
      </w:pPr>
      <w:r w:rsidRPr="00803013">
        <w:rPr>
          <w:rFonts w:ascii="Arial" w:hAnsi="Arial" w:cs="Arial"/>
          <w:color w:val="FF0000"/>
          <w:sz w:val="22"/>
          <w:szCs w:val="22"/>
        </w:rPr>
        <w:t>L’agence internationale qui sera représentée dans le comité d’évaluation du projet est l’OMS</w:t>
      </w:r>
    </w:p>
    <w:p w:rsidR="007F2F50" w:rsidRPr="00DA5C23" w:rsidRDefault="007F2F50">
      <w:pPr>
        <w:rPr>
          <w:lang w:val="fr-FR"/>
        </w:rPr>
      </w:pPr>
    </w:p>
    <w:sectPr w:rsidR="007F2F50" w:rsidRPr="00DA5C23" w:rsidSect="0037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023"/>
    <w:multiLevelType w:val="hybridMultilevel"/>
    <w:tmpl w:val="B682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648"/>
    <w:multiLevelType w:val="hybridMultilevel"/>
    <w:tmpl w:val="05026F7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B1F5A"/>
    <w:multiLevelType w:val="hybridMultilevel"/>
    <w:tmpl w:val="DA1E6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608"/>
    <w:multiLevelType w:val="hybridMultilevel"/>
    <w:tmpl w:val="DEC27D1E"/>
    <w:lvl w:ilvl="0" w:tplc="39EC8D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4C28"/>
    <w:multiLevelType w:val="hybridMultilevel"/>
    <w:tmpl w:val="3A28A4C2"/>
    <w:lvl w:ilvl="0" w:tplc="9F0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C6222"/>
    <w:multiLevelType w:val="hybridMultilevel"/>
    <w:tmpl w:val="0596C4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D18F3"/>
    <w:multiLevelType w:val="hybridMultilevel"/>
    <w:tmpl w:val="BB4CD48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38639F2"/>
    <w:multiLevelType w:val="hybridMultilevel"/>
    <w:tmpl w:val="91A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65755"/>
    <w:multiLevelType w:val="hybridMultilevel"/>
    <w:tmpl w:val="24368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0CE8"/>
    <w:multiLevelType w:val="hybridMultilevel"/>
    <w:tmpl w:val="A8C65DEC"/>
    <w:lvl w:ilvl="0" w:tplc="040C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0">
    <w:nsid w:val="190222CF"/>
    <w:multiLevelType w:val="hybridMultilevel"/>
    <w:tmpl w:val="39BEB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7524B"/>
    <w:multiLevelType w:val="multilevel"/>
    <w:tmpl w:val="E2741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1D3241F7"/>
    <w:multiLevelType w:val="hybridMultilevel"/>
    <w:tmpl w:val="B41E94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397E3A"/>
    <w:multiLevelType w:val="hybridMultilevel"/>
    <w:tmpl w:val="A6D6F506"/>
    <w:lvl w:ilvl="0" w:tplc="B1A44E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43987"/>
    <w:multiLevelType w:val="hybridMultilevel"/>
    <w:tmpl w:val="2D629506"/>
    <w:lvl w:ilvl="0" w:tplc="4B324A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E7139"/>
    <w:multiLevelType w:val="hybridMultilevel"/>
    <w:tmpl w:val="AA26EF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A6529"/>
    <w:multiLevelType w:val="hybridMultilevel"/>
    <w:tmpl w:val="3418D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618BB"/>
    <w:multiLevelType w:val="hybridMultilevel"/>
    <w:tmpl w:val="F49EE840"/>
    <w:lvl w:ilvl="0" w:tplc="9042AE54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F7499"/>
    <w:multiLevelType w:val="hybridMultilevel"/>
    <w:tmpl w:val="CE588B22"/>
    <w:lvl w:ilvl="0" w:tplc="040C000F">
      <w:start w:val="1"/>
      <w:numFmt w:val="decimal"/>
      <w:lvlText w:val="%1."/>
      <w:lvlJc w:val="left"/>
      <w:pPr>
        <w:ind w:left="1117" w:hanging="360"/>
      </w:pPr>
    </w:lvl>
    <w:lvl w:ilvl="1" w:tplc="040C0019" w:tentative="1">
      <w:start w:val="1"/>
      <w:numFmt w:val="lowerLetter"/>
      <w:lvlText w:val="%2."/>
      <w:lvlJc w:val="left"/>
      <w:pPr>
        <w:ind w:left="1837" w:hanging="360"/>
      </w:pPr>
    </w:lvl>
    <w:lvl w:ilvl="2" w:tplc="040C001B" w:tentative="1">
      <w:start w:val="1"/>
      <w:numFmt w:val="lowerRoman"/>
      <w:lvlText w:val="%3."/>
      <w:lvlJc w:val="right"/>
      <w:pPr>
        <w:ind w:left="2557" w:hanging="180"/>
      </w:pPr>
    </w:lvl>
    <w:lvl w:ilvl="3" w:tplc="040C000F" w:tentative="1">
      <w:start w:val="1"/>
      <w:numFmt w:val="decimal"/>
      <w:lvlText w:val="%4."/>
      <w:lvlJc w:val="left"/>
      <w:pPr>
        <w:ind w:left="3277" w:hanging="360"/>
      </w:pPr>
    </w:lvl>
    <w:lvl w:ilvl="4" w:tplc="040C0019" w:tentative="1">
      <w:start w:val="1"/>
      <w:numFmt w:val="lowerLetter"/>
      <w:lvlText w:val="%5."/>
      <w:lvlJc w:val="left"/>
      <w:pPr>
        <w:ind w:left="3997" w:hanging="360"/>
      </w:pPr>
    </w:lvl>
    <w:lvl w:ilvl="5" w:tplc="040C001B" w:tentative="1">
      <w:start w:val="1"/>
      <w:numFmt w:val="lowerRoman"/>
      <w:lvlText w:val="%6."/>
      <w:lvlJc w:val="right"/>
      <w:pPr>
        <w:ind w:left="4717" w:hanging="180"/>
      </w:pPr>
    </w:lvl>
    <w:lvl w:ilvl="6" w:tplc="040C000F" w:tentative="1">
      <w:start w:val="1"/>
      <w:numFmt w:val="decimal"/>
      <w:lvlText w:val="%7."/>
      <w:lvlJc w:val="left"/>
      <w:pPr>
        <w:ind w:left="5437" w:hanging="360"/>
      </w:pPr>
    </w:lvl>
    <w:lvl w:ilvl="7" w:tplc="040C0019" w:tentative="1">
      <w:start w:val="1"/>
      <w:numFmt w:val="lowerLetter"/>
      <w:lvlText w:val="%8."/>
      <w:lvlJc w:val="left"/>
      <w:pPr>
        <w:ind w:left="6157" w:hanging="360"/>
      </w:pPr>
    </w:lvl>
    <w:lvl w:ilvl="8" w:tplc="040C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2D25353"/>
    <w:multiLevelType w:val="hybridMultilevel"/>
    <w:tmpl w:val="C38673FA"/>
    <w:lvl w:ilvl="0" w:tplc="8418F2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D3DCF"/>
    <w:multiLevelType w:val="hybridMultilevel"/>
    <w:tmpl w:val="6F9E61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6540286"/>
    <w:multiLevelType w:val="hybridMultilevel"/>
    <w:tmpl w:val="FB3A6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06F31"/>
    <w:multiLevelType w:val="hybridMultilevel"/>
    <w:tmpl w:val="9EA493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3EEB0568"/>
    <w:multiLevelType w:val="hybridMultilevel"/>
    <w:tmpl w:val="26E68F7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2100F78"/>
    <w:multiLevelType w:val="hybridMultilevel"/>
    <w:tmpl w:val="2B3292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677D0"/>
    <w:multiLevelType w:val="hybridMultilevel"/>
    <w:tmpl w:val="179AC06A"/>
    <w:lvl w:ilvl="0" w:tplc="589A6BD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5561E2"/>
    <w:multiLevelType w:val="hybridMultilevel"/>
    <w:tmpl w:val="F03E1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CB459A"/>
    <w:multiLevelType w:val="hybridMultilevel"/>
    <w:tmpl w:val="B966F3AE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8">
    <w:nsid w:val="4F7D272C"/>
    <w:multiLevelType w:val="hybridMultilevel"/>
    <w:tmpl w:val="28D034E6"/>
    <w:lvl w:ilvl="0" w:tplc="39EC8D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13528"/>
    <w:multiLevelType w:val="hybridMultilevel"/>
    <w:tmpl w:val="D72E8CE4"/>
    <w:lvl w:ilvl="0" w:tplc="6ED424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F31A19"/>
    <w:multiLevelType w:val="hybridMultilevel"/>
    <w:tmpl w:val="EA242F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45F86"/>
    <w:multiLevelType w:val="hybridMultilevel"/>
    <w:tmpl w:val="9D10E6B8"/>
    <w:lvl w:ilvl="0" w:tplc="CDF4C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10C5C"/>
    <w:multiLevelType w:val="hybridMultilevel"/>
    <w:tmpl w:val="438A66FA"/>
    <w:lvl w:ilvl="0" w:tplc="0A1E96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43D30"/>
    <w:multiLevelType w:val="hybridMultilevel"/>
    <w:tmpl w:val="557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15BFE"/>
    <w:multiLevelType w:val="hybridMultilevel"/>
    <w:tmpl w:val="AEBC1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D219D"/>
    <w:multiLevelType w:val="hybridMultilevel"/>
    <w:tmpl w:val="BD0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441AB"/>
    <w:multiLevelType w:val="hybridMultilevel"/>
    <w:tmpl w:val="BCAA6CE2"/>
    <w:lvl w:ilvl="0" w:tplc="88D25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EC4DA1"/>
    <w:multiLevelType w:val="hybridMultilevel"/>
    <w:tmpl w:val="AB682E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D450E"/>
    <w:multiLevelType w:val="hybridMultilevel"/>
    <w:tmpl w:val="A66E67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2C32BB"/>
    <w:multiLevelType w:val="hybridMultilevel"/>
    <w:tmpl w:val="E012B9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E20F2"/>
    <w:multiLevelType w:val="hybridMultilevel"/>
    <w:tmpl w:val="4D589D00"/>
    <w:lvl w:ilvl="0" w:tplc="040C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D0C1371"/>
    <w:multiLevelType w:val="hybridMultilevel"/>
    <w:tmpl w:val="1D98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E3517C1"/>
    <w:multiLevelType w:val="hybridMultilevel"/>
    <w:tmpl w:val="105E3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6"/>
  </w:num>
  <w:num w:numId="12">
    <w:abstractNumId w:val="35"/>
  </w:num>
  <w:num w:numId="13">
    <w:abstractNumId w:val="41"/>
  </w:num>
  <w:num w:numId="14">
    <w:abstractNumId w:val="26"/>
  </w:num>
  <w:num w:numId="15">
    <w:abstractNumId w:val="20"/>
  </w:num>
  <w:num w:numId="16">
    <w:abstractNumId w:val="42"/>
  </w:num>
  <w:num w:numId="17">
    <w:abstractNumId w:val="0"/>
  </w:num>
  <w:num w:numId="18">
    <w:abstractNumId w:val="34"/>
  </w:num>
  <w:num w:numId="19">
    <w:abstractNumId w:val="12"/>
  </w:num>
  <w:num w:numId="20">
    <w:abstractNumId w:val="37"/>
  </w:num>
  <w:num w:numId="21">
    <w:abstractNumId w:val="40"/>
  </w:num>
  <w:num w:numId="22">
    <w:abstractNumId w:val="29"/>
  </w:num>
  <w:num w:numId="23">
    <w:abstractNumId w:val="5"/>
  </w:num>
  <w:num w:numId="24">
    <w:abstractNumId w:val="1"/>
  </w:num>
  <w:num w:numId="25">
    <w:abstractNumId w:val="9"/>
  </w:num>
  <w:num w:numId="26">
    <w:abstractNumId w:val="8"/>
  </w:num>
  <w:num w:numId="27">
    <w:abstractNumId w:val="6"/>
  </w:num>
  <w:num w:numId="28">
    <w:abstractNumId w:val="22"/>
  </w:num>
  <w:num w:numId="29">
    <w:abstractNumId w:val="27"/>
  </w:num>
  <w:num w:numId="30">
    <w:abstractNumId w:val="33"/>
  </w:num>
  <w:num w:numId="31">
    <w:abstractNumId w:val="23"/>
  </w:num>
  <w:num w:numId="32">
    <w:abstractNumId w:val="28"/>
  </w:num>
  <w:num w:numId="33">
    <w:abstractNumId w:val="38"/>
  </w:num>
  <w:num w:numId="34">
    <w:abstractNumId w:val="4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4"/>
  </w:num>
  <w:num w:numId="38">
    <w:abstractNumId w:val="25"/>
  </w:num>
  <w:num w:numId="39">
    <w:abstractNumId w:val="18"/>
  </w:num>
  <w:num w:numId="40">
    <w:abstractNumId w:val="39"/>
  </w:num>
  <w:num w:numId="41">
    <w:abstractNumId w:val="19"/>
  </w:num>
  <w:num w:numId="42">
    <w:abstractNumId w:val="21"/>
  </w:num>
  <w:num w:numId="43">
    <w:abstractNumId w:val="24"/>
  </w:num>
  <w:num w:numId="44">
    <w:abstractNumId w:val="10"/>
  </w:num>
  <w:num w:numId="45">
    <w:abstractNumId w:val="2"/>
  </w:num>
  <w:num w:numId="46">
    <w:abstractNumId w:val="3"/>
  </w:num>
  <w:num w:numId="47">
    <w:abstractNumId w:val="3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5C23"/>
    <w:rsid w:val="0001792D"/>
    <w:rsid w:val="000D421A"/>
    <w:rsid w:val="001B5EA4"/>
    <w:rsid w:val="001C433F"/>
    <w:rsid w:val="001E171A"/>
    <w:rsid w:val="002448FE"/>
    <w:rsid w:val="00375BE8"/>
    <w:rsid w:val="003E7B5E"/>
    <w:rsid w:val="005B2734"/>
    <w:rsid w:val="00612E31"/>
    <w:rsid w:val="00687278"/>
    <w:rsid w:val="00732E31"/>
    <w:rsid w:val="007A4976"/>
    <w:rsid w:val="007C0DED"/>
    <w:rsid w:val="007E76D0"/>
    <w:rsid w:val="007F2F50"/>
    <w:rsid w:val="00803013"/>
    <w:rsid w:val="00966D1B"/>
    <w:rsid w:val="009836A9"/>
    <w:rsid w:val="009D091E"/>
    <w:rsid w:val="00AD5788"/>
    <w:rsid w:val="00C42CC9"/>
    <w:rsid w:val="00DA389A"/>
    <w:rsid w:val="00DA5C23"/>
    <w:rsid w:val="00F0620D"/>
    <w:rsid w:val="00F6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link w:val="Titre1Car"/>
    <w:uiPriority w:val="9"/>
    <w:qFormat/>
    <w:rsid w:val="00AD5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AD5788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AD5788"/>
    <w:pPr>
      <w:spacing w:before="100" w:beforeAutospacing="1" w:after="100" w:afterAutospacing="1"/>
      <w:outlineLvl w:val="2"/>
    </w:pPr>
    <w:rPr>
      <w:rFonts w:ascii="Calibri" w:hAnsi="Calibri"/>
      <w:sz w:val="21"/>
      <w:szCs w:val="21"/>
      <w:lang w:val="fr-CH" w:eastAsia="fr-CH"/>
    </w:rPr>
  </w:style>
  <w:style w:type="paragraph" w:styleId="Titre4">
    <w:name w:val="heading 4"/>
    <w:basedOn w:val="Normal"/>
    <w:next w:val="Normal"/>
    <w:link w:val="Titre4Car"/>
    <w:uiPriority w:val="9"/>
    <w:qFormat/>
    <w:rsid w:val="00AD578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5788"/>
    <w:pPr>
      <w:keepNext/>
      <w:keepLines/>
      <w:spacing w:before="200"/>
      <w:outlineLvl w:val="4"/>
    </w:pPr>
    <w:rPr>
      <w:rFonts w:ascii="Cambria" w:hAnsi="Cambria"/>
      <w:color w:val="243F60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AD578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57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DA5C23"/>
    <w:pPr>
      <w:suppressAutoHyphens/>
      <w:ind w:left="720"/>
    </w:pPr>
    <w:rPr>
      <w:szCs w:val="20"/>
      <w:lang w:eastAsia="ar-SA"/>
    </w:rPr>
  </w:style>
  <w:style w:type="paragraph" w:customStyle="1" w:styleId="yiv550034231msonormal">
    <w:name w:val="yiv550034231msonormal"/>
    <w:basedOn w:val="Normal"/>
    <w:rsid w:val="007F2F50"/>
    <w:pPr>
      <w:spacing w:before="100" w:beforeAutospacing="1" w:after="100" w:afterAutospacing="1"/>
    </w:pPr>
    <w:rPr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D57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57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5788"/>
    <w:rPr>
      <w:rFonts w:ascii="Calibri" w:eastAsia="Times New Roman" w:hAnsi="Calibri" w:cs="Times New Roman"/>
      <w:sz w:val="21"/>
      <w:szCs w:val="21"/>
      <w:lang w:val="fr-CH" w:eastAsia="fr-CH"/>
    </w:rPr>
  </w:style>
  <w:style w:type="character" w:customStyle="1" w:styleId="Titre4Car">
    <w:name w:val="Titre 4 Car"/>
    <w:basedOn w:val="Policepardfaut"/>
    <w:link w:val="Titre4"/>
    <w:uiPriority w:val="9"/>
    <w:rsid w:val="00AD5788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 w:eastAsia="fr-FR"/>
    </w:rPr>
  </w:style>
  <w:style w:type="character" w:customStyle="1" w:styleId="Titre5Car">
    <w:name w:val="Titre 5 Car"/>
    <w:basedOn w:val="Policepardfaut"/>
    <w:link w:val="Titre5"/>
    <w:uiPriority w:val="9"/>
    <w:rsid w:val="00AD5788"/>
    <w:rPr>
      <w:rFonts w:ascii="Cambria" w:eastAsia="Times New Roman" w:hAnsi="Cambria" w:cs="Times New Roman"/>
      <w:color w:val="243F60"/>
      <w:sz w:val="24"/>
      <w:szCs w:val="24"/>
      <w:lang w:val="en-GB" w:eastAsia="fr-FR"/>
    </w:rPr>
  </w:style>
  <w:style w:type="character" w:customStyle="1" w:styleId="Titre8Car">
    <w:name w:val="Titre 8 Car"/>
    <w:basedOn w:val="Policepardfaut"/>
    <w:link w:val="Titre8"/>
    <w:uiPriority w:val="9"/>
    <w:rsid w:val="00AD5788"/>
    <w:rPr>
      <w:rFonts w:ascii="Cambria" w:eastAsia="Times New Roman" w:hAnsi="Cambria" w:cs="Cambria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D57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fr-FR"/>
    </w:rPr>
  </w:style>
  <w:style w:type="character" w:styleId="Lienhypertexte">
    <w:name w:val="Hyperlink"/>
    <w:basedOn w:val="Policepardfaut"/>
    <w:uiPriority w:val="99"/>
    <w:rsid w:val="00AD578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AD57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5788"/>
    <w:pPr>
      <w:spacing w:before="100" w:beforeAutospacing="1" w:after="100" w:afterAutospacing="1"/>
    </w:pPr>
    <w:rPr>
      <w:lang w:eastAsia="fr-FR"/>
    </w:rPr>
  </w:style>
  <w:style w:type="paragraph" w:styleId="En-tte">
    <w:name w:val="header"/>
    <w:basedOn w:val="Normal"/>
    <w:link w:val="En-tteCar"/>
    <w:uiPriority w:val="99"/>
    <w:rsid w:val="00AD578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AD57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Textedelespacerserv"/>
    <w:uiPriority w:val="99"/>
    <w:rsid w:val="00AD5788"/>
    <w:pPr>
      <w:tabs>
        <w:tab w:val="center" w:pos="4320"/>
        <w:tab w:val="right" w:pos="8640"/>
      </w:tabs>
    </w:pPr>
    <w:rPr>
      <w:color w:val="808080"/>
      <w:sz w:val="20"/>
      <w:szCs w:val="20"/>
      <w:lang w:val="fr-CH" w:eastAsia="fr-CH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D57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Textedelespacerserv">
    <w:name w:val="Placeholder Text"/>
    <w:aliases w:val="Pied de page Car1"/>
    <w:basedOn w:val="Policepardfaut"/>
    <w:link w:val="Pieddepage"/>
    <w:uiPriority w:val="99"/>
    <w:rsid w:val="00AD5788"/>
    <w:rPr>
      <w:rFonts w:ascii="Times New Roman" w:eastAsia="Times New Roman" w:hAnsi="Times New Roman" w:cs="Times New Roman"/>
      <w:color w:val="808080"/>
      <w:sz w:val="20"/>
      <w:szCs w:val="20"/>
      <w:lang w:val="fr-CH" w:eastAsia="fr-CH"/>
    </w:rPr>
  </w:style>
  <w:style w:type="character" w:customStyle="1" w:styleId="FooterChar">
    <w:name w:val="Footer Char"/>
    <w:basedOn w:val="Policepardfaut"/>
    <w:uiPriority w:val="99"/>
    <w:semiHidden/>
    <w:rsid w:val="00AD5788"/>
    <w:rPr>
      <w:sz w:val="24"/>
      <w:szCs w:val="24"/>
      <w:lang w:val="en-GB" w:eastAsia="fr-FR"/>
    </w:rPr>
  </w:style>
  <w:style w:type="paragraph" w:styleId="Notedefin">
    <w:name w:val="endnote text"/>
    <w:basedOn w:val="Normal"/>
    <w:link w:val="NotedefinCar"/>
    <w:uiPriority w:val="99"/>
    <w:semiHidden/>
    <w:rsid w:val="00AD5788"/>
    <w:rPr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5788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RetraitcorpsdetexteCar">
    <w:name w:val="Retrait corps de texte Car"/>
    <w:link w:val="Retraitcorpsdetexte"/>
    <w:locked/>
    <w:rsid w:val="00AD5788"/>
    <w:rPr>
      <w:lang w:val="en-GB"/>
    </w:rPr>
  </w:style>
  <w:style w:type="paragraph" w:styleId="Retraitcorpsdetexte">
    <w:name w:val="Body Text Indent"/>
    <w:basedOn w:val="Normal"/>
    <w:link w:val="RetraitcorpsdetexteCar"/>
    <w:rsid w:val="00AD57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AD57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ppeldenotedefin">
    <w:name w:val="endnote reference"/>
    <w:basedOn w:val="Policepardfaut"/>
    <w:uiPriority w:val="99"/>
    <w:semiHidden/>
    <w:rsid w:val="00AD5788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rsid w:val="00AD578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AD5788"/>
    <w:rPr>
      <w:rFonts w:ascii="Calibri" w:eastAsia="SimSun" w:hAnsi="Calibri" w:cs="Calibri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788"/>
    <w:rPr>
      <w:rFonts w:ascii="Calibri" w:eastAsia="SimSun" w:hAnsi="Calibri" w:cs="Calibri"/>
      <w:sz w:val="20"/>
      <w:szCs w:val="20"/>
      <w:lang w:eastAsia="fr-FR"/>
    </w:rPr>
  </w:style>
  <w:style w:type="character" w:customStyle="1" w:styleId="Car5">
    <w:name w:val="Car5"/>
    <w:rsid w:val="00AD5788"/>
    <w:rPr>
      <w:rFonts w:ascii="Calibri" w:eastAsia="SimSun" w:hAnsi="Calibri"/>
    </w:rPr>
  </w:style>
  <w:style w:type="character" w:styleId="Appelnotedebasdep">
    <w:name w:val="footnote reference"/>
    <w:basedOn w:val="Policepardfaut"/>
    <w:uiPriority w:val="99"/>
    <w:semiHidden/>
    <w:rsid w:val="00AD5788"/>
    <w:rPr>
      <w:rFonts w:cs="Times New Roman"/>
      <w:vertAlign w:val="superscript"/>
    </w:rPr>
  </w:style>
  <w:style w:type="paragraph" w:styleId="Lgende">
    <w:name w:val="caption"/>
    <w:basedOn w:val="Normal"/>
    <w:next w:val="Normal"/>
    <w:uiPriority w:val="35"/>
    <w:qFormat/>
    <w:rsid w:val="00AD5788"/>
    <w:rPr>
      <w:b/>
      <w:bCs/>
      <w:sz w:val="20"/>
      <w:szCs w:val="20"/>
      <w:lang w:eastAsia="fr-FR"/>
    </w:rPr>
  </w:style>
  <w:style w:type="character" w:customStyle="1" w:styleId="Car8">
    <w:name w:val="Car8"/>
    <w:rsid w:val="00AD5788"/>
    <w:rPr>
      <w:sz w:val="24"/>
    </w:rPr>
  </w:style>
  <w:style w:type="character" w:customStyle="1" w:styleId="ParagraphedelisteCar">
    <w:name w:val="Paragraphe de liste Car"/>
    <w:link w:val="Paragraphedeliste"/>
    <w:rsid w:val="00AD578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extedebulles">
    <w:name w:val="Balloon Text"/>
    <w:basedOn w:val="Normal"/>
    <w:link w:val="TextedebullesCar"/>
    <w:uiPriority w:val="99"/>
    <w:semiHidden/>
    <w:rsid w:val="00AD5788"/>
    <w:rPr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88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ar4">
    <w:name w:val="Car4"/>
    <w:rsid w:val="00AD5788"/>
    <w:rPr>
      <w:rFonts w:ascii="Times New Roman" w:hAnsi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AD578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D5788"/>
    <w:rPr>
      <w:rFonts w:ascii="Cambria" w:hAnsi="Cambria"/>
      <w:b/>
      <w:color w:val="4F81BD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AD5788"/>
    <w:rPr>
      <w:rFonts w:ascii="Cambria" w:eastAsia="Times New Roman" w:hAnsi="Cambria" w:cs="Times New Roman"/>
      <w:b/>
      <w:color w:val="4F81BD"/>
      <w:sz w:val="24"/>
      <w:szCs w:val="20"/>
      <w:lang w:val="en-GB" w:eastAsia="fr-FR"/>
    </w:rPr>
  </w:style>
  <w:style w:type="character" w:customStyle="1" w:styleId="CommentTextChar">
    <w:name w:val="Comment Text Char"/>
    <w:basedOn w:val="Policepardfaut"/>
    <w:uiPriority w:val="99"/>
    <w:semiHidden/>
    <w:rsid w:val="00AD5788"/>
    <w:rPr>
      <w:lang w:val="en-GB" w:eastAsia="fr-FR"/>
    </w:rPr>
  </w:style>
  <w:style w:type="character" w:customStyle="1" w:styleId="Car3">
    <w:name w:val="Car3"/>
    <w:basedOn w:val="Policepardfaut"/>
    <w:link w:val="Style1"/>
    <w:rsid w:val="00AD5788"/>
    <w:rPr>
      <w:rFonts w:eastAsia="SimSun"/>
      <w:b/>
      <w:bCs/>
      <w:i/>
      <w:iCs/>
      <w:sz w:val="28"/>
      <w:szCs w:val="28"/>
      <w:lang w:val="en-GB"/>
    </w:rPr>
  </w:style>
  <w:style w:type="paragraph" w:customStyle="1" w:styleId="Style1">
    <w:name w:val="Style1"/>
    <w:basedOn w:val="Paragraphedeliste"/>
    <w:link w:val="Car3"/>
    <w:rsid w:val="00AD5788"/>
    <w:pPr>
      <w:suppressAutoHyphens w:val="0"/>
      <w:spacing w:after="120" w:line="276" w:lineRule="auto"/>
      <w:ind w:hanging="360"/>
      <w:contextualSpacing/>
      <w:jc w:val="both"/>
    </w:pPr>
    <w:rPr>
      <w:rFonts w:asciiTheme="minorHAnsi" w:eastAsia="SimSun" w:hAnsiTheme="minorHAnsi" w:cstheme="minorBidi"/>
      <w:b/>
      <w:bCs/>
      <w:i/>
      <w:iCs/>
      <w:sz w:val="28"/>
      <w:szCs w:val="28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D5788"/>
    <w:rPr>
      <w:color w:val="000000"/>
      <w:sz w:val="18"/>
      <w:szCs w:val="18"/>
      <w:u w:val="singl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788"/>
    <w:rPr>
      <w:color w:val="000000"/>
      <w:sz w:val="18"/>
      <w:szCs w:val="18"/>
      <w:u w:val="single"/>
    </w:rPr>
  </w:style>
  <w:style w:type="character" w:customStyle="1" w:styleId="Car2">
    <w:name w:val="Car2"/>
    <w:rsid w:val="00AD5788"/>
    <w:rPr>
      <w:b/>
    </w:rPr>
  </w:style>
  <w:style w:type="character" w:customStyle="1" w:styleId="BodyTextIndentChar1">
    <w:name w:val="Body Text Indent Char1"/>
    <w:basedOn w:val="Policepardfaut"/>
    <w:uiPriority w:val="99"/>
    <w:semiHidden/>
    <w:rsid w:val="00AD5788"/>
    <w:rPr>
      <w:sz w:val="24"/>
      <w:szCs w:val="24"/>
      <w:lang w:val="en-GB" w:eastAsia="fr-FR"/>
    </w:rPr>
  </w:style>
  <w:style w:type="character" w:customStyle="1" w:styleId="TextebrutCar">
    <w:name w:val="Texte brut Car"/>
    <w:link w:val="Textebrut"/>
    <w:locked/>
    <w:rsid w:val="00AD5788"/>
    <w:rPr>
      <w:sz w:val="24"/>
      <w:lang w:val="sv-SE"/>
    </w:rPr>
  </w:style>
  <w:style w:type="paragraph" w:styleId="Textebrut">
    <w:name w:val="Plain Text"/>
    <w:basedOn w:val="Normal"/>
    <w:link w:val="TextebrutCar"/>
    <w:rsid w:val="00AD5788"/>
    <w:rPr>
      <w:rFonts w:asciiTheme="minorHAnsi" w:eastAsiaTheme="minorHAnsi" w:hAnsiTheme="minorHAnsi" w:cstheme="minorBidi"/>
      <w:szCs w:val="22"/>
      <w:lang w:val="sv-SE" w:eastAsia="en-US"/>
    </w:rPr>
  </w:style>
  <w:style w:type="character" w:customStyle="1" w:styleId="TextebrutCar1">
    <w:name w:val="Texte brut Car1"/>
    <w:basedOn w:val="Policepardfaut"/>
    <w:link w:val="Textebrut"/>
    <w:uiPriority w:val="99"/>
    <w:semiHidden/>
    <w:rsid w:val="00AD5788"/>
    <w:rPr>
      <w:rFonts w:ascii="Consolas" w:eastAsia="Times New Roman" w:hAnsi="Consolas" w:cs="Times New Roman"/>
      <w:sz w:val="21"/>
      <w:szCs w:val="21"/>
      <w:lang w:val="en-GB" w:eastAsia="en-GB"/>
    </w:rPr>
  </w:style>
  <w:style w:type="table" w:customStyle="1" w:styleId="TableGrid1">
    <w:name w:val="Table Grid1"/>
    <w:rsid w:val="00AD5788"/>
    <w:pPr>
      <w:spacing w:after="0" w:line="240" w:lineRule="auto"/>
    </w:pPr>
    <w:rPr>
      <w:rFonts w:ascii="Calibri" w:eastAsia="Times New Roman" w:hAnsi="Calibri" w:cs="Calibri"/>
      <w:lang w:val="fr-CH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D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rsid w:val="00AD5788"/>
    <w:rPr>
      <w:rFonts w:ascii="Calibri" w:hAnsi="Calibri"/>
      <w:sz w:val="22"/>
    </w:rPr>
  </w:style>
  <w:style w:type="character" w:customStyle="1" w:styleId="Style1Char">
    <w:name w:val="Style1 Char"/>
    <w:rsid w:val="00AD5788"/>
    <w:rPr>
      <w:rFonts w:ascii="Calibri" w:eastAsia="SimSun" w:hAnsi="Calibri"/>
      <w:b/>
      <w:i/>
      <w:sz w:val="22"/>
    </w:rPr>
  </w:style>
  <w:style w:type="character" w:customStyle="1" w:styleId="PlainTextChar1">
    <w:name w:val="Plain Text Char1"/>
    <w:basedOn w:val="Policepardfaut"/>
    <w:uiPriority w:val="99"/>
    <w:semiHidden/>
    <w:rsid w:val="00AD5788"/>
    <w:rPr>
      <w:rFonts w:ascii="Courier New" w:hAnsi="Courier New" w:cs="Courier New"/>
      <w:lang w:val="en-GB" w:eastAsia="fr-FR"/>
    </w:rPr>
  </w:style>
  <w:style w:type="character" w:customStyle="1" w:styleId="Car10">
    <w:name w:val="Car10"/>
    <w:rsid w:val="00AD5788"/>
    <w:rPr>
      <w:rFonts w:ascii="Cambria" w:hAnsi="Cambria"/>
      <w:b/>
      <w:i/>
      <w:color w:val="4F81BD"/>
      <w:sz w:val="24"/>
      <w:lang w:val="en-US"/>
    </w:rPr>
  </w:style>
  <w:style w:type="paragraph" w:customStyle="1" w:styleId="Default">
    <w:name w:val="Default"/>
    <w:rsid w:val="00AD5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fr-FR"/>
    </w:rPr>
  </w:style>
  <w:style w:type="paragraph" w:customStyle="1" w:styleId="Pa2">
    <w:name w:val="Pa2"/>
    <w:basedOn w:val="Default"/>
    <w:next w:val="Default"/>
    <w:rsid w:val="00AD5788"/>
    <w:pPr>
      <w:spacing w:line="241" w:lineRule="atLeast"/>
    </w:pPr>
    <w:rPr>
      <w:color w:val="auto"/>
    </w:rPr>
  </w:style>
  <w:style w:type="character" w:customStyle="1" w:styleId="A3">
    <w:name w:val="A3"/>
    <w:rsid w:val="00AD5788"/>
    <w:rPr>
      <w:color w:val="000000"/>
      <w:sz w:val="15"/>
    </w:rPr>
  </w:style>
  <w:style w:type="paragraph" w:styleId="Rvision">
    <w:name w:val="Revision"/>
    <w:hidden/>
    <w:uiPriority w:val="99"/>
    <w:semiHidden/>
    <w:rsid w:val="00AD5788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fr-FR"/>
    </w:rPr>
  </w:style>
  <w:style w:type="paragraph" w:styleId="En-ttedetabledesmatires">
    <w:name w:val="TOC Heading"/>
    <w:basedOn w:val="Titre1"/>
    <w:next w:val="Normal"/>
    <w:uiPriority w:val="39"/>
    <w:qFormat/>
    <w:rsid w:val="00AD578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/>
    </w:rPr>
  </w:style>
  <w:style w:type="paragraph" w:styleId="TM1">
    <w:name w:val="toc 1"/>
    <w:basedOn w:val="Normal"/>
    <w:next w:val="Normal"/>
    <w:autoRedefine/>
    <w:uiPriority w:val="39"/>
    <w:semiHidden/>
    <w:rsid w:val="00AD5788"/>
    <w:pPr>
      <w:spacing w:after="100"/>
    </w:pPr>
    <w:rPr>
      <w:rFonts w:ascii="Arial" w:hAnsi="Arial" w:cs="Arial"/>
      <w:lang w:val="en-US" w:eastAsia="fr-FR"/>
    </w:rPr>
  </w:style>
  <w:style w:type="paragraph" w:styleId="TM2">
    <w:name w:val="toc 2"/>
    <w:basedOn w:val="Normal"/>
    <w:next w:val="Normal"/>
    <w:autoRedefine/>
    <w:uiPriority w:val="39"/>
    <w:semiHidden/>
    <w:rsid w:val="00AD5788"/>
    <w:pPr>
      <w:spacing w:after="100"/>
      <w:ind w:left="240"/>
    </w:pPr>
    <w:rPr>
      <w:rFonts w:ascii="Arial" w:hAnsi="Arial" w:cs="Arial"/>
      <w:lang w:val="en-US" w:eastAsia="fr-FR"/>
    </w:rPr>
  </w:style>
  <w:style w:type="paragraph" w:customStyle="1" w:styleId="Style2">
    <w:name w:val="Style2"/>
    <w:basedOn w:val="Normal"/>
    <w:rsid w:val="00AD5788"/>
    <w:pPr>
      <w:keepNext/>
      <w:keepLines/>
      <w:spacing w:before="480"/>
      <w:ind w:left="360" w:hanging="360"/>
      <w:outlineLvl w:val="0"/>
    </w:pPr>
    <w:rPr>
      <w:rFonts w:ascii="Cambria" w:hAnsi="Cambria" w:cs="Cambria"/>
      <w:b/>
      <w:bCs/>
      <w:color w:val="365F91"/>
      <w:sz w:val="28"/>
      <w:szCs w:val="28"/>
      <w:lang w:val="fr-FR" w:eastAsia="fr-FR"/>
    </w:rPr>
  </w:style>
  <w:style w:type="paragraph" w:customStyle="1" w:styleId="Style3">
    <w:name w:val="Style3"/>
    <w:basedOn w:val="Normal"/>
    <w:rsid w:val="00AD5788"/>
    <w:pPr>
      <w:keepNext/>
      <w:keepLines/>
      <w:spacing w:before="200"/>
      <w:ind w:left="1080" w:hanging="720"/>
      <w:outlineLvl w:val="1"/>
    </w:pPr>
    <w:rPr>
      <w:rFonts w:ascii="Cambria" w:hAnsi="Cambria" w:cs="Cambria"/>
      <w:b/>
      <w:bCs/>
      <w:color w:val="4F81BD"/>
      <w:sz w:val="26"/>
      <w:szCs w:val="26"/>
      <w:lang w:val="fr-FR" w:eastAsia="fr-FR"/>
    </w:rPr>
  </w:style>
  <w:style w:type="character" w:customStyle="1" w:styleId="Style2Char">
    <w:name w:val="Style2 Char"/>
    <w:rsid w:val="00AD5788"/>
    <w:rPr>
      <w:rFonts w:ascii="Cambria" w:hAnsi="Cambria"/>
      <w:b/>
      <w:color w:val="365F91"/>
      <w:sz w:val="24"/>
    </w:rPr>
  </w:style>
  <w:style w:type="paragraph" w:customStyle="1" w:styleId="Pa14">
    <w:name w:val="Pa14"/>
    <w:basedOn w:val="Default"/>
    <w:next w:val="Default"/>
    <w:rsid w:val="00AD5788"/>
    <w:pPr>
      <w:spacing w:line="211" w:lineRule="atLeast"/>
    </w:pPr>
    <w:rPr>
      <w:color w:val="auto"/>
    </w:rPr>
  </w:style>
  <w:style w:type="character" w:customStyle="1" w:styleId="A14">
    <w:name w:val="A14"/>
    <w:rsid w:val="00AD5788"/>
    <w:rPr>
      <w:color w:val="000000"/>
      <w:sz w:val="21"/>
      <w:u w:val="single"/>
    </w:rPr>
  </w:style>
  <w:style w:type="paragraph" w:customStyle="1" w:styleId="Pa17">
    <w:name w:val="Pa17"/>
    <w:basedOn w:val="Default"/>
    <w:next w:val="Default"/>
    <w:rsid w:val="00AD5788"/>
    <w:pPr>
      <w:spacing w:line="23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AD5788"/>
    <w:pPr>
      <w:spacing w:line="181" w:lineRule="atLeast"/>
    </w:pPr>
    <w:rPr>
      <w:color w:val="auto"/>
    </w:rPr>
  </w:style>
  <w:style w:type="character" w:customStyle="1" w:styleId="A13">
    <w:name w:val="A13"/>
    <w:rsid w:val="00AD5788"/>
    <w:rPr>
      <w:rFonts w:ascii="Times New Roman" w:hAnsi="Times New Roman"/>
      <w:color w:val="000000"/>
      <w:sz w:val="21"/>
      <w:u w:val="single"/>
    </w:rPr>
  </w:style>
  <w:style w:type="paragraph" w:customStyle="1" w:styleId="Pa36">
    <w:name w:val="Pa36"/>
    <w:basedOn w:val="Default"/>
    <w:next w:val="Default"/>
    <w:rsid w:val="00AD5788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AD5788"/>
    <w:pPr>
      <w:spacing w:line="211" w:lineRule="atLeast"/>
    </w:pPr>
    <w:rPr>
      <w:color w:val="auto"/>
    </w:rPr>
  </w:style>
  <w:style w:type="paragraph" w:customStyle="1" w:styleId="Pa23">
    <w:name w:val="Pa23"/>
    <w:basedOn w:val="Default"/>
    <w:next w:val="Default"/>
    <w:rsid w:val="00AD5788"/>
    <w:pPr>
      <w:spacing w:line="21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AD5788"/>
    <w:pPr>
      <w:spacing w:line="211" w:lineRule="atLeast"/>
    </w:pPr>
    <w:rPr>
      <w:color w:val="auto"/>
    </w:rPr>
  </w:style>
  <w:style w:type="paragraph" w:customStyle="1" w:styleId="Pa18">
    <w:name w:val="Pa18"/>
    <w:basedOn w:val="Default"/>
    <w:next w:val="Default"/>
    <w:rsid w:val="00AD5788"/>
    <w:pPr>
      <w:spacing w:line="211" w:lineRule="atLeast"/>
    </w:pPr>
    <w:rPr>
      <w:color w:val="auto"/>
    </w:rPr>
  </w:style>
  <w:style w:type="character" w:customStyle="1" w:styleId="tw4winMark">
    <w:name w:val="tw4winMark"/>
    <w:rsid w:val="00AD578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AD578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AD5788"/>
    <w:rPr>
      <w:color w:val="0000FF"/>
    </w:rPr>
  </w:style>
  <w:style w:type="character" w:customStyle="1" w:styleId="tw4winPopup">
    <w:name w:val="tw4winPopup"/>
    <w:rsid w:val="00AD57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AD57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AD57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AD57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AD5788"/>
    <w:rPr>
      <w:rFonts w:ascii="Courier New" w:hAnsi="Courier New"/>
      <w:noProof/>
      <w:color w:val="800000"/>
    </w:rPr>
  </w:style>
  <w:style w:type="paragraph" w:customStyle="1" w:styleId="Paragraphedeliste1">
    <w:name w:val="Paragraphe de liste1"/>
    <w:basedOn w:val="Normal"/>
    <w:uiPriority w:val="34"/>
    <w:qFormat/>
    <w:rsid w:val="00AD5788"/>
    <w:pPr>
      <w:ind w:left="708"/>
    </w:pPr>
    <w:rPr>
      <w:lang w:val="fr-FR" w:eastAsia="fr-FR"/>
    </w:rPr>
  </w:style>
  <w:style w:type="paragraph" w:customStyle="1" w:styleId="StyleTimesNewRomanJustified">
    <w:name w:val="Style Times New Roman Justified"/>
    <w:basedOn w:val="Normal"/>
    <w:rsid w:val="00AD5788"/>
    <w:pPr>
      <w:jc w:val="both"/>
    </w:pPr>
    <w:rPr>
      <w:szCs w:val="20"/>
      <w:lang w:val="fr-FR" w:eastAsia="en-US"/>
    </w:rPr>
  </w:style>
  <w:style w:type="paragraph" w:styleId="Sansinterligne">
    <w:name w:val="No Spacing"/>
    <w:uiPriority w:val="1"/>
    <w:qFormat/>
    <w:rsid w:val="00AD5788"/>
    <w:pPr>
      <w:spacing w:after="0" w:line="240" w:lineRule="auto"/>
    </w:pPr>
    <w:rPr>
      <w:rFonts w:ascii="Calibri" w:eastAsia="Calibri" w:hAnsi="Calibri" w:cs="Angsana New"/>
      <w:lang w:val="ha-Latn-NG"/>
    </w:rPr>
  </w:style>
  <w:style w:type="paragraph" w:styleId="Titre">
    <w:name w:val="Title"/>
    <w:basedOn w:val="Normal"/>
    <w:link w:val="TitreCar"/>
    <w:qFormat/>
    <w:rsid w:val="00AD5788"/>
    <w:pPr>
      <w:jc w:val="center"/>
    </w:pPr>
    <w:rPr>
      <w:rFonts w:ascii="Comic Sans MS" w:hAnsi="Comic Sans MS"/>
      <w:b/>
      <w:szCs w:val="20"/>
      <w:lang w:val="fr-BE" w:eastAsia="fr-FR"/>
    </w:rPr>
  </w:style>
  <w:style w:type="character" w:customStyle="1" w:styleId="TitreCar">
    <w:name w:val="Titre Car"/>
    <w:basedOn w:val="Policepardfaut"/>
    <w:link w:val="Titre"/>
    <w:rsid w:val="00AD5788"/>
    <w:rPr>
      <w:rFonts w:ascii="Comic Sans MS" w:eastAsia="Times New Roman" w:hAnsi="Comic Sans MS" w:cs="Times New Roman"/>
      <w:b/>
      <w:sz w:val="24"/>
      <w:szCs w:val="20"/>
      <w:lang w:val="fr-B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Oumalher Tassiou</dc:creator>
  <cp:lastModifiedBy>Oumalher Tassiou</cp:lastModifiedBy>
  <cp:revision>12</cp:revision>
  <dcterms:created xsi:type="dcterms:W3CDTF">2013-01-03T11:54:00Z</dcterms:created>
  <dcterms:modified xsi:type="dcterms:W3CDTF">2013-01-09T10:06:00Z</dcterms:modified>
</cp:coreProperties>
</file>