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044"/>
        <w:tblW w:w="4031"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7499"/>
      </w:tblGrid>
      <w:tr w:rsidR="001D4640" w:rsidRPr="00AE360E" w:rsidTr="00E6020F">
        <w:trPr>
          <w:trHeight w:val="3859"/>
        </w:trPr>
        <w:sdt>
          <w:sdtPr>
            <w:rPr>
              <w:rFonts w:ascii="Arial" w:eastAsiaTheme="majorEastAsia" w:hAnsi="Arial" w:cs="Arial"/>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1D4640" w:rsidRPr="00AE360E" w:rsidRDefault="001D4640" w:rsidP="00AE360E">
                <w:pPr>
                  <w:pStyle w:val="Sansinterligne"/>
                  <w:spacing w:line="276" w:lineRule="auto"/>
                  <w:jc w:val="both"/>
                  <w:rPr>
                    <w:rFonts w:ascii="Arial" w:eastAsiaTheme="majorEastAsia" w:hAnsi="Arial" w:cs="Arial"/>
                    <w:sz w:val="72"/>
                    <w:szCs w:val="72"/>
                  </w:rPr>
                </w:pPr>
                <w:r w:rsidRPr="00AE360E">
                  <w:rPr>
                    <w:rFonts w:ascii="Arial" w:eastAsiaTheme="majorEastAsia" w:hAnsi="Arial" w:cs="Arial"/>
                    <w:sz w:val="72"/>
                    <w:szCs w:val="72"/>
                  </w:rPr>
                  <w:t>Plan d’Introduction du VPI au Tchad.</w:t>
                </w:r>
              </w:p>
            </w:tc>
          </w:sdtContent>
        </w:sdt>
      </w:tr>
      <w:tr w:rsidR="001D4640" w:rsidRPr="00AE360E" w:rsidTr="00E6020F">
        <w:trPr>
          <w:trHeight w:val="3320"/>
        </w:trPr>
        <w:sdt>
          <w:sdtPr>
            <w:rPr>
              <w:rFonts w:ascii="Arial" w:hAnsi="Arial" w:cs="Arial"/>
              <w:sz w:val="44"/>
              <w:szCs w:val="40"/>
            </w:rPr>
            <w:alias w:val="Sous-titr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1D4640" w:rsidRPr="00AE360E" w:rsidRDefault="001D4640" w:rsidP="00AE360E">
                <w:pPr>
                  <w:pStyle w:val="Sansinterligne"/>
                  <w:spacing w:line="276" w:lineRule="auto"/>
                  <w:jc w:val="both"/>
                  <w:rPr>
                    <w:rFonts w:ascii="Arial" w:hAnsi="Arial" w:cs="Arial"/>
                    <w:sz w:val="40"/>
                    <w:szCs w:val="40"/>
                  </w:rPr>
                </w:pPr>
                <w:r w:rsidRPr="00AE360E">
                  <w:rPr>
                    <w:rFonts w:ascii="Arial" w:hAnsi="Arial" w:cs="Arial"/>
                    <w:sz w:val="44"/>
                    <w:szCs w:val="40"/>
                  </w:rPr>
                  <w:t>Application pour l’introduction du vaccin antipoliomyélitique inactivé dans le pr</w:t>
                </w:r>
                <w:r w:rsidR="00D55968">
                  <w:rPr>
                    <w:rFonts w:ascii="Arial" w:hAnsi="Arial" w:cs="Arial"/>
                    <w:sz w:val="44"/>
                    <w:szCs w:val="40"/>
                  </w:rPr>
                  <w:t>ogramme national de vaccination en 2015.</w:t>
                </w:r>
              </w:p>
            </w:tc>
          </w:sdtContent>
        </w:sdt>
      </w:tr>
      <w:tr w:rsidR="001D4640" w:rsidRPr="00AE360E" w:rsidTr="00E6020F">
        <w:trPr>
          <w:trHeight w:val="796"/>
        </w:trPr>
        <w:tc>
          <w:tcPr>
            <w:tcW w:w="5000" w:type="pct"/>
          </w:tcPr>
          <w:p w:rsidR="001D4640" w:rsidRPr="00F77564" w:rsidRDefault="00F77564" w:rsidP="00907598">
            <w:pPr>
              <w:pStyle w:val="Sansinterligne"/>
              <w:spacing w:line="276" w:lineRule="auto"/>
              <w:jc w:val="center"/>
              <w:rPr>
                <w:rFonts w:ascii="Arial" w:hAnsi="Arial" w:cs="Arial"/>
                <w:b/>
                <w:sz w:val="44"/>
                <w:szCs w:val="28"/>
              </w:rPr>
            </w:pPr>
            <w:r w:rsidRPr="00F77564">
              <w:rPr>
                <w:rFonts w:ascii="Arial" w:hAnsi="Arial" w:cs="Arial"/>
                <w:b/>
                <w:sz w:val="44"/>
                <w:szCs w:val="28"/>
              </w:rPr>
              <w:t>Division de la Vaccination</w:t>
            </w:r>
          </w:p>
          <w:p w:rsidR="00DB15BF" w:rsidRPr="00AE360E" w:rsidRDefault="00DB15BF" w:rsidP="00907598">
            <w:pPr>
              <w:pStyle w:val="Sansinterligne"/>
              <w:spacing w:line="276" w:lineRule="auto"/>
              <w:jc w:val="center"/>
              <w:rPr>
                <w:rFonts w:ascii="Arial" w:hAnsi="Arial" w:cs="Arial"/>
                <w:b/>
                <w:sz w:val="28"/>
                <w:szCs w:val="28"/>
              </w:rPr>
            </w:pPr>
            <w:r>
              <w:rPr>
                <w:rFonts w:ascii="Arial" w:hAnsi="Arial" w:cs="Arial"/>
                <w:b/>
                <w:sz w:val="32"/>
                <w:szCs w:val="28"/>
              </w:rPr>
              <w:t>10-sept.-14</w:t>
            </w:r>
          </w:p>
        </w:tc>
      </w:tr>
    </w:tbl>
    <w:sdt>
      <w:sdtPr>
        <w:rPr>
          <w:rFonts w:ascii="Arial" w:hAnsi="Arial" w:cs="Arial"/>
        </w:rPr>
        <w:id w:val="-1812477013"/>
        <w:docPartObj>
          <w:docPartGallery w:val="Cover Pages"/>
          <w:docPartUnique/>
        </w:docPartObj>
      </w:sdtPr>
      <w:sdtEndPr>
        <w:rPr>
          <w:rFonts w:eastAsiaTheme="majorEastAsia"/>
          <w:caps/>
        </w:rPr>
      </w:sdtEndPr>
      <w:sdtContent>
        <w:p w:rsidR="0042579C" w:rsidRPr="00AE360E" w:rsidRDefault="0042579C"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42579C" w:rsidRPr="00AE360E" w:rsidRDefault="0042579C"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1D4640" w:rsidRPr="00AE360E" w:rsidRDefault="001D4640" w:rsidP="00AE360E">
          <w:pPr>
            <w:jc w:val="both"/>
            <w:rPr>
              <w:rFonts w:ascii="Arial" w:hAnsi="Arial" w:cs="Arial"/>
            </w:rPr>
          </w:pPr>
        </w:p>
        <w:p w:rsidR="0042579C" w:rsidRPr="00AE360E" w:rsidRDefault="0042579C" w:rsidP="00AE360E">
          <w:pPr>
            <w:jc w:val="both"/>
            <w:rPr>
              <w:rFonts w:ascii="Arial" w:eastAsiaTheme="majorEastAsia" w:hAnsi="Arial" w:cs="Arial"/>
              <w:caps/>
            </w:rPr>
          </w:pPr>
          <w:r w:rsidRPr="00AE360E">
            <w:rPr>
              <w:rFonts w:ascii="Arial" w:eastAsiaTheme="majorEastAsia" w:hAnsi="Arial" w:cs="Arial"/>
              <w:caps/>
            </w:rPr>
            <w:br w:type="page"/>
          </w:r>
        </w:p>
      </w:sdtContent>
    </w:sdt>
    <w:p w:rsidR="00643867" w:rsidRPr="006A4BFF" w:rsidRDefault="00643867" w:rsidP="00B64ACD">
      <w:pPr>
        <w:pStyle w:val="TM1"/>
        <w:tabs>
          <w:tab w:val="clear" w:pos="9062"/>
          <w:tab w:val="left" w:pos="3180"/>
        </w:tabs>
      </w:pPr>
      <w:r w:rsidRPr="006A4BFF">
        <w:lastRenderedPageBreak/>
        <w:t>TABLE DES MATIERES</w:t>
      </w:r>
      <w:r w:rsidR="00B64ACD">
        <w:tab/>
      </w:r>
    </w:p>
    <w:p w:rsidR="00643867" w:rsidRPr="00AE360E" w:rsidRDefault="00643867" w:rsidP="006A4BFF">
      <w:pPr>
        <w:pStyle w:val="TM1"/>
      </w:pPr>
    </w:p>
    <w:p w:rsidR="006A4BFF" w:rsidRDefault="000F281E" w:rsidP="006A4BFF">
      <w:pPr>
        <w:pStyle w:val="TM1"/>
        <w:rPr>
          <w:rFonts w:asciiTheme="minorHAnsi" w:eastAsiaTheme="minorEastAsia" w:hAnsiTheme="minorHAnsi"/>
          <w:noProof/>
          <w:lang w:eastAsia="fr-FR"/>
        </w:rPr>
      </w:pPr>
      <w:r w:rsidRPr="000F281E">
        <w:fldChar w:fldCharType="begin"/>
      </w:r>
      <w:r w:rsidR="00E62DD8" w:rsidRPr="00AE360E">
        <w:instrText xml:space="preserve"> TOC \o "1-2" \h \z \u </w:instrText>
      </w:r>
      <w:r w:rsidRPr="000F281E">
        <w:fldChar w:fldCharType="separate"/>
      </w:r>
      <w:hyperlink w:anchor="_Toc397522407" w:history="1">
        <w:r w:rsidR="006A4BFF" w:rsidRPr="00014F7A">
          <w:rPr>
            <w:rStyle w:val="Lienhypertexte"/>
            <w:rFonts w:eastAsia="SimSun"/>
            <w:noProof/>
          </w:rPr>
          <w:t>1.</w:t>
        </w:r>
        <w:r w:rsidR="006A4BFF">
          <w:rPr>
            <w:rFonts w:asciiTheme="minorHAnsi" w:eastAsiaTheme="minorEastAsia" w:hAnsiTheme="minorHAnsi"/>
            <w:noProof/>
            <w:lang w:eastAsia="fr-FR"/>
          </w:rPr>
          <w:tab/>
        </w:r>
        <w:r w:rsidR="006A4BFF" w:rsidRPr="00014F7A">
          <w:rPr>
            <w:rStyle w:val="Lienhypertexte"/>
            <w:rFonts w:eastAsia="SimSun"/>
            <w:noProof/>
          </w:rPr>
          <w:t>Justification de l’introduction du VPI et processus décisionnel national.</w:t>
        </w:r>
        <w:r w:rsidR="006A4BFF">
          <w:rPr>
            <w:noProof/>
            <w:webHidden/>
          </w:rPr>
          <w:tab/>
        </w:r>
        <w:r>
          <w:rPr>
            <w:noProof/>
            <w:webHidden/>
          </w:rPr>
          <w:fldChar w:fldCharType="begin"/>
        </w:r>
        <w:r w:rsidR="006A4BFF">
          <w:rPr>
            <w:noProof/>
            <w:webHidden/>
          </w:rPr>
          <w:instrText xml:space="preserve"> PAGEREF _Toc397522407 \h </w:instrText>
        </w:r>
        <w:r>
          <w:rPr>
            <w:noProof/>
            <w:webHidden/>
          </w:rPr>
        </w:r>
        <w:r>
          <w:rPr>
            <w:noProof/>
            <w:webHidden/>
          </w:rPr>
          <w:fldChar w:fldCharType="separate"/>
        </w:r>
        <w:r w:rsidR="006A4BFF">
          <w:rPr>
            <w:noProof/>
            <w:webHidden/>
          </w:rPr>
          <w:t>6</w:t>
        </w:r>
        <w:r>
          <w:rPr>
            <w:noProof/>
            <w:webHidden/>
          </w:rPr>
          <w:fldChar w:fldCharType="end"/>
        </w:r>
      </w:hyperlink>
    </w:p>
    <w:p w:rsidR="006A4BFF" w:rsidRDefault="000F281E" w:rsidP="006A4BFF">
      <w:pPr>
        <w:pStyle w:val="TM1"/>
        <w:rPr>
          <w:rFonts w:asciiTheme="minorHAnsi" w:eastAsiaTheme="minorEastAsia" w:hAnsiTheme="minorHAnsi"/>
          <w:noProof/>
          <w:lang w:eastAsia="fr-FR"/>
        </w:rPr>
      </w:pPr>
      <w:hyperlink w:anchor="_Toc397522408" w:history="1">
        <w:r w:rsidR="006A4BFF" w:rsidRPr="00014F7A">
          <w:rPr>
            <w:rStyle w:val="Lienhypertexte"/>
            <w:rFonts w:eastAsia="SimSun"/>
            <w:noProof/>
          </w:rPr>
          <w:t>2.</w:t>
        </w:r>
        <w:r w:rsidR="006A4BFF">
          <w:rPr>
            <w:rFonts w:asciiTheme="minorHAnsi" w:eastAsiaTheme="minorEastAsia" w:hAnsiTheme="minorHAnsi"/>
            <w:noProof/>
            <w:lang w:eastAsia="fr-FR"/>
          </w:rPr>
          <w:tab/>
        </w:r>
        <w:r w:rsidR="006A4BFF" w:rsidRPr="00014F7A">
          <w:rPr>
            <w:rStyle w:val="Lienhypertexte"/>
            <w:rFonts w:eastAsia="SimSun"/>
            <w:noProof/>
          </w:rPr>
          <w:t>Présentation générale du VPI</w:t>
        </w:r>
        <w:r w:rsidR="006A4BFF">
          <w:rPr>
            <w:noProof/>
            <w:webHidden/>
          </w:rPr>
          <w:tab/>
        </w:r>
        <w:r>
          <w:rPr>
            <w:noProof/>
            <w:webHidden/>
          </w:rPr>
          <w:fldChar w:fldCharType="begin"/>
        </w:r>
        <w:r w:rsidR="006A4BFF">
          <w:rPr>
            <w:noProof/>
            <w:webHidden/>
          </w:rPr>
          <w:instrText xml:space="preserve"> PAGEREF _Toc397522408 \h </w:instrText>
        </w:r>
        <w:r>
          <w:rPr>
            <w:noProof/>
            <w:webHidden/>
          </w:rPr>
        </w:r>
        <w:r>
          <w:rPr>
            <w:noProof/>
            <w:webHidden/>
          </w:rPr>
          <w:fldChar w:fldCharType="separate"/>
        </w:r>
        <w:r w:rsidR="006A4BFF">
          <w:rPr>
            <w:noProof/>
            <w:webHidden/>
          </w:rPr>
          <w:t>7</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09" w:history="1">
        <w:r w:rsidR="006A4BFF" w:rsidRPr="00014F7A">
          <w:rPr>
            <w:rStyle w:val="Lienhypertexte"/>
            <w:rFonts w:ascii="Arial" w:hAnsi="Arial" w:cs="Arial"/>
            <w:noProof/>
          </w:rPr>
          <w:t>2.1</w:t>
        </w:r>
        <w:r w:rsidR="006A4BFF">
          <w:rPr>
            <w:rFonts w:eastAsiaTheme="minorEastAsia"/>
            <w:noProof/>
            <w:lang w:eastAsia="fr-FR"/>
          </w:rPr>
          <w:tab/>
        </w:r>
        <w:r w:rsidR="006A4BFF" w:rsidRPr="00014F7A">
          <w:rPr>
            <w:rStyle w:val="Lienhypertexte"/>
            <w:rFonts w:ascii="Arial" w:hAnsi="Arial" w:cs="Arial"/>
            <w:noProof/>
          </w:rPr>
          <w:t>Préférences vaccinales</w:t>
        </w:r>
        <w:r w:rsidR="006A4BFF">
          <w:rPr>
            <w:noProof/>
            <w:webHidden/>
          </w:rPr>
          <w:tab/>
        </w:r>
        <w:r>
          <w:rPr>
            <w:noProof/>
            <w:webHidden/>
          </w:rPr>
          <w:fldChar w:fldCharType="begin"/>
        </w:r>
        <w:r w:rsidR="006A4BFF">
          <w:rPr>
            <w:noProof/>
            <w:webHidden/>
          </w:rPr>
          <w:instrText xml:space="preserve"> PAGEREF _Toc397522409 \h </w:instrText>
        </w:r>
        <w:r>
          <w:rPr>
            <w:noProof/>
            <w:webHidden/>
          </w:rPr>
        </w:r>
        <w:r>
          <w:rPr>
            <w:noProof/>
            <w:webHidden/>
          </w:rPr>
          <w:fldChar w:fldCharType="separate"/>
        </w:r>
        <w:r w:rsidR="006A4BFF">
          <w:rPr>
            <w:noProof/>
            <w:webHidden/>
          </w:rPr>
          <w:t>7</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0" w:history="1">
        <w:r w:rsidR="006A4BFF" w:rsidRPr="00014F7A">
          <w:rPr>
            <w:rStyle w:val="Lienhypertexte"/>
            <w:rFonts w:ascii="Arial" w:hAnsi="Arial" w:cs="Arial"/>
            <w:noProof/>
          </w:rPr>
          <w:t>2.2</w:t>
        </w:r>
        <w:r w:rsidR="006A4BFF">
          <w:rPr>
            <w:rFonts w:eastAsiaTheme="minorEastAsia"/>
            <w:noProof/>
            <w:lang w:eastAsia="fr-FR"/>
          </w:rPr>
          <w:tab/>
        </w:r>
        <w:r w:rsidR="006A4BFF" w:rsidRPr="00014F7A">
          <w:rPr>
            <w:rStyle w:val="Lienhypertexte"/>
            <w:rFonts w:ascii="Arial" w:hAnsi="Arial" w:cs="Arial"/>
            <w:noProof/>
          </w:rPr>
          <w:t>Homologation nationale</w:t>
        </w:r>
        <w:r w:rsidR="006A4BFF">
          <w:rPr>
            <w:noProof/>
            <w:webHidden/>
          </w:rPr>
          <w:tab/>
        </w:r>
        <w:r>
          <w:rPr>
            <w:noProof/>
            <w:webHidden/>
          </w:rPr>
          <w:fldChar w:fldCharType="begin"/>
        </w:r>
        <w:r w:rsidR="006A4BFF">
          <w:rPr>
            <w:noProof/>
            <w:webHidden/>
          </w:rPr>
          <w:instrText xml:space="preserve"> PAGEREF _Toc397522410 \h </w:instrText>
        </w:r>
        <w:r>
          <w:rPr>
            <w:noProof/>
            <w:webHidden/>
          </w:rPr>
        </w:r>
        <w:r>
          <w:rPr>
            <w:noProof/>
            <w:webHidden/>
          </w:rPr>
          <w:fldChar w:fldCharType="separate"/>
        </w:r>
        <w:r w:rsidR="006A4BFF">
          <w:rPr>
            <w:noProof/>
            <w:webHidden/>
          </w:rPr>
          <w:t>8</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1" w:history="1">
        <w:r w:rsidR="006A4BFF" w:rsidRPr="00014F7A">
          <w:rPr>
            <w:rStyle w:val="Lienhypertexte"/>
            <w:rFonts w:ascii="Arial" w:hAnsi="Arial" w:cs="Arial"/>
            <w:bCs/>
            <w:noProof/>
          </w:rPr>
          <w:t>2.3</w:t>
        </w:r>
        <w:r w:rsidR="006A4BFF">
          <w:rPr>
            <w:rFonts w:eastAsiaTheme="minorEastAsia"/>
            <w:noProof/>
            <w:lang w:eastAsia="fr-FR"/>
          </w:rPr>
          <w:tab/>
        </w:r>
        <w:r w:rsidR="006A4BFF" w:rsidRPr="00014F7A">
          <w:rPr>
            <w:rStyle w:val="Lienhypertexte"/>
            <w:rFonts w:ascii="Arial" w:hAnsi="Arial" w:cs="Arial"/>
            <w:noProof/>
          </w:rPr>
          <w:t>Taille de la Population cible</w:t>
        </w:r>
        <w:r w:rsidR="006A4BFF" w:rsidRPr="00014F7A">
          <w:rPr>
            <w:rStyle w:val="Lienhypertexte"/>
            <w:rFonts w:ascii="Arial" w:hAnsi="Arial" w:cs="Arial"/>
            <w:bCs/>
            <w:noProof/>
          </w:rPr>
          <w:t> :</w:t>
        </w:r>
        <w:r w:rsidR="006A4BFF">
          <w:rPr>
            <w:noProof/>
            <w:webHidden/>
          </w:rPr>
          <w:tab/>
        </w:r>
        <w:r>
          <w:rPr>
            <w:noProof/>
            <w:webHidden/>
          </w:rPr>
          <w:fldChar w:fldCharType="begin"/>
        </w:r>
        <w:r w:rsidR="006A4BFF">
          <w:rPr>
            <w:noProof/>
            <w:webHidden/>
          </w:rPr>
          <w:instrText xml:space="preserve"> PAGEREF _Toc397522411 \h </w:instrText>
        </w:r>
        <w:r>
          <w:rPr>
            <w:noProof/>
            <w:webHidden/>
          </w:rPr>
        </w:r>
        <w:r>
          <w:rPr>
            <w:noProof/>
            <w:webHidden/>
          </w:rPr>
          <w:fldChar w:fldCharType="separate"/>
        </w:r>
        <w:r w:rsidR="006A4BFF">
          <w:rPr>
            <w:noProof/>
            <w:webHidden/>
          </w:rPr>
          <w:t>8</w:t>
        </w:r>
        <w:r>
          <w:rPr>
            <w:noProof/>
            <w:webHidden/>
          </w:rPr>
          <w:fldChar w:fldCharType="end"/>
        </w:r>
      </w:hyperlink>
    </w:p>
    <w:p w:rsidR="006A4BFF" w:rsidRDefault="000F281E" w:rsidP="006A4BFF">
      <w:pPr>
        <w:pStyle w:val="TM1"/>
        <w:rPr>
          <w:rFonts w:asciiTheme="minorHAnsi" w:eastAsiaTheme="minorEastAsia" w:hAnsiTheme="minorHAnsi"/>
          <w:noProof/>
          <w:lang w:eastAsia="fr-FR"/>
        </w:rPr>
      </w:pPr>
      <w:hyperlink w:anchor="_Toc397522412" w:history="1">
        <w:r w:rsidR="006A4BFF" w:rsidRPr="00014F7A">
          <w:rPr>
            <w:rStyle w:val="Lienhypertexte"/>
            <w:rFonts w:eastAsia="SimSun"/>
            <w:noProof/>
          </w:rPr>
          <w:t>3.</w:t>
        </w:r>
        <w:r w:rsidR="006A4BFF">
          <w:rPr>
            <w:rFonts w:asciiTheme="minorHAnsi" w:eastAsiaTheme="minorEastAsia" w:hAnsiTheme="minorHAnsi"/>
            <w:noProof/>
            <w:lang w:eastAsia="fr-FR"/>
          </w:rPr>
          <w:tab/>
        </w:r>
        <w:r w:rsidR="006A4BFF" w:rsidRPr="00014F7A">
          <w:rPr>
            <w:rStyle w:val="Lienhypertexte"/>
            <w:rFonts w:eastAsia="SimSun"/>
            <w:noProof/>
          </w:rPr>
          <w:t>Considérations liées à l’introduction et à la mise en œuvre</w:t>
        </w:r>
        <w:r w:rsidR="006A4BFF">
          <w:rPr>
            <w:noProof/>
            <w:webHidden/>
          </w:rPr>
          <w:tab/>
        </w:r>
        <w:r>
          <w:rPr>
            <w:noProof/>
            <w:webHidden/>
          </w:rPr>
          <w:fldChar w:fldCharType="begin"/>
        </w:r>
        <w:r w:rsidR="006A4BFF">
          <w:rPr>
            <w:noProof/>
            <w:webHidden/>
          </w:rPr>
          <w:instrText xml:space="preserve"> PAGEREF _Toc397522412 \h </w:instrText>
        </w:r>
        <w:r>
          <w:rPr>
            <w:noProof/>
            <w:webHidden/>
          </w:rPr>
        </w:r>
        <w:r>
          <w:rPr>
            <w:noProof/>
            <w:webHidden/>
          </w:rPr>
          <w:fldChar w:fldCharType="separate"/>
        </w:r>
        <w:r w:rsidR="006A4BFF">
          <w:rPr>
            <w:noProof/>
            <w:webHidden/>
          </w:rPr>
          <w:t>10</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3" w:history="1">
        <w:r w:rsidR="006A4BFF" w:rsidRPr="00014F7A">
          <w:rPr>
            <w:rStyle w:val="Lienhypertexte"/>
            <w:rFonts w:ascii="Arial" w:hAnsi="Arial" w:cs="Arial"/>
            <w:noProof/>
          </w:rPr>
          <w:t>3.1</w:t>
        </w:r>
        <w:r w:rsidR="006A4BFF">
          <w:rPr>
            <w:rFonts w:eastAsiaTheme="minorEastAsia"/>
            <w:noProof/>
            <w:lang w:eastAsia="fr-FR"/>
          </w:rPr>
          <w:tab/>
        </w:r>
        <w:r w:rsidR="006A4BFF" w:rsidRPr="00014F7A">
          <w:rPr>
            <w:rStyle w:val="Lienhypertexte"/>
            <w:rFonts w:ascii="Arial" w:hAnsi="Arial" w:cs="Arial"/>
            <w:noProof/>
          </w:rPr>
          <w:t>Elaboration des politiques</w:t>
        </w:r>
        <w:r w:rsidR="006A4BFF">
          <w:rPr>
            <w:noProof/>
            <w:webHidden/>
          </w:rPr>
          <w:tab/>
        </w:r>
        <w:r>
          <w:rPr>
            <w:noProof/>
            <w:webHidden/>
          </w:rPr>
          <w:fldChar w:fldCharType="begin"/>
        </w:r>
        <w:r w:rsidR="006A4BFF">
          <w:rPr>
            <w:noProof/>
            <w:webHidden/>
          </w:rPr>
          <w:instrText xml:space="preserve"> PAGEREF _Toc397522413 \h </w:instrText>
        </w:r>
        <w:r>
          <w:rPr>
            <w:noProof/>
            <w:webHidden/>
          </w:rPr>
        </w:r>
        <w:r>
          <w:rPr>
            <w:noProof/>
            <w:webHidden/>
          </w:rPr>
          <w:fldChar w:fldCharType="separate"/>
        </w:r>
        <w:r w:rsidR="006A4BFF">
          <w:rPr>
            <w:noProof/>
            <w:webHidden/>
          </w:rPr>
          <w:t>10</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4" w:history="1">
        <w:r w:rsidR="006A4BFF" w:rsidRPr="00014F7A">
          <w:rPr>
            <w:rStyle w:val="Lienhypertexte"/>
            <w:rFonts w:ascii="Arial" w:hAnsi="Arial" w:cs="Arial"/>
            <w:noProof/>
          </w:rPr>
          <w:t>3.2</w:t>
        </w:r>
        <w:r w:rsidR="006A4BFF">
          <w:rPr>
            <w:rFonts w:eastAsiaTheme="minorEastAsia"/>
            <w:noProof/>
            <w:lang w:eastAsia="fr-FR"/>
          </w:rPr>
          <w:tab/>
        </w:r>
        <w:r w:rsidR="006A4BFF" w:rsidRPr="00014F7A">
          <w:rPr>
            <w:rStyle w:val="Lienhypertexte"/>
            <w:rFonts w:ascii="Arial" w:hAnsi="Arial" w:cs="Arial"/>
            <w:noProof/>
          </w:rPr>
          <w:t>Mécanisme de coordination national pour faciliter l’introduction du vaccin</w:t>
        </w:r>
        <w:r w:rsidR="006A4BFF">
          <w:rPr>
            <w:noProof/>
            <w:webHidden/>
          </w:rPr>
          <w:tab/>
        </w:r>
        <w:r>
          <w:rPr>
            <w:noProof/>
            <w:webHidden/>
          </w:rPr>
          <w:fldChar w:fldCharType="begin"/>
        </w:r>
        <w:r w:rsidR="006A4BFF">
          <w:rPr>
            <w:noProof/>
            <w:webHidden/>
          </w:rPr>
          <w:instrText xml:space="preserve"> PAGEREF _Toc397522414 \h </w:instrText>
        </w:r>
        <w:r>
          <w:rPr>
            <w:noProof/>
            <w:webHidden/>
          </w:rPr>
        </w:r>
        <w:r>
          <w:rPr>
            <w:noProof/>
            <w:webHidden/>
          </w:rPr>
          <w:fldChar w:fldCharType="separate"/>
        </w:r>
        <w:r w:rsidR="006A4BFF">
          <w:rPr>
            <w:noProof/>
            <w:webHidden/>
          </w:rPr>
          <w:t>12</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5" w:history="1">
        <w:r w:rsidR="006A4BFF" w:rsidRPr="00014F7A">
          <w:rPr>
            <w:rStyle w:val="Lienhypertexte"/>
            <w:rFonts w:ascii="Arial" w:hAnsi="Arial" w:cs="Arial"/>
            <w:noProof/>
          </w:rPr>
          <w:t>3.3</w:t>
        </w:r>
        <w:r w:rsidR="006A4BFF">
          <w:rPr>
            <w:rFonts w:eastAsiaTheme="minorEastAsia"/>
            <w:noProof/>
            <w:lang w:eastAsia="fr-FR"/>
          </w:rPr>
          <w:tab/>
        </w:r>
        <w:r w:rsidR="006A4BFF" w:rsidRPr="00014F7A">
          <w:rPr>
            <w:rStyle w:val="Lienhypertexte"/>
            <w:rFonts w:ascii="Arial" w:hAnsi="Arial" w:cs="Arial"/>
            <w:noProof/>
          </w:rPr>
          <w:t>Accessibilité économique et pérennité financière du vaccin</w:t>
        </w:r>
        <w:r w:rsidR="006A4BFF">
          <w:rPr>
            <w:noProof/>
            <w:webHidden/>
          </w:rPr>
          <w:tab/>
        </w:r>
        <w:r>
          <w:rPr>
            <w:noProof/>
            <w:webHidden/>
          </w:rPr>
          <w:fldChar w:fldCharType="begin"/>
        </w:r>
        <w:r w:rsidR="006A4BFF">
          <w:rPr>
            <w:noProof/>
            <w:webHidden/>
          </w:rPr>
          <w:instrText xml:space="preserve"> PAGEREF _Toc397522415 \h </w:instrText>
        </w:r>
        <w:r>
          <w:rPr>
            <w:noProof/>
            <w:webHidden/>
          </w:rPr>
        </w:r>
        <w:r>
          <w:rPr>
            <w:noProof/>
            <w:webHidden/>
          </w:rPr>
          <w:fldChar w:fldCharType="separate"/>
        </w:r>
        <w:r w:rsidR="006A4BFF">
          <w:rPr>
            <w:noProof/>
            <w:webHidden/>
          </w:rPr>
          <w:t>13</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6" w:history="1">
        <w:r w:rsidR="006A4BFF" w:rsidRPr="00014F7A">
          <w:rPr>
            <w:rStyle w:val="Lienhypertexte"/>
            <w:rFonts w:ascii="Arial" w:hAnsi="Arial" w:cs="Arial"/>
            <w:noProof/>
          </w:rPr>
          <w:t>3.4</w:t>
        </w:r>
        <w:r w:rsidR="006A4BFF">
          <w:rPr>
            <w:rFonts w:eastAsiaTheme="minorEastAsia"/>
            <w:noProof/>
            <w:lang w:eastAsia="fr-FR"/>
          </w:rPr>
          <w:tab/>
        </w:r>
        <w:r w:rsidR="006A4BFF" w:rsidRPr="00014F7A">
          <w:rPr>
            <w:rStyle w:val="Lienhypertexte"/>
            <w:rFonts w:ascii="Arial" w:hAnsi="Arial" w:cs="Arial"/>
            <w:noProof/>
          </w:rPr>
          <w:t>Aperçu de la capacité de la chaîne du froid au niveau des districts et aux niveaux régional et national  -Identification et résorption des gaps.</w:t>
        </w:r>
        <w:r w:rsidR="006A4BFF">
          <w:rPr>
            <w:noProof/>
            <w:webHidden/>
          </w:rPr>
          <w:tab/>
        </w:r>
        <w:r>
          <w:rPr>
            <w:noProof/>
            <w:webHidden/>
          </w:rPr>
          <w:fldChar w:fldCharType="begin"/>
        </w:r>
        <w:r w:rsidR="006A4BFF">
          <w:rPr>
            <w:noProof/>
            <w:webHidden/>
          </w:rPr>
          <w:instrText xml:space="preserve"> PAGEREF _Toc397522416 \h </w:instrText>
        </w:r>
        <w:r>
          <w:rPr>
            <w:noProof/>
            <w:webHidden/>
          </w:rPr>
        </w:r>
        <w:r>
          <w:rPr>
            <w:noProof/>
            <w:webHidden/>
          </w:rPr>
          <w:fldChar w:fldCharType="separate"/>
        </w:r>
        <w:r w:rsidR="006A4BFF">
          <w:rPr>
            <w:noProof/>
            <w:webHidden/>
          </w:rPr>
          <w:t>15</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7" w:history="1">
        <w:r w:rsidR="006A4BFF" w:rsidRPr="00014F7A">
          <w:rPr>
            <w:rStyle w:val="Lienhypertexte"/>
            <w:rFonts w:ascii="Arial" w:hAnsi="Arial" w:cs="Arial"/>
            <w:noProof/>
          </w:rPr>
          <w:t>3.5</w:t>
        </w:r>
        <w:r w:rsidR="006A4BFF">
          <w:rPr>
            <w:rFonts w:eastAsiaTheme="minorEastAsia"/>
            <w:noProof/>
            <w:lang w:eastAsia="fr-FR"/>
          </w:rPr>
          <w:tab/>
        </w:r>
        <w:r w:rsidR="006A4BFF" w:rsidRPr="00014F7A">
          <w:rPr>
            <w:rStyle w:val="Lienhypertexte"/>
            <w:rFonts w:ascii="Arial" w:hAnsi="Arial" w:cs="Arial"/>
            <w:noProof/>
          </w:rPr>
          <w:t>Gestion des déchets et sécurité des injections</w:t>
        </w:r>
        <w:r w:rsidR="006A4BFF">
          <w:rPr>
            <w:noProof/>
            <w:webHidden/>
          </w:rPr>
          <w:tab/>
        </w:r>
        <w:r>
          <w:rPr>
            <w:noProof/>
            <w:webHidden/>
          </w:rPr>
          <w:fldChar w:fldCharType="begin"/>
        </w:r>
        <w:r w:rsidR="006A4BFF">
          <w:rPr>
            <w:noProof/>
            <w:webHidden/>
          </w:rPr>
          <w:instrText xml:space="preserve"> PAGEREF _Toc397522417 \h </w:instrText>
        </w:r>
        <w:r>
          <w:rPr>
            <w:noProof/>
            <w:webHidden/>
          </w:rPr>
        </w:r>
        <w:r>
          <w:rPr>
            <w:noProof/>
            <w:webHidden/>
          </w:rPr>
          <w:fldChar w:fldCharType="separate"/>
        </w:r>
        <w:r w:rsidR="006A4BFF">
          <w:rPr>
            <w:noProof/>
            <w:webHidden/>
          </w:rPr>
          <w:t>18</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8" w:history="1">
        <w:r w:rsidR="006A4BFF" w:rsidRPr="00014F7A">
          <w:rPr>
            <w:rStyle w:val="Lienhypertexte"/>
            <w:rFonts w:ascii="Arial" w:hAnsi="Arial" w:cs="Arial"/>
            <w:noProof/>
          </w:rPr>
          <w:t>3.6</w:t>
        </w:r>
        <w:r w:rsidR="006A4BFF">
          <w:rPr>
            <w:rFonts w:eastAsiaTheme="minorEastAsia"/>
            <w:noProof/>
            <w:lang w:eastAsia="fr-FR"/>
          </w:rPr>
          <w:tab/>
        </w:r>
        <w:r w:rsidR="006A4BFF" w:rsidRPr="00014F7A">
          <w:rPr>
            <w:rStyle w:val="Lienhypertexte"/>
            <w:rFonts w:ascii="Arial" w:hAnsi="Arial" w:cs="Arial"/>
            <w:noProof/>
          </w:rPr>
          <w:t>Formation et supervision des personnels de santé</w:t>
        </w:r>
        <w:r w:rsidR="006A4BFF">
          <w:rPr>
            <w:noProof/>
            <w:webHidden/>
          </w:rPr>
          <w:tab/>
        </w:r>
        <w:r>
          <w:rPr>
            <w:noProof/>
            <w:webHidden/>
          </w:rPr>
          <w:fldChar w:fldCharType="begin"/>
        </w:r>
        <w:r w:rsidR="006A4BFF">
          <w:rPr>
            <w:noProof/>
            <w:webHidden/>
          </w:rPr>
          <w:instrText xml:space="preserve"> PAGEREF _Toc397522418 \h </w:instrText>
        </w:r>
        <w:r>
          <w:rPr>
            <w:noProof/>
            <w:webHidden/>
          </w:rPr>
        </w:r>
        <w:r>
          <w:rPr>
            <w:noProof/>
            <w:webHidden/>
          </w:rPr>
          <w:fldChar w:fldCharType="separate"/>
        </w:r>
        <w:r w:rsidR="006A4BFF">
          <w:rPr>
            <w:noProof/>
            <w:webHidden/>
          </w:rPr>
          <w:t>18</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19" w:history="1">
        <w:r w:rsidR="006A4BFF" w:rsidRPr="00014F7A">
          <w:rPr>
            <w:rStyle w:val="Lienhypertexte"/>
            <w:rFonts w:ascii="Arial" w:hAnsi="Arial" w:cs="Arial"/>
            <w:noProof/>
          </w:rPr>
          <w:t>3.7</w:t>
        </w:r>
        <w:r w:rsidR="006A4BFF">
          <w:rPr>
            <w:rFonts w:eastAsiaTheme="minorEastAsia"/>
            <w:noProof/>
            <w:lang w:eastAsia="fr-FR"/>
          </w:rPr>
          <w:tab/>
        </w:r>
        <w:r w:rsidR="006A4BFF" w:rsidRPr="00014F7A">
          <w:rPr>
            <w:rStyle w:val="Lienhypertexte"/>
            <w:rFonts w:ascii="Arial" w:hAnsi="Arial" w:cs="Arial"/>
            <w:noProof/>
          </w:rPr>
          <w:t>Principaux risques et défis</w:t>
        </w:r>
        <w:r w:rsidR="006A4BFF">
          <w:rPr>
            <w:noProof/>
            <w:webHidden/>
          </w:rPr>
          <w:tab/>
        </w:r>
        <w:r>
          <w:rPr>
            <w:noProof/>
            <w:webHidden/>
          </w:rPr>
          <w:fldChar w:fldCharType="begin"/>
        </w:r>
        <w:r w:rsidR="006A4BFF">
          <w:rPr>
            <w:noProof/>
            <w:webHidden/>
          </w:rPr>
          <w:instrText xml:space="preserve"> PAGEREF _Toc397522419 \h </w:instrText>
        </w:r>
        <w:r>
          <w:rPr>
            <w:noProof/>
            <w:webHidden/>
          </w:rPr>
        </w:r>
        <w:r>
          <w:rPr>
            <w:noProof/>
            <w:webHidden/>
          </w:rPr>
          <w:fldChar w:fldCharType="separate"/>
        </w:r>
        <w:r w:rsidR="006A4BFF">
          <w:rPr>
            <w:noProof/>
            <w:webHidden/>
          </w:rPr>
          <w:t>20</w:t>
        </w:r>
        <w:r>
          <w:rPr>
            <w:noProof/>
            <w:webHidden/>
          </w:rPr>
          <w:fldChar w:fldCharType="end"/>
        </w:r>
      </w:hyperlink>
    </w:p>
    <w:p w:rsidR="006A4BFF" w:rsidRDefault="000F281E" w:rsidP="006A4BFF">
      <w:pPr>
        <w:pStyle w:val="TM1"/>
        <w:rPr>
          <w:rFonts w:asciiTheme="minorHAnsi" w:eastAsiaTheme="minorEastAsia" w:hAnsiTheme="minorHAnsi"/>
          <w:noProof/>
          <w:lang w:eastAsia="fr-FR"/>
        </w:rPr>
      </w:pPr>
      <w:hyperlink w:anchor="_Toc397522420" w:history="1">
        <w:r w:rsidR="006A4BFF" w:rsidRPr="00014F7A">
          <w:rPr>
            <w:rStyle w:val="Lienhypertexte"/>
            <w:rFonts w:eastAsia="SimSun"/>
            <w:noProof/>
          </w:rPr>
          <w:t>4.</w:t>
        </w:r>
        <w:r w:rsidR="006A4BFF">
          <w:rPr>
            <w:rFonts w:asciiTheme="minorHAnsi" w:eastAsiaTheme="minorEastAsia" w:hAnsiTheme="minorHAnsi"/>
            <w:noProof/>
            <w:lang w:eastAsia="fr-FR"/>
          </w:rPr>
          <w:tab/>
        </w:r>
        <w:r w:rsidR="006A4BFF" w:rsidRPr="00014F7A">
          <w:rPr>
            <w:rStyle w:val="Lienhypertexte"/>
            <w:rFonts w:eastAsia="SimSun"/>
            <w:noProof/>
          </w:rPr>
          <w:t>Analyse situationnelle du programme national de vaccination</w:t>
        </w:r>
        <w:r w:rsidR="006A4BFF">
          <w:rPr>
            <w:noProof/>
            <w:webHidden/>
          </w:rPr>
          <w:tab/>
        </w:r>
        <w:r>
          <w:rPr>
            <w:noProof/>
            <w:webHidden/>
          </w:rPr>
          <w:fldChar w:fldCharType="begin"/>
        </w:r>
        <w:r w:rsidR="006A4BFF">
          <w:rPr>
            <w:noProof/>
            <w:webHidden/>
          </w:rPr>
          <w:instrText xml:space="preserve"> PAGEREF _Toc397522420 \h </w:instrText>
        </w:r>
        <w:r>
          <w:rPr>
            <w:noProof/>
            <w:webHidden/>
          </w:rPr>
        </w:r>
        <w:r>
          <w:rPr>
            <w:noProof/>
            <w:webHidden/>
          </w:rPr>
          <w:fldChar w:fldCharType="separate"/>
        </w:r>
        <w:r w:rsidR="006A4BFF">
          <w:rPr>
            <w:noProof/>
            <w:webHidden/>
          </w:rPr>
          <w:t>21</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1" w:history="1">
        <w:r w:rsidR="006A4BFF" w:rsidRPr="00014F7A">
          <w:rPr>
            <w:rStyle w:val="Lienhypertexte"/>
            <w:rFonts w:ascii="Arial" w:hAnsi="Arial" w:cs="Arial"/>
            <w:noProof/>
          </w:rPr>
          <w:t>4.1</w:t>
        </w:r>
        <w:r w:rsidR="006A4BFF">
          <w:rPr>
            <w:rFonts w:eastAsiaTheme="minorEastAsia"/>
            <w:noProof/>
            <w:lang w:eastAsia="fr-FR"/>
          </w:rPr>
          <w:tab/>
        </w:r>
        <w:r w:rsidR="006A4BFF" w:rsidRPr="00014F7A">
          <w:rPr>
            <w:rStyle w:val="Lienhypertexte"/>
            <w:rFonts w:ascii="Arial" w:hAnsi="Arial" w:cs="Arial"/>
            <w:noProof/>
          </w:rPr>
          <w:t>Contexte général du pays</w:t>
        </w:r>
        <w:r w:rsidR="006A4BFF">
          <w:rPr>
            <w:noProof/>
            <w:webHidden/>
          </w:rPr>
          <w:tab/>
        </w:r>
        <w:r>
          <w:rPr>
            <w:noProof/>
            <w:webHidden/>
          </w:rPr>
          <w:fldChar w:fldCharType="begin"/>
        </w:r>
        <w:r w:rsidR="006A4BFF">
          <w:rPr>
            <w:noProof/>
            <w:webHidden/>
          </w:rPr>
          <w:instrText xml:space="preserve"> PAGEREF _Toc397522421 \h </w:instrText>
        </w:r>
        <w:r>
          <w:rPr>
            <w:noProof/>
            <w:webHidden/>
          </w:rPr>
        </w:r>
        <w:r>
          <w:rPr>
            <w:noProof/>
            <w:webHidden/>
          </w:rPr>
          <w:fldChar w:fldCharType="separate"/>
        </w:r>
        <w:r w:rsidR="006A4BFF">
          <w:rPr>
            <w:noProof/>
            <w:webHidden/>
          </w:rPr>
          <w:t>21</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2" w:history="1">
        <w:r w:rsidR="006A4BFF" w:rsidRPr="00014F7A">
          <w:rPr>
            <w:rStyle w:val="Lienhypertexte"/>
            <w:rFonts w:ascii="Arial" w:hAnsi="Arial" w:cs="Arial"/>
            <w:noProof/>
          </w:rPr>
          <w:t>4.2</w:t>
        </w:r>
        <w:r w:rsidR="006A4BFF">
          <w:rPr>
            <w:rFonts w:eastAsiaTheme="minorEastAsia"/>
            <w:noProof/>
            <w:lang w:eastAsia="fr-FR"/>
          </w:rPr>
          <w:tab/>
        </w:r>
        <w:r w:rsidR="006A4BFF" w:rsidRPr="00014F7A">
          <w:rPr>
            <w:rStyle w:val="Lienhypertexte"/>
            <w:rFonts w:ascii="Arial" w:hAnsi="Arial" w:cs="Arial"/>
            <w:noProof/>
          </w:rPr>
          <w:t>Obstacles géographiques, économiques, politiques, culturels, sexo-spécifiques et sociaux à la vaccination</w:t>
        </w:r>
        <w:r w:rsidR="006A4BFF">
          <w:rPr>
            <w:noProof/>
            <w:webHidden/>
          </w:rPr>
          <w:tab/>
        </w:r>
        <w:r>
          <w:rPr>
            <w:noProof/>
            <w:webHidden/>
          </w:rPr>
          <w:fldChar w:fldCharType="begin"/>
        </w:r>
        <w:r w:rsidR="006A4BFF">
          <w:rPr>
            <w:noProof/>
            <w:webHidden/>
          </w:rPr>
          <w:instrText xml:space="preserve"> PAGEREF _Toc397522422 \h </w:instrText>
        </w:r>
        <w:r>
          <w:rPr>
            <w:noProof/>
            <w:webHidden/>
          </w:rPr>
        </w:r>
        <w:r>
          <w:rPr>
            <w:noProof/>
            <w:webHidden/>
          </w:rPr>
          <w:fldChar w:fldCharType="separate"/>
        </w:r>
        <w:r w:rsidR="006A4BFF">
          <w:rPr>
            <w:noProof/>
            <w:webHidden/>
          </w:rPr>
          <w:t>26</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3" w:history="1">
        <w:r w:rsidR="006A4BFF" w:rsidRPr="00014F7A">
          <w:rPr>
            <w:rStyle w:val="Lienhypertexte"/>
            <w:rFonts w:ascii="Arial" w:hAnsi="Arial" w:cs="Arial"/>
            <w:noProof/>
          </w:rPr>
          <w:t>4.3</w:t>
        </w:r>
        <w:r w:rsidR="006A4BFF">
          <w:rPr>
            <w:rFonts w:eastAsiaTheme="minorEastAsia"/>
            <w:noProof/>
            <w:lang w:eastAsia="fr-FR"/>
          </w:rPr>
          <w:tab/>
        </w:r>
        <w:r w:rsidR="006A4BFF" w:rsidRPr="00014F7A">
          <w:rPr>
            <w:rStyle w:val="Lienhypertexte"/>
            <w:rFonts w:ascii="Arial" w:hAnsi="Arial" w:cs="Arial"/>
            <w:noProof/>
          </w:rPr>
          <w:t>Conclusions des récentes évaluations de programmes</w:t>
        </w:r>
        <w:r w:rsidR="006A4BFF">
          <w:rPr>
            <w:noProof/>
            <w:webHidden/>
          </w:rPr>
          <w:tab/>
        </w:r>
        <w:r>
          <w:rPr>
            <w:noProof/>
            <w:webHidden/>
          </w:rPr>
          <w:fldChar w:fldCharType="begin"/>
        </w:r>
        <w:r w:rsidR="006A4BFF">
          <w:rPr>
            <w:noProof/>
            <w:webHidden/>
          </w:rPr>
          <w:instrText xml:space="preserve"> PAGEREF _Toc397522423 \h </w:instrText>
        </w:r>
        <w:r>
          <w:rPr>
            <w:noProof/>
            <w:webHidden/>
          </w:rPr>
        </w:r>
        <w:r>
          <w:rPr>
            <w:noProof/>
            <w:webHidden/>
          </w:rPr>
          <w:fldChar w:fldCharType="separate"/>
        </w:r>
        <w:r w:rsidR="006A4BFF">
          <w:rPr>
            <w:noProof/>
            <w:webHidden/>
          </w:rPr>
          <w:t>28</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4" w:history="1">
        <w:r w:rsidR="006A4BFF" w:rsidRPr="00014F7A">
          <w:rPr>
            <w:rStyle w:val="Lienhypertexte"/>
            <w:rFonts w:ascii="Arial" w:hAnsi="Arial" w:cs="Arial"/>
            <w:noProof/>
          </w:rPr>
          <w:t>4.4</w:t>
        </w:r>
        <w:r w:rsidR="006A4BFF">
          <w:rPr>
            <w:rFonts w:eastAsiaTheme="minorEastAsia"/>
            <w:noProof/>
            <w:lang w:eastAsia="fr-FR"/>
          </w:rPr>
          <w:tab/>
        </w:r>
        <w:r w:rsidR="006A4BFF" w:rsidRPr="00014F7A">
          <w:rPr>
            <w:rStyle w:val="Lienhypertexte"/>
            <w:rFonts w:ascii="Arial" w:hAnsi="Arial" w:cs="Arial"/>
            <w:noProof/>
          </w:rPr>
          <w:t>Gestion des stocks</w:t>
        </w:r>
        <w:r w:rsidR="006A4BFF">
          <w:rPr>
            <w:noProof/>
            <w:webHidden/>
          </w:rPr>
          <w:tab/>
        </w:r>
        <w:r>
          <w:rPr>
            <w:noProof/>
            <w:webHidden/>
          </w:rPr>
          <w:fldChar w:fldCharType="begin"/>
        </w:r>
        <w:r w:rsidR="006A4BFF">
          <w:rPr>
            <w:noProof/>
            <w:webHidden/>
          </w:rPr>
          <w:instrText xml:space="preserve"> PAGEREF _Toc397522424 \h </w:instrText>
        </w:r>
        <w:r>
          <w:rPr>
            <w:noProof/>
            <w:webHidden/>
          </w:rPr>
        </w:r>
        <w:r>
          <w:rPr>
            <w:noProof/>
            <w:webHidden/>
          </w:rPr>
          <w:fldChar w:fldCharType="separate"/>
        </w:r>
        <w:r w:rsidR="006A4BFF">
          <w:rPr>
            <w:noProof/>
            <w:webHidden/>
          </w:rPr>
          <w:t>31</w:t>
        </w:r>
        <w:r>
          <w:rPr>
            <w:noProof/>
            <w:webHidden/>
          </w:rPr>
          <w:fldChar w:fldCharType="end"/>
        </w:r>
      </w:hyperlink>
    </w:p>
    <w:p w:rsidR="006A4BFF" w:rsidRDefault="000F281E" w:rsidP="006A4BFF">
      <w:pPr>
        <w:pStyle w:val="TM1"/>
        <w:rPr>
          <w:rFonts w:asciiTheme="minorHAnsi" w:eastAsiaTheme="minorEastAsia" w:hAnsiTheme="minorHAnsi"/>
          <w:noProof/>
          <w:lang w:eastAsia="fr-FR"/>
        </w:rPr>
      </w:pPr>
      <w:hyperlink w:anchor="_Toc397522425" w:history="1">
        <w:r w:rsidR="006A4BFF" w:rsidRPr="00014F7A">
          <w:rPr>
            <w:rStyle w:val="Lienhypertexte"/>
            <w:rFonts w:eastAsia="SimSun"/>
            <w:noProof/>
          </w:rPr>
          <w:t>5.</w:t>
        </w:r>
        <w:r w:rsidR="006A4BFF">
          <w:rPr>
            <w:rFonts w:asciiTheme="minorHAnsi" w:eastAsiaTheme="minorEastAsia" w:hAnsiTheme="minorHAnsi"/>
            <w:noProof/>
            <w:lang w:eastAsia="fr-FR"/>
          </w:rPr>
          <w:tab/>
        </w:r>
        <w:r w:rsidR="006A4BFF" w:rsidRPr="00014F7A">
          <w:rPr>
            <w:rStyle w:val="Lienhypertexte"/>
            <w:rFonts w:eastAsia="SimSun"/>
            <w:noProof/>
          </w:rPr>
          <w:t>Suivi-évaluation</w:t>
        </w:r>
        <w:r w:rsidR="006A4BFF">
          <w:rPr>
            <w:noProof/>
            <w:webHidden/>
          </w:rPr>
          <w:tab/>
        </w:r>
        <w:r>
          <w:rPr>
            <w:noProof/>
            <w:webHidden/>
          </w:rPr>
          <w:fldChar w:fldCharType="begin"/>
        </w:r>
        <w:r w:rsidR="006A4BFF">
          <w:rPr>
            <w:noProof/>
            <w:webHidden/>
          </w:rPr>
          <w:instrText xml:space="preserve"> PAGEREF _Toc397522425 \h </w:instrText>
        </w:r>
        <w:r>
          <w:rPr>
            <w:noProof/>
            <w:webHidden/>
          </w:rPr>
        </w:r>
        <w:r>
          <w:rPr>
            <w:noProof/>
            <w:webHidden/>
          </w:rPr>
          <w:fldChar w:fldCharType="separate"/>
        </w:r>
        <w:r w:rsidR="006A4BFF">
          <w:rPr>
            <w:noProof/>
            <w:webHidden/>
          </w:rPr>
          <w:t>31</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6" w:history="1">
        <w:r w:rsidR="006A4BFF" w:rsidRPr="00014F7A">
          <w:rPr>
            <w:rStyle w:val="Lienhypertexte"/>
            <w:rFonts w:ascii="Arial" w:hAnsi="Arial" w:cs="Arial"/>
            <w:noProof/>
          </w:rPr>
          <w:t>5.1</w:t>
        </w:r>
        <w:r w:rsidR="006A4BFF">
          <w:rPr>
            <w:rFonts w:eastAsiaTheme="minorEastAsia"/>
            <w:noProof/>
            <w:lang w:eastAsia="fr-FR"/>
          </w:rPr>
          <w:tab/>
        </w:r>
        <w:r w:rsidR="006A4BFF" w:rsidRPr="00014F7A">
          <w:rPr>
            <w:rStyle w:val="Lienhypertexte"/>
            <w:rFonts w:ascii="Arial" w:hAnsi="Arial" w:cs="Arial"/>
            <w:noProof/>
          </w:rPr>
          <w:t>Outils  de suivi des vaccins et de la vaccination :</w:t>
        </w:r>
        <w:r w:rsidR="006A4BFF">
          <w:rPr>
            <w:noProof/>
            <w:webHidden/>
          </w:rPr>
          <w:tab/>
        </w:r>
        <w:r>
          <w:rPr>
            <w:noProof/>
            <w:webHidden/>
          </w:rPr>
          <w:fldChar w:fldCharType="begin"/>
        </w:r>
        <w:r w:rsidR="006A4BFF">
          <w:rPr>
            <w:noProof/>
            <w:webHidden/>
          </w:rPr>
          <w:instrText xml:space="preserve"> PAGEREF _Toc397522426 \h </w:instrText>
        </w:r>
        <w:r>
          <w:rPr>
            <w:noProof/>
            <w:webHidden/>
          </w:rPr>
        </w:r>
        <w:r>
          <w:rPr>
            <w:noProof/>
            <w:webHidden/>
          </w:rPr>
          <w:fldChar w:fldCharType="separate"/>
        </w:r>
        <w:r w:rsidR="006A4BFF">
          <w:rPr>
            <w:noProof/>
            <w:webHidden/>
          </w:rPr>
          <w:t>31</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7" w:history="1">
        <w:r w:rsidR="006A4BFF" w:rsidRPr="00014F7A">
          <w:rPr>
            <w:rStyle w:val="Lienhypertexte"/>
            <w:rFonts w:ascii="Arial" w:hAnsi="Arial" w:cs="Arial"/>
            <w:noProof/>
          </w:rPr>
          <w:t>5.2</w:t>
        </w:r>
        <w:r w:rsidR="006A4BFF">
          <w:rPr>
            <w:rFonts w:eastAsiaTheme="minorEastAsia"/>
            <w:noProof/>
            <w:lang w:eastAsia="fr-FR"/>
          </w:rPr>
          <w:tab/>
        </w:r>
        <w:r w:rsidR="006A4BFF" w:rsidRPr="00014F7A">
          <w:rPr>
            <w:rStyle w:val="Lienhypertexte"/>
            <w:rFonts w:ascii="Arial" w:hAnsi="Arial" w:cs="Arial"/>
            <w:noProof/>
          </w:rPr>
          <w:t>Surveillance des manifestations post-vaccinales indésirables (MAPI).</w:t>
        </w:r>
        <w:r w:rsidR="006A4BFF">
          <w:rPr>
            <w:noProof/>
            <w:webHidden/>
          </w:rPr>
          <w:tab/>
        </w:r>
        <w:r>
          <w:rPr>
            <w:noProof/>
            <w:webHidden/>
          </w:rPr>
          <w:fldChar w:fldCharType="begin"/>
        </w:r>
        <w:r w:rsidR="006A4BFF">
          <w:rPr>
            <w:noProof/>
            <w:webHidden/>
          </w:rPr>
          <w:instrText xml:space="preserve"> PAGEREF _Toc397522427 \h </w:instrText>
        </w:r>
        <w:r>
          <w:rPr>
            <w:noProof/>
            <w:webHidden/>
          </w:rPr>
        </w:r>
        <w:r>
          <w:rPr>
            <w:noProof/>
            <w:webHidden/>
          </w:rPr>
          <w:fldChar w:fldCharType="separate"/>
        </w:r>
        <w:r w:rsidR="006A4BFF">
          <w:rPr>
            <w:noProof/>
            <w:webHidden/>
          </w:rPr>
          <w:t>32</w:t>
        </w:r>
        <w:r>
          <w:rPr>
            <w:noProof/>
            <w:webHidden/>
          </w:rPr>
          <w:fldChar w:fldCharType="end"/>
        </w:r>
      </w:hyperlink>
    </w:p>
    <w:p w:rsidR="006A4BFF" w:rsidRDefault="000F281E" w:rsidP="006A4BFF">
      <w:pPr>
        <w:pStyle w:val="TM1"/>
        <w:rPr>
          <w:rFonts w:asciiTheme="minorHAnsi" w:eastAsiaTheme="minorEastAsia" w:hAnsiTheme="minorHAnsi"/>
          <w:noProof/>
          <w:lang w:eastAsia="fr-FR"/>
        </w:rPr>
      </w:pPr>
      <w:hyperlink w:anchor="_Toc397522428" w:history="1">
        <w:r w:rsidR="006A4BFF" w:rsidRPr="00014F7A">
          <w:rPr>
            <w:rStyle w:val="Lienhypertexte"/>
            <w:rFonts w:eastAsia="SimSun"/>
            <w:noProof/>
          </w:rPr>
          <w:t>6.</w:t>
        </w:r>
        <w:r w:rsidR="006A4BFF">
          <w:rPr>
            <w:rFonts w:asciiTheme="minorHAnsi" w:eastAsiaTheme="minorEastAsia" w:hAnsiTheme="minorHAnsi"/>
            <w:noProof/>
            <w:lang w:eastAsia="fr-FR"/>
          </w:rPr>
          <w:tab/>
        </w:r>
        <w:r w:rsidR="006A4BFF" w:rsidRPr="00014F7A">
          <w:rPr>
            <w:rStyle w:val="Lienhypertexte"/>
            <w:rFonts w:eastAsia="SimSun"/>
            <w:noProof/>
          </w:rPr>
          <w:t>Plaidoyer, communication et mobilisation sociale.</w:t>
        </w:r>
        <w:r w:rsidR="006A4BFF">
          <w:rPr>
            <w:noProof/>
            <w:webHidden/>
          </w:rPr>
          <w:tab/>
        </w:r>
        <w:r>
          <w:rPr>
            <w:noProof/>
            <w:webHidden/>
          </w:rPr>
          <w:fldChar w:fldCharType="begin"/>
        </w:r>
        <w:r w:rsidR="006A4BFF">
          <w:rPr>
            <w:noProof/>
            <w:webHidden/>
          </w:rPr>
          <w:instrText xml:space="preserve"> PAGEREF _Toc397522428 \h </w:instrText>
        </w:r>
        <w:r>
          <w:rPr>
            <w:noProof/>
            <w:webHidden/>
          </w:rPr>
        </w:r>
        <w:r>
          <w:rPr>
            <w:noProof/>
            <w:webHidden/>
          </w:rPr>
          <w:fldChar w:fldCharType="separate"/>
        </w:r>
        <w:r w:rsidR="006A4BFF">
          <w:rPr>
            <w:noProof/>
            <w:webHidden/>
          </w:rPr>
          <w:t>33</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29" w:history="1">
        <w:r w:rsidR="006A4BFF" w:rsidRPr="00014F7A">
          <w:rPr>
            <w:rStyle w:val="Lienhypertexte"/>
            <w:rFonts w:ascii="Arial" w:hAnsi="Arial" w:cs="Arial"/>
            <w:noProof/>
          </w:rPr>
          <w:t>6.1</w:t>
        </w:r>
        <w:r w:rsidR="006A4BFF">
          <w:rPr>
            <w:rFonts w:eastAsiaTheme="minorEastAsia"/>
            <w:noProof/>
            <w:lang w:eastAsia="fr-FR"/>
          </w:rPr>
          <w:tab/>
        </w:r>
        <w:r w:rsidR="006A4BFF" w:rsidRPr="00014F7A">
          <w:rPr>
            <w:rStyle w:val="Lienhypertexte"/>
            <w:rFonts w:ascii="Arial" w:hAnsi="Arial" w:cs="Arial"/>
            <w:noProof/>
          </w:rPr>
          <w:t>Mesures destinées à sensibiliser les dirigeants politiques/ leaders d’opinion</w:t>
        </w:r>
        <w:r w:rsidR="006A4BFF">
          <w:rPr>
            <w:noProof/>
            <w:webHidden/>
          </w:rPr>
          <w:tab/>
        </w:r>
        <w:r>
          <w:rPr>
            <w:noProof/>
            <w:webHidden/>
          </w:rPr>
          <w:fldChar w:fldCharType="begin"/>
        </w:r>
        <w:r w:rsidR="006A4BFF">
          <w:rPr>
            <w:noProof/>
            <w:webHidden/>
          </w:rPr>
          <w:instrText xml:space="preserve"> PAGEREF _Toc397522429 \h </w:instrText>
        </w:r>
        <w:r>
          <w:rPr>
            <w:noProof/>
            <w:webHidden/>
          </w:rPr>
        </w:r>
        <w:r>
          <w:rPr>
            <w:noProof/>
            <w:webHidden/>
          </w:rPr>
          <w:fldChar w:fldCharType="separate"/>
        </w:r>
        <w:r w:rsidR="006A4BFF">
          <w:rPr>
            <w:noProof/>
            <w:webHidden/>
          </w:rPr>
          <w:t>33</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30" w:history="1">
        <w:r w:rsidR="006A4BFF" w:rsidRPr="00014F7A">
          <w:rPr>
            <w:rStyle w:val="Lienhypertexte"/>
            <w:rFonts w:ascii="Arial" w:hAnsi="Arial" w:cs="Arial"/>
            <w:noProof/>
          </w:rPr>
          <w:t>6.2</w:t>
        </w:r>
        <w:r w:rsidR="006A4BFF">
          <w:rPr>
            <w:rFonts w:eastAsiaTheme="minorEastAsia"/>
            <w:noProof/>
            <w:lang w:eastAsia="fr-FR"/>
          </w:rPr>
          <w:tab/>
        </w:r>
        <w:r w:rsidR="006A4BFF" w:rsidRPr="00014F7A">
          <w:rPr>
            <w:rStyle w:val="Lienhypertexte"/>
            <w:rFonts w:ascii="Arial" w:hAnsi="Arial" w:cs="Arial"/>
            <w:noProof/>
          </w:rPr>
          <w:t>Processus d’élaboration stratégie de communication pour l’introduction du VPI</w:t>
        </w:r>
        <w:r w:rsidR="006A4BFF">
          <w:rPr>
            <w:noProof/>
            <w:webHidden/>
          </w:rPr>
          <w:tab/>
        </w:r>
        <w:r>
          <w:rPr>
            <w:noProof/>
            <w:webHidden/>
          </w:rPr>
          <w:fldChar w:fldCharType="begin"/>
        </w:r>
        <w:r w:rsidR="006A4BFF">
          <w:rPr>
            <w:noProof/>
            <w:webHidden/>
          </w:rPr>
          <w:instrText xml:space="preserve"> PAGEREF _Toc397522430 \h </w:instrText>
        </w:r>
        <w:r>
          <w:rPr>
            <w:noProof/>
            <w:webHidden/>
          </w:rPr>
        </w:r>
        <w:r>
          <w:rPr>
            <w:noProof/>
            <w:webHidden/>
          </w:rPr>
          <w:fldChar w:fldCharType="separate"/>
        </w:r>
        <w:r w:rsidR="006A4BFF">
          <w:rPr>
            <w:noProof/>
            <w:webHidden/>
          </w:rPr>
          <w:t>33</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31" w:history="1">
        <w:r w:rsidR="006A4BFF" w:rsidRPr="00014F7A">
          <w:rPr>
            <w:rStyle w:val="Lienhypertexte"/>
            <w:rFonts w:ascii="Arial" w:hAnsi="Arial" w:cs="Arial"/>
            <w:noProof/>
          </w:rPr>
          <w:t>6.3</w:t>
        </w:r>
        <w:r w:rsidR="006A4BFF">
          <w:rPr>
            <w:rFonts w:eastAsiaTheme="minorEastAsia"/>
            <w:noProof/>
            <w:lang w:eastAsia="fr-FR"/>
          </w:rPr>
          <w:tab/>
        </w:r>
        <w:r w:rsidR="006A4BFF" w:rsidRPr="00014F7A">
          <w:rPr>
            <w:rStyle w:val="Lienhypertexte"/>
            <w:rFonts w:ascii="Arial" w:hAnsi="Arial" w:cs="Arial"/>
            <w:noProof/>
          </w:rPr>
          <w:t>Processus d’élaboration des matériels de communication</w:t>
        </w:r>
        <w:r w:rsidR="006A4BFF">
          <w:rPr>
            <w:noProof/>
            <w:webHidden/>
          </w:rPr>
          <w:tab/>
        </w:r>
        <w:r>
          <w:rPr>
            <w:noProof/>
            <w:webHidden/>
          </w:rPr>
          <w:fldChar w:fldCharType="begin"/>
        </w:r>
        <w:r w:rsidR="006A4BFF">
          <w:rPr>
            <w:noProof/>
            <w:webHidden/>
          </w:rPr>
          <w:instrText xml:space="preserve"> PAGEREF _Toc397522431 \h </w:instrText>
        </w:r>
        <w:r>
          <w:rPr>
            <w:noProof/>
            <w:webHidden/>
          </w:rPr>
        </w:r>
        <w:r>
          <w:rPr>
            <w:noProof/>
            <w:webHidden/>
          </w:rPr>
          <w:fldChar w:fldCharType="separate"/>
        </w:r>
        <w:r w:rsidR="006A4BFF">
          <w:rPr>
            <w:noProof/>
            <w:webHidden/>
          </w:rPr>
          <w:t>34</w:t>
        </w:r>
        <w:r>
          <w:rPr>
            <w:noProof/>
            <w:webHidden/>
          </w:rPr>
          <w:fldChar w:fldCharType="end"/>
        </w:r>
      </w:hyperlink>
    </w:p>
    <w:p w:rsidR="006A4BFF" w:rsidRDefault="000F281E">
      <w:pPr>
        <w:pStyle w:val="TM2"/>
        <w:tabs>
          <w:tab w:val="left" w:pos="880"/>
          <w:tab w:val="right" w:leader="dot" w:pos="9062"/>
        </w:tabs>
        <w:rPr>
          <w:rFonts w:eastAsiaTheme="minorEastAsia"/>
          <w:noProof/>
          <w:lang w:eastAsia="fr-FR"/>
        </w:rPr>
      </w:pPr>
      <w:hyperlink w:anchor="_Toc397522432" w:history="1">
        <w:r w:rsidR="006A4BFF" w:rsidRPr="00014F7A">
          <w:rPr>
            <w:rStyle w:val="Lienhypertexte"/>
            <w:rFonts w:ascii="Arial" w:eastAsia="SimSun" w:hAnsi="Arial" w:cs="Arial"/>
            <w:noProof/>
          </w:rPr>
          <w:t>6.4</w:t>
        </w:r>
        <w:r w:rsidR="006A4BFF">
          <w:rPr>
            <w:rFonts w:eastAsiaTheme="minorEastAsia"/>
            <w:noProof/>
            <w:lang w:eastAsia="fr-FR"/>
          </w:rPr>
          <w:tab/>
        </w:r>
        <w:r w:rsidR="006A4BFF" w:rsidRPr="00014F7A">
          <w:rPr>
            <w:rStyle w:val="Lienhypertexte"/>
            <w:rFonts w:ascii="Arial" w:hAnsi="Arial" w:cs="Arial"/>
            <w:noProof/>
          </w:rPr>
          <w:t>Stratégies de communication</w:t>
        </w:r>
        <w:r w:rsidR="006A4BFF" w:rsidRPr="00014F7A">
          <w:rPr>
            <w:rStyle w:val="Lienhypertexte"/>
            <w:rFonts w:ascii="Arial" w:eastAsia="SimSun" w:hAnsi="Arial" w:cs="Arial"/>
            <w:noProof/>
          </w:rPr>
          <w:t>.</w:t>
        </w:r>
        <w:r w:rsidR="006A4BFF">
          <w:rPr>
            <w:noProof/>
            <w:webHidden/>
          </w:rPr>
          <w:tab/>
        </w:r>
        <w:r>
          <w:rPr>
            <w:noProof/>
            <w:webHidden/>
          </w:rPr>
          <w:fldChar w:fldCharType="begin"/>
        </w:r>
        <w:r w:rsidR="006A4BFF">
          <w:rPr>
            <w:noProof/>
            <w:webHidden/>
          </w:rPr>
          <w:instrText xml:space="preserve"> PAGEREF _Toc397522432 \h </w:instrText>
        </w:r>
        <w:r>
          <w:rPr>
            <w:noProof/>
            <w:webHidden/>
          </w:rPr>
        </w:r>
        <w:r>
          <w:rPr>
            <w:noProof/>
            <w:webHidden/>
          </w:rPr>
          <w:fldChar w:fldCharType="separate"/>
        </w:r>
        <w:r w:rsidR="006A4BFF">
          <w:rPr>
            <w:noProof/>
            <w:webHidden/>
          </w:rPr>
          <w:t>34</w:t>
        </w:r>
        <w:r>
          <w:rPr>
            <w:noProof/>
            <w:webHidden/>
          </w:rPr>
          <w:fldChar w:fldCharType="end"/>
        </w:r>
      </w:hyperlink>
    </w:p>
    <w:p w:rsidR="004908BD" w:rsidRPr="00AE360E" w:rsidRDefault="000F281E" w:rsidP="00AE360E">
      <w:pPr>
        <w:jc w:val="both"/>
        <w:rPr>
          <w:rFonts w:ascii="Arial" w:hAnsi="Arial" w:cs="Arial"/>
        </w:rPr>
      </w:pPr>
      <w:r w:rsidRPr="00AE360E">
        <w:rPr>
          <w:rFonts w:ascii="Arial" w:hAnsi="Arial" w:cs="Arial"/>
        </w:rPr>
        <w:fldChar w:fldCharType="end"/>
      </w:r>
    </w:p>
    <w:p w:rsidR="00B078BB" w:rsidRPr="00AE360E" w:rsidRDefault="00B078BB" w:rsidP="00AE360E">
      <w:pPr>
        <w:pStyle w:val="Style3"/>
        <w:numPr>
          <w:ilvl w:val="0"/>
          <w:numId w:val="0"/>
        </w:numPr>
        <w:spacing w:line="276" w:lineRule="auto"/>
        <w:jc w:val="both"/>
        <w:rPr>
          <w:rFonts w:ascii="Arial" w:hAnsi="Arial" w:cs="Arial"/>
          <w:snapToGrid w:val="0"/>
          <w:color w:val="365F91"/>
          <w:sz w:val="28"/>
          <w:szCs w:val="28"/>
          <w:lang w:val="fr-FR"/>
        </w:rPr>
      </w:pPr>
    </w:p>
    <w:p w:rsidR="00224742" w:rsidRPr="00AE360E" w:rsidRDefault="00224742" w:rsidP="00AE360E">
      <w:pPr>
        <w:jc w:val="both"/>
        <w:rPr>
          <w:rFonts w:ascii="Arial" w:eastAsia="SimSun" w:hAnsi="Arial" w:cs="Arial"/>
          <w:b/>
          <w:color w:val="1F497D"/>
          <w:sz w:val="28"/>
          <w:szCs w:val="28"/>
          <w:u w:val="single"/>
          <w:lang w:eastAsia="en-GB"/>
        </w:rPr>
      </w:pPr>
      <w:r w:rsidRPr="00AE360E">
        <w:rPr>
          <w:rFonts w:ascii="Arial" w:eastAsia="SimSun" w:hAnsi="Arial" w:cs="Arial"/>
          <w:b/>
          <w:color w:val="1F497D"/>
          <w:sz w:val="28"/>
          <w:szCs w:val="28"/>
          <w:u w:val="single"/>
          <w:lang w:eastAsia="en-GB"/>
        </w:rPr>
        <w:br w:type="page"/>
      </w:r>
    </w:p>
    <w:p w:rsidR="00E101DA" w:rsidRPr="00AE360E" w:rsidRDefault="00B078BB" w:rsidP="00AE360E">
      <w:pPr>
        <w:spacing w:after="120"/>
        <w:jc w:val="both"/>
        <w:rPr>
          <w:rFonts w:ascii="Arial" w:eastAsia="SimSun" w:hAnsi="Arial" w:cs="Arial"/>
          <w:b/>
          <w:sz w:val="28"/>
          <w:szCs w:val="28"/>
          <w:u w:val="single"/>
          <w:lang w:eastAsia="en-GB"/>
        </w:rPr>
      </w:pPr>
      <w:r w:rsidRPr="00AE360E">
        <w:rPr>
          <w:rFonts w:ascii="Arial" w:eastAsia="SimSun" w:hAnsi="Arial" w:cs="Arial"/>
          <w:b/>
          <w:sz w:val="28"/>
          <w:szCs w:val="28"/>
          <w:u w:val="single"/>
          <w:lang w:eastAsia="en-GB"/>
        </w:rPr>
        <w:lastRenderedPageBreak/>
        <w:t>Résumé du plan d’introduction</w:t>
      </w:r>
      <w:r w:rsidR="00A1199E" w:rsidRPr="00AE360E">
        <w:rPr>
          <w:rFonts w:ascii="Arial" w:eastAsia="SimSun" w:hAnsi="Arial" w:cs="Arial"/>
          <w:b/>
          <w:sz w:val="28"/>
          <w:szCs w:val="28"/>
          <w:u w:val="single"/>
          <w:lang w:eastAsia="en-GB"/>
        </w:rPr>
        <w:t> </w:t>
      </w:r>
    </w:p>
    <w:p w:rsidR="0035449F" w:rsidRPr="00AE360E" w:rsidRDefault="00A1199E" w:rsidP="00AE360E">
      <w:pPr>
        <w:pStyle w:val="Paragraphedeliste"/>
        <w:numPr>
          <w:ilvl w:val="0"/>
          <w:numId w:val="17"/>
        </w:numPr>
        <w:spacing w:before="240" w:after="120"/>
        <w:ind w:left="357" w:right="113" w:hanging="357"/>
        <w:contextualSpacing w:val="0"/>
        <w:jc w:val="both"/>
        <w:rPr>
          <w:rFonts w:ascii="Arial" w:eastAsia="Calibri" w:hAnsi="Arial" w:cs="Arial"/>
          <w:b/>
          <w:sz w:val="24"/>
        </w:rPr>
      </w:pPr>
      <w:r w:rsidRPr="00AE360E">
        <w:rPr>
          <w:rFonts w:ascii="Arial" w:eastAsia="Calibri" w:hAnsi="Arial" w:cs="Arial"/>
          <w:b/>
          <w:sz w:val="24"/>
        </w:rPr>
        <w:t>J</w:t>
      </w:r>
      <w:r w:rsidR="0035449F" w:rsidRPr="00AE360E">
        <w:rPr>
          <w:rFonts w:ascii="Arial" w:eastAsia="Calibri" w:hAnsi="Arial" w:cs="Arial"/>
          <w:b/>
          <w:sz w:val="24"/>
        </w:rPr>
        <w:t>ustifi</w:t>
      </w:r>
      <w:r w:rsidR="00B740DC" w:rsidRPr="00AE360E">
        <w:rPr>
          <w:rFonts w:ascii="Arial" w:eastAsia="Calibri" w:hAnsi="Arial" w:cs="Arial"/>
          <w:b/>
          <w:sz w:val="24"/>
        </w:rPr>
        <w:t>cation de l’introduction du VPI</w:t>
      </w:r>
      <w:r w:rsidR="00AB6E00" w:rsidRPr="00AE360E">
        <w:rPr>
          <w:rFonts w:ascii="Arial" w:eastAsia="Calibri" w:hAnsi="Arial" w:cs="Arial"/>
          <w:b/>
          <w:sz w:val="24"/>
        </w:rPr>
        <w:t>.</w:t>
      </w:r>
    </w:p>
    <w:p w:rsidR="0024463C" w:rsidRPr="00AE360E" w:rsidRDefault="0024463C" w:rsidP="00AE360E">
      <w:pPr>
        <w:spacing w:after="120"/>
        <w:jc w:val="both"/>
        <w:rPr>
          <w:rFonts w:ascii="Arial" w:hAnsi="Arial" w:cs="Arial"/>
          <w:sz w:val="24"/>
          <w:szCs w:val="24"/>
        </w:rPr>
      </w:pPr>
      <w:r w:rsidRPr="00AE360E">
        <w:rPr>
          <w:rFonts w:ascii="Arial" w:hAnsi="Arial" w:cs="Arial"/>
          <w:sz w:val="24"/>
          <w:szCs w:val="24"/>
        </w:rPr>
        <w:t>En réponse à la déclaration de l’Assemblée mondiale de la Santé (AMS) de 2012 faisant de l’éradication de la poliomyélite une urgence de santé publique mondiale, le Plan stratégique pour l’éradication de la poliomyélite et la phase finale 2013-2018 a été élaboré.</w:t>
      </w:r>
    </w:p>
    <w:p w:rsidR="0024463C" w:rsidRPr="00AE360E" w:rsidRDefault="0024463C" w:rsidP="00AE360E">
      <w:pPr>
        <w:spacing w:after="120"/>
        <w:jc w:val="both"/>
        <w:rPr>
          <w:rFonts w:ascii="Arial" w:eastAsia="SimSun" w:hAnsi="Arial" w:cs="Arial"/>
          <w:i/>
          <w:color w:val="FF0000"/>
          <w:sz w:val="28"/>
          <w:szCs w:val="28"/>
          <w:lang w:eastAsia="en-GB"/>
        </w:rPr>
      </w:pPr>
      <w:r w:rsidRPr="00AE360E">
        <w:rPr>
          <w:rFonts w:ascii="Arial" w:hAnsi="Arial" w:cs="Arial"/>
          <w:sz w:val="24"/>
          <w:szCs w:val="24"/>
        </w:rPr>
        <w:t xml:space="preserve">Ce plan, adopté par l’AMS en 2013,vise l’éradication de tous les types de poliovirus et prévoit l’introductiondu vaccin antipoliomyélitique inactivé (VPI)et le retrait des vaccins antipoliomyélitiques oraux (VPO). </w:t>
      </w:r>
    </w:p>
    <w:p w:rsidR="0024463C" w:rsidRPr="00AE360E" w:rsidRDefault="0024463C" w:rsidP="00AE360E">
      <w:pPr>
        <w:spacing w:after="120"/>
        <w:jc w:val="both"/>
        <w:rPr>
          <w:rFonts w:ascii="Arial" w:hAnsi="Arial" w:cs="Arial"/>
          <w:sz w:val="24"/>
          <w:szCs w:val="24"/>
        </w:rPr>
      </w:pPr>
      <w:r w:rsidRPr="00AE360E">
        <w:rPr>
          <w:rFonts w:ascii="Arial" w:hAnsi="Arial" w:cs="Arial"/>
          <w:sz w:val="24"/>
          <w:szCs w:val="24"/>
        </w:rPr>
        <w:t xml:space="preserve">L’introduction du VPI est d’autant plus justifiée dans le contexte du Tchad, que le pays a fait face entre 2010 et 2012 à une épidémie de poliomyélite et qu’il demeure a haut risque. En effet, le Tchad a déclaré </w:t>
      </w:r>
      <w:r w:rsidR="00A16B18" w:rsidRPr="00AE360E">
        <w:rPr>
          <w:rFonts w:ascii="Arial" w:hAnsi="Arial" w:cs="Arial"/>
          <w:sz w:val="24"/>
          <w:szCs w:val="24"/>
        </w:rPr>
        <w:t>26</w:t>
      </w:r>
      <w:r w:rsidRPr="00AE360E">
        <w:rPr>
          <w:rFonts w:ascii="Arial" w:hAnsi="Arial" w:cs="Arial"/>
          <w:sz w:val="24"/>
          <w:szCs w:val="24"/>
        </w:rPr>
        <w:t xml:space="preserve"> cas de PVS en 2010, 132 cas en 2011 et 5 cas en 2012.</w:t>
      </w:r>
    </w:p>
    <w:p w:rsidR="0024463C" w:rsidRPr="00AE360E" w:rsidRDefault="0024463C" w:rsidP="00AE360E">
      <w:pPr>
        <w:spacing w:after="120"/>
        <w:jc w:val="both"/>
        <w:rPr>
          <w:rFonts w:ascii="Arial" w:hAnsi="Arial" w:cs="Arial"/>
          <w:sz w:val="24"/>
          <w:szCs w:val="24"/>
        </w:rPr>
      </w:pPr>
      <w:r w:rsidRPr="00AE360E">
        <w:rPr>
          <w:rFonts w:ascii="Arial" w:hAnsi="Arial" w:cs="Arial"/>
          <w:sz w:val="24"/>
          <w:szCs w:val="24"/>
        </w:rPr>
        <w:t>Aussi, des cas de poliovirus circulants dérivés de la souche vaccinale de type 2 (cVDPV) ont été détectés dans le pays en 2010 (1cas), en 2012 (12 cas) et en 2013 (4 cas).</w:t>
      </w:r>
    </w:p>
    <w:p w:rsidR="00C938ED" w:rsidRPr="00AE360E" w:rsidRDefault="00C938ED" w:rsidP="00AE360E">
      <w:pPr>
        <w:spacing w:after="120"/>
        <w:jc w:val="both"/>
        <w:rPr>
          <w:rFonts w:ascii="Arial" w:hAnsi="Arial" w:cs="Arial"/>
          <w:sz w:val="24"/>
          <w:szCs w:val="24"/>
        </w:rPr>
      </w:pPr>
      <w:r w:rsidRPr="00AE360E">
        <w:rPr>
          <w:rFonts w:ascii="Arial" w:hAnsi="Arial" w:cs="Arial"/>
          <w:sz w:val="24"/>
          <w:szCs w:val="24"/>
        </w:rPr>
        <w:t>Le Tchad ayant souscrit aux engagements internationaux ci-dessous a décidé d’introduire le VPI  en 2015 dans son programme national de vaccination.</w:t>
      </w:r>
    </w:p>
    <w:p w:rsidR="00C938ED" w:rsidRPr="00AE360E" w:rsidRDefault="006E15A9" w:rsidP="00AE360E">
      <w:pPr>
        <w:spacing w:after="120"/>
        <w:jc w:val="both"/>
        <w:rPr>
          <w:rFonts w:ascii="Arial" w:hAnsi="Arial" w:cs="Arial"/>
          <w:sz w:val="24"/>
          <w:szCs w:val="24"/>
        </w:rPr>
      </w:pPr>
      <w:r w:rsidRPr="00AE360E">
        <w:rPr>
          <w:rFonts w:ascii="Arial" w:hAnsi="Arial" w:cs="Arial"/>
          <w:sz w:val="24"/>
          <w:szCs w:val="24"/>
        </w:rPr>
        <w:t xml:space="preserve">La </w:t>
      </w:r>
      <w:r w:rsidR="00C938ED" w:rsidRPr="00AE360E">
        <w:rPr>
          <w:rFonts w:ascii="Arial" w:hAnsi="Arial" w:cs="Arial"/>
          <w:sz w:val="24"/>
          <w:szCs w:val="24"/>
        </w:rPr>
        <w:t>demande</w:t>
      </w:r>
      <w:r w:rsidRPr="00AE360E">
        <w:rPr>
          <w:rFonts w:ascii="Arial" w:hAnsi="Arial" w:cs="Arial"/>
          <w:sz w:val="24"/>
          <w:szCs w:val="24"/>
        </w:rPr>
        <w:t xml:space="preserve"> d’introduction du VPI dans le PEV, </w:t>
      </w:r>
      <w:r w:rsidR="00C938ED" w:rsidRPr="00AE360E">
        <w:rPr>
          <w:rFonts w:ascii="Arial" w:hAnsi="Arial" w:cs="Arial"/>
          <w:sz w:val="24"/>
          <w:szCs w:val="24"/>
        </w:rPr>
        <w:t xml:space="preserve"> adressée à GAV</w:t>
      </w:r>
      <w:r w:rsidRPr="00AE360E">
        <w:rPr>
          <w:rFonts w:ascii="Arial" w:hAnsi="Arial" w:cs="Arial"/>
          <w:sz w:val="24"/>
          <w:szCs w:val="24"/>
        </w:rPr>
        <w:t>,</w:t>
      </w:r>
      <w:r w:rsidR="00C938ED" w:rsidRPr="00AE360E">
        <w:rPr>
          <w:rFonts w:ascii="Arial" w:hAnsi="Arial" w:cs="Arial"/>
          <w:sz w:val="24"/>
          <w:szCs w:val="24"/>
        </w:rPr>
        <w:t xml:space="preserve"> a été approuvée par le CCIA  en sa session du 15 aout 2014</w:t>
      </w:r>
      <w:r w:rsidRPr="00AE360E">
        <w:rPr>
          <w:rFonts w:ascii="Arial" w:hAnsi="Arial" w:cs="Arial"/>
          <w:sz w:val="24"/>
          <w:szCs w:val="24"/>
        </w:rPr>
        <w:t>.</w:t>
      </w:r>
    </w:p>
    <w:p w:rsidR="0035449F" w:rsidRPr="00AE360E" w:rsidRDefault="00A1199E" w:rsidP="00AE360E">
      <w:pPr>
        <w:numPr>
          <w:ilvl w:val="0"/>
          <w:numId w:val="18"/>
        </w:numPr>
        <w:spacing w:before="120" w:after="120"/>
        <w:ind w:right="235"/>
        <w:jc w:val="both"/>
        <w:rPr>
          <w:rFonts w:ascii="Arial" w:eastAsia="Calibri" w:hAnsi="Arial" w:cs="Arial"/>
          <w:b/>
          <w:sz w:val="24"/>
        </w:rPr>
      </w:pPr>
      <w:r w:rsidRPr="00AE360E">
        <w:rPr>
          <w:rFonts w:ascii="Arial" w:eastAsia="Calibri" w:hAnsi="Arial" w:cs="Arial"/>
          <w:b/>
          <w:sz w:val="24"/>
        </w:rPr>
        <w:t>A</w:t>
      </w:r>
      <w:r w:rsidR="0035449F" w:rsidRPr="00AE360E">
        <w:rPr>
          <w:rFonts w:ascii="Arial" w:eastAsia="Calibri" w:hAnsi="Arial" w:cs="Arial"/>
          <w:b/>
          <w:sz w:val="24"/>
        </w:rPr>
        <w:t>vantages de l’introduction du VPI.</w:t>
      </w:r>
    </w:p>
    <w:p w:rsidR="0024463C" w:rsidRPr="00AE360E" w:rsidRDefault="00B740DC" w:rsidP="00AE360E">
      <w:pPr>
        <w:spacing w:after="120"/>
        <w:jc w:val="both"/>
        <w:rPr>
          <w:rFonts w:ascii="Arial" w:eastAsia="SimSun" w:hAnsi="Arial" w:cs="Arial"/>
          <w:i/>
          <w:color w:val="FF0000"/>
          <w:sz w:val="28"/>
          <w:szCs w:val="28"/>
          <w:lang w:eastAsia="en-GB"/>
        </w:rPr>
      </w:pPr>
      <w:r w:rsidRPr="00AE360E">
        <w:rPr>
          <w:rFonts w:ascii="Arial" w:hAnsi="Arial" w:cs="Arial"/>
          <w:sz w:val="24"/>
          <w:szCs w:val="24"/>
        </w:rPr>
        <w:t xml:space="preserve">L’introduction du VPI </w:t>
      </w:r>
      <w:r w:rsidR="0024463C" w:rsidRPr="00AE360E">
        <w:rPr>
          <w:rFonts w:ascii="Arial" w:hAnsi="Arial" w:cs="Arial"/>
          <w:sz w:val="24"/>
          <w:szCs w:val="24"/>
        </w:rPr>
        <w:t>dans le PEV systématique en associ</w:t>
      </w:r>
      <w:r w:rsidRPr="00AE360E">
        <w:rPr>
          <w:rFonts w:ascii="Arial" w:hAnsi="Arial" w:cs="Arial"/>
          <w:sz w:val="24"/>
          <w:szCs w:val="24"/>
        </w:rPr>
        <w:t>ation avec le VPO  permettra de</w:t>
      </w:r>
      <w:r w:rsidR="0024463C" w:rsidRPr="00AE360E">
        <w:rPr>
          <w:rFonts w:ascii="Arial" w:hAnsi="Arial" w:cs="Arial"/>
          <w:sz w:val="24"/>
          <w:szCs w:val="24"/>
        </w:rPr>
        <w:t xml:space="preserve"> renforcer l’immunité contre les poliovirus et de consolider  l’arrêt de la circulation des poliovirus sauvages et poliovirus dérivés du vaccin oral, avant le passage du vaccin oral trivalent au vaccin bivalent prévu en 2016</w:t>
      </w:r>
      <w:r w:rsidR="00490C94" w:rsidRPr="00AE360E">
        <w:rPr>
          <w:rFonts w:ascii="Arial" w:hAnsi="Arial" w:cs="Arial"/>
          <w:sz w:val="24"/>
          <w:szCs w:val="24"/>
        </w:rPr>
        <w:t>.</w:t>
      </w:r>
    </w:p>
    <w:p w:rsidR="0024463C" w:rsidRPr="00AE360E" w:rsidRDefault="0024463C" w:rsidP="00AE360E">
      <w:pPr>
        <w:spacing w:after="120"/>
        <w:jc w:val="both"/>
        <w:rPr>
          <w:rFonts w:ascii="Arial" w:hAnsi="Arial" w:cs="Arial"/>
          <w:sz w:val="24"/>
          <w:szCs w:val="24"/>
        </w:rPr>
      </w:pPr>
      <w:r w:rsidRPr="00AE360E">
        <w:rPr>
          <w:rFonts w:ascii="Arial" w:hAnsi="Arial" w:cs="Arial"/>
          <w:sz w:val="24"/>
          <w:szCs w:val="24"/>
        </w:rPr>
        <w:t>Cette introduction du VPI sera une excellente occasion pour le renforcement du PEV de routine à travers le renforcement des capacités du personnel, le plaidoyer et la communication, l’amélioration continue de la qualité des données  et du monitorage des activités de vaccination.</w:t>
      </w:r>
    </w:p>
    <w:p w:rsidR="0035449F" w:rsidRPr="00AE360E" w:rsidRDefault="00C938ED" w:rsidP="00AE360E">
      <w:pPr>
        <w:numPr>
          <w:ilvl w:val="0"/>
          <w:numId w:val="18"/>
        </w:numPr>
        <w:spacing w:before="120" w:after="120"/>
        <w:ind w:right="235"/>
        <w:jc w:val="both"/>
        <w:rPr>
          <w:rFonts w:ascii="Arial" w:eastAsia="Calibri" w:hAnsi="Arial" w:cs="Arial"/>
          <w:b/>
          <w:sz w:val="24"/>
        </w:rPr>
      </w:pPr>
      <w:r w:rsidRPr="00AE360E">
        <w:rPr>
          <w:rFonts w:ascii="Arial" w:eastAsia="Calibri" w:hAnsi="Arial" w:cs="Arial"/>
          <w:b/>
          <w:sz w:val="24"/>
        </w:rPr>
        <w:t>Stratégie d’introduction</w:t>
      </w:r>
    </w:p>
    <w:p w:rsidR="0024463C" w:rsidRPr="00AE360E" w:rsidRDefault="0024463C" w:rsidP="00AE360E">
      <w:pPr>
        <w:spacing w:after="120"/>
        <w:jc w:val="both"/>
        <w:rPr>
          <w:rFonts w:ascii="Arial" w:eastAsia="SimSun" w:hAnsi="Arial" w:cs="Arial"/>
          <w:i/>
          <w:color w:val="FF0000"/>
          <w:sz w:val="28"/>
          <w:szCs w:val="28"/>
          <w:lang w:eastAsia="en-GB"/>
        </w:rPr>
      </w:pPr>
      <w:r w:rsidRPr="00AE360E">
        <w:rPr>
          <w:rFonts w:ascii="Arial" w:hAnsi="Arial" w:cs="Arial"/>
          <w:sz w:val="24"/>
          <w:szCs w:val="24"/>
        </w:rPr>
        <w:t xml:space="preserve">L’introduction du VPI est prévue sur toute l’étendue du territoire national et de façon simultanée à partir du mois </w:t>
      </w:r>
      <w:r w:rsidR="00833AC9" w:rsidRPr="00AE360E">
        <w:rPr>
          <w:rFonts w:ascii="Arial" w:hAnsi="Arial" w:cs="Arial"/>
          <w:sz w:val="24"/>
          <w:szCs w:val="24"/>
        </w:rPr>
        <w:t>de juin</w:t>
      </w:r>
      <w:r w:rsidRPr="00AE360E">
        <w:rPr>
          <w:rFonts w:ascii="Arial" w:hAnsi="Arial" w:cs="Arial"/>
          <w:sz w:val="24"/>
          <w:szCs w:val="24"/>
        </w:rPr>
        <w:t xml:space="preserve"> 2015.</w:t>
      </w:r>
    </w:p>
    <w:p w:rsidR="0024463C" w:rsidRPr="00AE360E" w:rsidRDefault="0024463C" w:rsidP="00AE360E">
      <w:pPr>
        <w:jc w:val="both"/>
        <w:rPr>
          <w:rFonts w:ascii="Arial" w:hAnsi="Arial" w:cs="Arial"/>
          <w:sz w:val="24"/>
          <w:szCs w:val="24"/>
        </w:rPr>
      </w:pPr>
      <w:r w:rsidRPr="00AE360E">
        <w:rPr>
          <w:rFonts w:ascii="Arial" w:hAnsi="Arial" w:cs="Arial"/>
          <w:sz w:val="24"/>
          <w:szCs w:val="24"/>
        </w:rPr>
        <w:t>Le Tchad opt</w:t>
      </w:r>
      <w:r w:rsidR="00C938ED" w:rsidRPr="00AE360E">
        <w:rPr>
          <w:rFonts w:ascii="Arial" w:hAnsi="Arial" w:cs="Arial"/>
          <w:sz w:val="24"/>
          <w:szCs w:val="24"/>
        </w:rPr>
        <w:t>e pour la présentation de</w:t>
      </w:r>
      <w:r w:rsidR="00833AC9" w:rsidRPr="00AE360E">
        <w:rPr>
          <w:rFonts w:ascii="Arial" w:hAnsi="Arial" w:cs="Arial"/>
          <w:sz w:val="24"/>
          <w:szCs w:val="24"/>
        </w:rPr>
        <w:t xml:space="preserve"> cinq(5) </w:t>
      </w:r>
      <w:r w:rsidR="00C938ED" w:rsidRPr="00AE360E">
        <w:rPr>
          <w:rFonts w:ascii="Arial" w:hAnsi="Arial" w:cs="Arial"/>
          <w:sz w:val="24"/>
          <w:szCs w:val="24"/>
        </w:rPr>
        <w:t>doses</w:t>
      </w:r>
      <w:r w:rsidRPr="00AE360E">
        <w:rPr>
          <w:rFonts w:ascii="Arial" w:hAnsi="Arial" w:cs="Arial"/>
          <w:sz w:val="24"/>
          <w:szCs w:val="24"/>
        </w:rPr>
        <w:t xml:space="preserve"> de VPI. Cette présentation aura l’avantage de réduire les occasions manquées de vaccination avec un taux de perte minimal</w:t>
      </w:r>
      <w:r w:rsidR="00833AC9" w:rsidRPr="00AE360E">
        <w:rPr>
          <w:rFonts w:ascii="Arial" w:hAnsi="Arial" w:cs="Arial"/>
          <w:sz w:val="24"/>
          <w:szCs w:val="24"/>
        </w:rPr>
        <w:t xml:space="preserve"> et de pouvoir utilisée pour les séances de vaccination de faible taille.</w:t>
      </w:r>
    </w:p>
    <w:p w:rsidR="0024463C" w:rsidRPr="00AE360E" w:rsidRDefault="0024463C" w:rsidP="00AE360E">
      <w:pPr>
        <w:jc w:val="both"/>
        <w:rPr>
          <w:rFonts w:ascii="Arial" w:hAnsi="Arial" w:cs="Arial"/>
        </w:rPr>
      </w:pPr>
      <w:r w:rsidRPr="00AE360E">
        <w:rPr>
          <w:rFonts w:ascii="Arial" w:hAnsi="Arial" w:cs="Arial"/>
          <w:sz w:val="24"/>
          <w:szCs w:val="24"/>
        </w:rPr>
        <w:t>Le VPI sera administré dans le cadre de la vaccination de routine, aux</w:t>
      </w:r>
      <w:r w:rsidR="002E2790" w:rsidRPr="00AE360E">
        <w:rPr>
          <w:rFonts w:ascii="Arial" w:hAnsi="Arial" w:cs="Arial"/>
          <w:sz w:val="24"/>
          <w:szCs w:val="24"/>
        </w:rPr>
        <w:t xml:space="preserve"> enfants à la 14eme semaine d’âge,</w:t>
      </w:r>
      <w:r w:rsidRPr="00AE360E">
        <w:rPr>
          <w:rFonts w:ascii="Arial" w:hAnsi="Arial" w:cs="Arial"/>
          <w:sz w:val="24"/>
          <w:szCs w:val="24"/>
        </w:rPr>
        <w:t xml:space="preserve"> en même temps que la troisième dose du VPO </w:t>
      </w:r>
      <w:r w:rsidR="00B64ACD">
        <w:rPr>
          <w:rFonts w:ascii="Arial" w:hAnsi="Arial" w:cs="Arial"/>
          <w:sz w:val="24"/>
          <w:szCs w:val="24"/>
        </w:rPr>
        <w:t>et du vaccin pentavalent (DTC-He</w:t>
      </w:r>
      <w:r w:rsidRPr="00AE360E">
        <w:rPr>
          <w:rFonts w:ascii="Arial" w:hAnsi="Arial" w:cs="Arial"/>
          <w:sz w:val="24"/>
          <w:szCs w:val="24"/>
        </w:rPr>
        <w:t>p</w:t>
      </w:r>
      <w:r w:rsidR="00B64ACD">
        <w:rPr>
          <w:rFonts w:ascii="Arial" w:hAnsi="Arial" w:cs="Arial"/>
          <w:sz w:val="24"/>
          <w:szCs w:val="24"/>
        </w:rPr>
        <w:t>B</w:t>
      </w:r>
      <w:r w:rsidRPr="00AE360E">
        <w:rPr>
          <w:rFonts w:ascii="Arial" w:hAnsi="Arial" w:cs="Arial"/>
          <w:sz w:val="24"/>
          <w:szCs w:val="24"/>
        </w:rPr>
        <w:t xml:space="preserve">-Hib). Le VPI sera administré en intramusculaire au niveau </w:t>
      </w:r>
      <w:r w:rsidRPr="00AE360E">
        <w:rPr>
          <w:rFonts w:ascii="Arial" w:hAnsi="Arial" w:cs="Arial"/>
          <w:sz w:val="24"/>
          <w:szCs w:val="24"/>
        </w:rPr>
        <w:lastRenderedPageBreak/>
        <w:t>de la cuisse gauche et le vaccin pentavalent au niveau de la cuisse droite.</w:t>
      </w:r>
      <w:r w:rsidR="002E2790" w:rsidRPr="00AE360E">
        <w:rPr>
          <w:rFonts w:ascii="Arial" w:hAnsi="Arial" w:cs="Arial"/>
          <w:sz w:val="24"/>
          <w:szCs w:val="24"/>
        </w:rPr>
        <w:t>Les enfants</w:t>
      </w:r>
      <w:r w:rsidR="00833AC9" w:rsidRPr="00AE360E">
        <w:rPr>
          <w:rFonts w:ascii="Arial" w:hAnsi="Arial" w:cs="Arial"/>
          <w:sz w:val="24"/>
          <w:szCs w:val="24"/>
        </w:rPr>
        <w:t xml:space="preserve"> 0-11 mois, </w:t>
      </w:r>
      <w:r w:rsidR="00490C94" w:rsidRPr="00AE360E">
        <w:rPr>
          <w:rFonts w:ascii="Arial" w:hAnsi="Arial" w:cs="Arial"/>
          <w:sz w:val="24"/>
          <w:szCs w:val="24"/>
        </w:rPr>
        <w:t xml:space="preserve"> reçus à l’âge de 14 semaines</w:t>
      </w:r>
      <w:r w:rsidR="00833AC9" w:rsidRPr="00AE360E">
        <w:rPr>
          <w:rFonts w:ascii="Arial" w:hAnsi="Arial" w:cs="Arial"/>
          <w:sz w:val="24"/>
          <w:szCs w:val="24"/>
        </w:rPr>
        <w:t xml:space="preserve"> et au-delà</w:t>
      </w:r>
      <w:r w:rsidR="00C04BD2" w:rsidRPr="00AE360E">
        <w:rPr>
          <w:rFonts w:ascii="Arial" w:hAnsi="Arial" w:cs="Arial"/>
          <w:sz w:val="24"/>
          <w:szCs w:val="24"/>
        </w:rPr>
        <w:t>, recevront</w:t>
      </w:r>
      <w:r w:rsidR="00833AC9" w:rsidRPr="00AE360E">
        <w:rPr>
          <w:rFonts w:ascii="Arial" w:hAnsi="Arial" w:cs="Arial"/>
          <w:sz w:val="24"/>
          <w:szCs w:val="24"/>
        </w:rPr>
        <w:t xml:space="preserve"> une dose vaccin VPI</w:t>
      </w:r>
      <w:r w:rsidR="00A1199E" w:rsidRPr="00AE360E">
        <w:rPr>
          <w:rFonts w:ascii="Arial" w:hAnsi="Arial" w:cs="Arial"/>
          <w:sz w:val="24"/>
          <w:szCs w:val="24"/>
        </w:rPr>
        <w:t xml:space="preserve"> avec</w:t>
      </w:r>
      <w:r w:rsidR="00833AC9" w:rsidRPr="00AE360E">
        <w:rPr>
          <w:rFonts w:ascii="Arial" w:hAnsi="Arial" w:cs="Arial"/>
          <w:sz w:val="24"/>
          <w:szCs w:val="24"/>
        </w:rPr>
        <w:t> </w:t>
      </w:r>
      <w:r w:rsidR="00A1199E" w:rsidRPr="00AE360E">
        <w:rPr>
          <w:rFonts w:ascii="Arial" w:hAnsi="Arial" w:cs="Arial"/>
          <w:sz w:val="24"/>
          <w:szCs w:val="24"/>
        </w:rPr>
        <w:t xml:space="preserve"> les autres vaccins éligibles calendrier vaccinal</w:t>
      </w:r>
      <w:r w:rsidR="00833AC9" w:rsidRPr="00AE360E">
        <w:rPr>
          <w:rFonts w:ascii="Arial" w:hAnsi="Arial" w:cs="Arial"/>
          <w:sz w:val="24"/>
          <w:szCs w:val="24"/>
        </w:rPr>
        <w:t>; aucun enfant</w:t>
      </w:r>
      <w:r w:rsidR="00A1199E" w:rsidRPr="00AE360E">
        <w:rPr>
          <w:rFonts w:ascii="Arial" w:hAnsi="Arial" w:cs="Arial"/>
          <w:sz w:val="24"/>
          <w:szCs w:val="24"/>
        </w:rPr>
        <w:t xml:space="preserve"> cible </w:t>
      </w:r>
      <w:r w:rsidR="00833AC9" w:rsidRPr="00AE360E">
        <w:rPr>
          <w:rFonts w:ascii="Arial" w:hAnsi="Arial" w:cs="Arial"/>
          <w:sz w:val="24"/>
          <w:szCs w:val="24"/>
        </w:rPr>
        <w:t xml:space="preserve"> ne recevra plus d’une dose de VPI.</w:t>
      </w:r>
    </w:p>
    <w:p w:rsidR="00D826F6" w:rsidRPr="00AE360E" w:rsidRDefault="0035449F" w:rsidP="00AE360E">
      <w:pPr>
        <w:numPr>
          <w:ilvl w:val="0"/>
          <w:numId w:val="18"/>
        </w:numPr>
        <w:spacing w:before="120" w:after="120"/>
        <w:ind w:right="235"/>
        <w:jc w:val="both"/>
        <w:rPr>
          <w:rFonts w:ascii="Arial" w:eastAsia="Calibri" w:hAnsi="Arial" w:cs="Arial"/>
          <w:b/>
          <w:sz w:val="24"/>
        </w:rPr>
      </w:pPr>
      <w:r w:rsidRPr="00AE360E">
        <w:rPr>
          <w:rFonts w:ascii="Arial" w:eastAsia="Calibri" w:hAnsi="Arial" w:cs="Arial"/>
          <w:b/>
          <w:sz w:val="24"/>
        </w:rPr>
        <w:t xml:space="preserve">Aperçu de la capacité </w:t>
      </w:r>
      <w:r w:rsidR="00C938ED" w:rsidRPr="00AE360E">
        <w:rPr>
          <w:rFonts w:ascii="Arial" w:eastAsia="Calibri" w:hAnsi="Arial" w:cs="Arial"/>
          <w:b/>
          <w:sz w:val="24"/>
        </w:rPr>
        <w:t xml:space="preserve"> en logistique et ressources humaines </w:t>
      </w:r>
      <w:r w:rsidRPr="00AE360E">
        <w:rPr>
          <w:rFonts w:ascii="Arial" w:eastAsia="Calibri" w:hAnsi="Arial" w:cs="Arial"/>
          <w:b/>
          <w:sz w:val="24"/>
        </w:rPr>
        <w:t>du programme de v</w:t>
      </w:r>
      <w:r w:rsidR="00C938ED" w:rsidRPr="00AE360E">
        <w:rPr>
          <w:rFonts w:ascii="Arial" w:eastAsia="Calibri" w:hAnsi="Arial" w:cs="Arial"/>
          <w:b/>
          <w:sz w:val="24"/>
        </w:rPr>
        <w:t>accination à introduire le VPI</w:t>
      </w:r>
    </w:p>
    <w:p w:rsidR="00C938ED" w:rsidRPr="00A473AF" w:rsidRDefault="00D826F6" w:rsidP="00AE360E">
      <w:pPr>
        <w:jc w:val="both"/>
        <w:rPr>
          <w:rFonts w:ascii="Arial" w:hAnsi="Arial" w:cs="Arial"/>
          <w:sz w:val="24"/>
          <w:szCs w:val="24"/>
        </w:rPr>
      </w:pPr>
      <w:r w:rsidRPr="00A473AF">
        <w:rPr>
          <w:rFonts w:ascii="Arial" w:hAnsi="Arial" w:cs="Arial"/>
          <w:sz w:val="24"/>
          <w:szCs w:val="24"/>
        </w:rPr>
        <w:t>Le Tchad, avec l’appui de GAVI, a déjà introduit le vaccin pentavalent en 2008 sur toute l’étendue du territoire national</w:t>
      </w:r>
      <w:r w:rsidRPr="00A473AF">
        <w:rPr>
          <w:rFonts w:ascii="Arial" w:eastAsia="SimSun" w:hAnsi="Arial" w:cs="Arial"/>
          <w:b/>
          <w:color w:val="FF0000"/>
          <w:sz w:val="24"/>
          <w:szCs w:val="24"/>
          <w:lang w:eastAsia="en-GB"/>
        </w:rPr>
        <w:t xml:space="preserve">. </w:t>
      </w:r>
      <w:r w:rsidR="00833AC9" w:rsidRPr="00A473AF">
        <w:rPr>
          <w:rFonts w:ascii="Arial" w:hAnsi="Arial" w:cs="Arial"/>
          <w:sz w:val="24"/>
          <w:szCs w:val="24"/>
        </w:rPr>
        <w:t>Les leçons tirées de l’évaluation de cette</w:t>
      </w:r>
      <w:r w:rsidRPr="00A473AF">
        <w:rPr>
          <w:rFonts w:ascii="Arial" w:hAnsi="Arial" w:cs="Arial"/>
          <w:sz w:val="24"/>
          <w:szCs w:val="24"/>
        </w:rPr>
        <w:t xml:space="preserve"> introduction seront prises en compte pour assurer l’intégration du VPI dans la vaccination de routine dans les conditions optimales</w:t>
      </w:r>
    </w:p>
    <w:p w:rsidR="00C938ED" w:rsidRPr="00A473AF" w:rsidRDefault="00C938ED" w:rsidP="00AE360E">
      <w:pPr>
        <w:jc w:val="both"/>
        <w:rPr>
          <w:rFonts w:ascii="Arial" w:hAnsi="Arial" w:cs="Arial"/>
          <w:sz w:val="24"/>
          <w:szCs w:val="24"/>
        </w:rPr>
      </w:pPr>
      <w:r w:rsidRPr="00A473AF">
        <w:rPr>
          <w:rFonts w:ascii="Arial" w:hAnsi="Arial" w:cs="Arial"/>
          <w:sz w:val="24"/>
          <w:szCs w:val="24"/>
        </w:rPr>
        <w:t>Le Tchad dispose  d’un important appui technique constitué de staff d</w:t>
      </w:r>
      <w:r w:rsidR="008729DB" w:rsidRPr="00A473AF">
        <w:rPr>
          <w:rFonts w:ascii="Arial" w:hAnsi="Arial" w:cs="Arial"/>
          <w:sz w:val="24"/>
          <w:szCs w:val="24"/>
        </w:rPr>
        <w:t xml:space="preserve">e l’OMS et de l’Unicef,  de STOPS </w:t>
      </w:r>
      <w:r w:rsidRPr="00A473AF">
        <w:rPr>
          <w:rFonts w:ascii="Arial" w:hAnsi="Arial" w:cs="Arial"/>
          <w:sz w:val="24"/>
          <w:szCs w:val="24"/>
        </w:rPr>
        <w:t xml:space="preserve"> teams et de consultants nationaux aussi bien au niveau central qu’au niveau des 6hubs (sous bureaux du pays</w:t>
      </w:r>
      <w:r w:rsidR="00833AC9" w:rsidRPr="00A473AF">
        <w:rPr>
          <w:rFonts w:ascii="Arial" w:hAnsi="Arial" w:cs="Arial"/>
          <w:sz w:val="24"/>
          <w:szCs w:val="24"/>
        </w:rPr>
        <w:t xml:space="preserve">). </w:t>
      </w:r>
      <w:r w:rsidRPr="00A473AF">
        <w:rPr>
          <w:rFonts w:ascii="Arial" w:hAnsi="Arial" w:cs="Arial"/>
          <w:sz w:val="24"/>
          <w:szCs w:val="24"/>
        </w:rPr>
        <w:t>Ce personnel</w:t>
      </w:r>
      <w:r w:rsidR="00833AC9" w:rsidRPr="00A473AF">
        <w:rPr>
          <w:rFonts w:ascii="Arial" w:hAnsi="Arial" w:cs="Arial"/>
          <w:sz w:val="24"/>
          <w:szCs w:val="24"/>
        </w:rPr>
        <w:t>, initialement destiné à l’IEP, est fortement mis à contribution pour appuyer</w:t>
      </w:r>
      <w:r w:rsidRPr="00A473AF">
        <w:rPr>
          <w:rFonts w:ascii="Arial" w:hAnsi="Arial" w:cs="Arial"/>
          <w:sz w:val="24"/>
          <w:szCs w:val="24"/>
        </w:rPr>
        <w:t xml:space="preserve"> le niveau central et les ECD et CDR dans la planification, la mise en œuvre et l’évaluation du PEV et de la surveillance épidémiologique.</w:t>
      </w:r>
    </w:p>
    <w:p w:rsidR="008729DB" w:rsidRPr="00A473AF" w:rsidRDefault="008729DB" w:rsidP="00AE360E">
      <w:pPr>
        <w:jc w:val="both"/>
        <w:rPr>
          <w:rFonts w:ascii="Arial" w:hAnsi="Arial" w:cs="Arial"/>
          <w:sz w:val="24"/>
          <w:szCs w:val="24"/>
        </w:rPr>
      </w:pPr>
      <w:r w:rsidRPr="00A473AF">
        <w:rPr>
          <w:rFonts w:ascii="Arial" w:hAnsi="Arial" w:cs="Arial"/>
          <w:sz w:val="24"/>
          <w:szCs w:val="24"/>
        </w:rPr>
        <w:t>Aussi le staff national à tous les niveaux a commencé à bénéficier depuis 2013 d’un important programme de renforcement des compétences sur la gestion du PEV.</w:t>
      </w:r>
    </w:p>
    <w:p w:rsidR="00C938ED" w:rsidRPr="00A473AF" w:rsidRDefault="00C938ED" w:rsidP="00AE360E">
      <w:pPr>
        <w:pStyle w:val="Paragraphedeliste"/>
        <w:numPr>
          <w:ilvl w:val="0"/>
          <w:numId w:val="23"/>
        </w:numPr>
        <w:jc w:val="both"/>
        <w:rPr>
          <w:rFonts w:ascii="Arial" w:hAnsi="Arial" w:cs="Arial"/>
          <w:sz w:val="24"/>
          <w:szCs w:val="24"/>
        </w:rPr>
      </w:pPr>
      <w:r w:rsidRPr="00A473AF">
        <w:rPr>
          <w:rFonts w:ascii="Arial" w:hAnsi="Arial" w:cs="Arial"/>
          <w:sz w:val="24"/>
          <w:szCs w:val="24"/>
        </w:rPr>
        <w:t>la formation en MLM/PEV de 25 cadres du niveau central, régional et District ;</w:t>
      </w:r>
    </w:p>
    <w:p w:rsidR="00C938ED" w:rsidRPr="00A473AF" w:rsidRDefault="00C938ED" w:rsidP="00AE360E">
      <w:pPr>
        <w:pStyle w:val="Paragraphedeliste"/>
        <w:numPr>
          <w:ilvl w:val="0"/>
          <w:numId w:val="23"/>
        </w:numPr>
        <w:jc w:val="both"/>
        <w:rPr>
          <w:rFonts w:ascii="Arial" w:hAnsi="Arial" w:cs="Arial"/>
          <w:sz w:val="24"/>
          <w:szCs w:val="24"/>
        </w:rPr>
      </w:pPr>
      <w:r w:rsidRPr="00A473AF">
        <w:rPr>
          <w:rFonts w:ascii="Arial" w:hAnsi="Arial" w:cs="Arial"/>
          <w:sz w:val="24"/>
          <w:szCs w:val="24"/>
        </w:rPr>
        <w:t>la formation en PEV pratique des ECD et des responsables des CS dans 42 districts. Cette formation en PEV pratique se poursuit dans 10 DS présentement et sera étendue à tous les districts restants d’ici mi-2015 ;</w:t>
      </w:r>
    </w:p>
    <w:p w:rsidR="00C938ED" w:rsidRPr="00A473AF" w:rsidRDefault="00C938ED" w:rsidP="00AE360E">
      <w:pPr>
        <w:pStyle w:val="Paragraphedeliste"/>
        <w:numPr>
          <w:ilvl w:val="0"/>
          <w:numId w:val="23"/>
        </w:numPr>
        <w:jc w:val="both"/>
        <w:rPr>
          <w:rFonts w:ascii="Arial" w:hAnsi="Arial" w:cs="Arial"/>
          <w:sz w:val="24"/>
          <w:szCs w:val="24"/>
        </w:rPr>
      </w:pPr>
      <w:r w:rsidRPr="00A473AF">
        <w:rPr>
          <w:rFonts w:ascii="Arial" w:hAnsi="Arial" w:cs="Arial"/>
          <w:sz w:val="24"/>
          <w:szCs w:val="24"/>
        </w:rPr>
        <w:t xml:space="preserve">la formation des superviseurs de PEV des régions et des districts sur la chaine de froid et l’utilisation des </w:t>
      </w:r>
      <w:r w:rsidR="007B2F29" w:rsidRPr="00A473AF">
        <w:rPr>
          <w:rFonts w:ascii="Arial" w:hAnsi="Arial" w:cs="Arial"/>
          <w:sz w:val="24"/>
          <w:szCs w:val="24"/>
        </w:rPr>
        <w:t>Fridge</w:t>
      </w:r>
      <w:r w:rsidRPr="00A473AF">
        <w:rPr>
          <w:rFonts w:ascii="Arial" w:hAnsi="Arial" w:cs="Arial"/>
          <w:sz w:val="24"/>
          <w:szCs w:val="24"/>
        </w:rPr>
        <w:t xml:space="preserve"> tag ;</w:t>
      </w:r>
    </w:p>
    <w:p w:rsidR="008166B8" w:rsidRPr="00A473AF" w:rsidRDefault="007B2F29" w:rsidP="00AE360E">
      <w:pPr>
        <w:pStyle w:val="Paragraphedeliste"/>
        <w:numPr>
          <w:ilvl w:val="0"/>
          <w:numId w:val="23"/>
        </w:numPr>
        <w:jc w:val="both"/>
        <w:rPr>
          <w:rFonts w:ascii="Arial" w:hAnsi="Arial" w:cs="Arial"/>
          <w:sz w:val="24"/>
          <w:szCs w:val="24"/>
        </w:rPr>
      </w:pPr>
      <w:r w:rsidRPr="00A473AF">
        <w:rPr>
          <w:rFonts w:ascii="Arial" w:hAnsi="Arial" w:cs="Arial"/>
          <w:sz w:val="24"/>
          <w:szCs w:val="24"/>
        </w:rPr>
        <w:t xml:space="preserve">une </w:t>
      </w:r>
      <w:r w:rsidR="00C938ED" w:rsidRPr="00A473AF">
        <w:rPr>
          <w:rFonts w:ascii="Arial" w:hAnsi="Arial" w:cs="Arial"/>
          <w:sz w:val="24"/>
          <w:szCs w:val="24"/>
        </w:rPr>
        <w:t>formation sur le DVD-MT et le DQS est en cours (2014),elle va concerner l’ensemble des régions et districts et permettra d’améliorer la qualité des données de vaccination</w:t>
      </w:r>
      <w:r w:rsidR="008729DB" w:rsidRPr="00A473AF">
        <w:rPr>
          <w:rFonts w:ascii="Arial" w:hAnsi="Arial" w:cs="Arial"/>
          <w:sz w:val="24"/>
          <w:szCs w:val="24"/>
        </w:rPr>
        <w:t>.</w:t>
      </w:r>
    </w:p>
    <w:p w:rsidR="0024463C" w:rsidRPr="00A473AF" w:rsidRDefault="008729DB" w:rsidP="00AE360E">
      <w:pPr>
        <w:jc w:val="both"/>
        <w:rPr>
          <w:rFonts w:ascii="Arial" w:hAnsi="Arial" w:cs="Arial"/>
          <w:sz w:val="24"/>
          <w:szCs w:val="24"/>
        </w:rPr>
      </w:pPr>
      <w:r w:rsidRPr="00A473AF">
        <w:rPr>
          <w:rFonts w:ascii="Arial" w:hAnsi="Arial" w:cs="Arial"/>
          <w:sz w:val="24"/>
          <w:szCs w:val="24"/>
        </w:rPr>
        <w:t xml:space="preserve">Sur le plan </w:t>
      </w:r>
      <w:r w:rsidR="00D826F6" w:rsidRPr="00A473AF">
        <w:rPr>
          <w:rFonts w:ascii="Arial" w:hAnsi="Arial" w:cs="Arial"/>
          <w:sz w:val="24"/>
          <w:szCs w:val="24"/>
        </w:rPr>
        <w:t>logistique, le</w:t>
      </w:r>
      <w:r w:rsidR="0024463C" w:rsidRPr="00A473AF">
        <w:rPr>
          <w:rFonts w:ascii="Arial" w:hAnsi="Arial" w:cs="Arial"/>
          <w:sz w:val="24"/>
          <w:szCs w:val="24"/>
        </w:rPr>
        <w:t xml:space="preserve"> PEV qui disposait d’une capacité nette de conservation des vaccins au niveau central de moins de 10 mètres cubes en positive a vu sa capacité augmentée à 160 mètres cubes avec l’installation de 04 nouvelles chambres froides positives dans des nouvelles infrastructures ; le volume de stockage sec qui était d’environ 350 mètres cubes est passé à 1 500 mètres cubes.</w:t>
      </w:r>
    </w:p>
    <w:p w:rsidR="0024463C" w:rsidRPr="00A473AF" w:rsidRDefault="00A16B18" w:rsidP="00AE360E">
      <w:pPr>
        <w:spacing w:after="120"/>
        <w:jc w:val="both"/>
        <w:rPr>
          <w:rFonts w:ascii="Arial" w:hAnsi="Arial" w:cs="Arial"/>
          <w:sz w:val="24"/>
          <w:szCs w:val="24"/>
        </w:rPr>
      </w:pPr>
      <w:r w:rsidRPr="00A473AF">
        <w:rPr>
          <w:rFonts w:ascii="Arial" w:hAnsi="Arial" w:cs="Arial"/>
          <w:sz w:val="24"/>
          <w:szCs w:val="24"/>
        </w:rPr>
        <w:t xml:space="preserve">Les dépôts </w:t>
      </w:r>
      <w:r w:rsidR="007B2F29" w:rsidRPr="00A473AF">
        <w:rPr>
          <w:rFonts w:ascii="Arial" w:hAnsi="Arial" w:cs="Arial"/>
          <w:sz w:val="24"/>
          <w:szCs w:val="24"/>
        </w:rPr>
        <w:t>sub</w:t>
      </w:r>
      <w:r w:rsidR="001C425E">
        <w:rPr>
          <w:rFonts w:ascii="Arial" w:hAnsi="Arial" w:cs="Arial"/>
          <w:sz w:val="24"/>
          <w:szCs w:val="24"/>
        </w:rPr>
        <w:t>-</w:t>
      </w:r>
      <w:r w:rsidR="007B2F29" w:rsidRPr="00A473AF">
        <w:rPr>
          <w:rFonts w:ascii="Arial" w:hAnsi="Arial" w:cs="Arial"/>
          <w:sz w:val="24"/>
          <w:szCs w:val="24"/>
        </w:rPr>
        <w:t>nationaux</w:t>
      </w:r>
      <w:r w:rsidR="0024463C" w:rsidRPr="00A473AF">
        <w:rPr>
          <w:rFonts w:ascii="Arial" w:hAnsi="Arial" w:cs="Arial"/>
          <w:sz w:val="24"/>
          <w:szCs w:val="24"/>
        </w:rPr>
        <w:t xml:space="preserve"> devront connaitre des améliorations allant à 10 mètres cubes en négatif à 40 mètres cubes de positif ; le pays devra compter désormais sur 5 dépôts au lieu d’un seul.</w:t>
      </w:r>
    </w:p>
    <w:p w:rsidR="0024463C" w:rsidRPr="00A473AF" w:rsidRDefault="0024463C" w:rsidP="00AE360E">
      <w:pPr>
        <w:spacing w:after="120"/>
        <w:jc w:val="both"/>
        <w:rPr>
          <w:rFonts w:ascii="Arial" w:hAnsi="Arial" w:cs="Arial"/>
          <w:sz w:val="24"/>
          <w:szCs w:val="24"/>
        </w:rPr>
      </w:pPr>
      <w:r w:rsidRPr="00A473AF">
        <w:rPr>
          <w:rFonts w:ascii="Arial" w:hAnsi="Arial" w:cs="Arial"/>
          <w:sz w:val="24"/>
          <w:szCs w:val="24"/>
        </w:rPr>
        <w:t>Il est à noter que les 65 dépôts des districts ont vu leurs capacités du stockage augmenter  avec l’installation de 109 réfrigérateurs solaires de 100 litres.</w:t>
      </w:r>
    </w:p>
    <w:p w:rsidR="0024463C" w:rsidRPr="00A473AF" w:rsidRDefault="0024463C" w:rsidP="00AE360E">
      <w:pPr>
        <w:spacing w:after="120"/>
        <w:jc w:val="both"/>
        <w:rPr>
          <w:rFonts w:ascii="Arial" w:hAnsi="Arial" w:cs="Arial"/>
          <w:sz w:val="24"/>
          <w:szCs w:val="24"/>
        </w:rPr>
      </w:pPr>
      <w:r w:rsidRPr="00A473AF">
        <w:rPr>
          <w:rFonts w:ascii="Arial" w:hAnsi="Arial" w:cs="Arial"/>
          <w:sz w:val="24"/>
          <w:szCs w:val="24"/>
        </w:rPr>
        <w:lastRenderedPageBreak/>
        <w:t xml:space="preserve"> Cette capacité de conservation a été calquée sur les projections de l’introduction de tous les nouveaux vaccins, dont le VPI, proposées par la Région Africaine de l’OMS et tenait compte de l’accroissement de la population cible  jusqu’en 2018.</w:t>
      </w:r>
    </w:p>
    <w:p w:rsidR="0024463C" w:rsidRPr="00A473AF" w:rsidRDefault="0024463C" w:rsidP="00AE360E">
      <w:pPr>
        <w:spacing w:after="120"/>
        <w:jc w:val="both"/>
        <w:rPr>
          <w:rFonts w:ascii="Arial" w:hAnsi="Arial" w:cs="Arial"/>
          <w:sz w:val="24"/>
          <w:szCs w:val="24"/>
        </w:rPr>
      </w:pPr>
      <w:r w:rsidRPr="00A473AF">
        <w:rPr>
          <w:rFonts w:ascii="Arial" w:hAnsi="Arial" w:cs="Arial"/>
          <w:sz w:val="24"/>
          <w:szCs w:val="24"/>
        </w:rPr>
        <w:t xml:space="preserve">D’autres acquisitions de CDF sont prévues en 2014 à travers les fonds </w:t>
      </w:r>
      <w:r w:rsidR="00DD2710" w:rsidRPr="00A473AF">
        <w:rPr>
          <w:rFonts w:ascii="Arial" w:hAnsi="Arial" w:cs="Arial"/>
          <w:sz w:val="24"/>
          <w:szCs w:val="24"/>
        </w:rPr>
        <w:t>GAVI,</w:t>
      </w:r>
      <w:r w:rsidRPr="00A473AF">
        <w:rPr>
          <w:rFonts w:ascii="Arial" w:hAnsi="Arial" w:cs="Arial"/>
          <w:sz w:val="24"/>
          <w:szCs w:val="24"/>
        </w:rPr>
        <w:t xml:space="preserve"> 16 congélateurs pour 8 DSR (2 par région) et 10 congélateurs pour les DS.</w:t>
      </w:r>
    </w:p>
    <w:p w:rsidR="0024463C" w:rsidRPr="00A473AF" w:rsidRDefault="0024463C" w:rsidP="00AE360E">
      <w:pPr>
        <w:spacing w:after="120"/>
        <w:jc w:val="both"/>
        <w:rPr>
          <w:rFonts w:ascii="Arial" w:hAnsi="Arial" w:cs="Arial"/>
          <w:sz w:val="24"/>
          <w:szCs w:val="24"/>
        </w:rPr>
      </w:pPr>
      <w:r w:rsidRPr="00A473AF">
        <w:rPr>
          <w:rFonts w:ascii="Arial" w:hAnsi="Arial" w:cs="Arial"/>
          <w:sz w:val="24"/>
          <w:szCs w:val="24"/>
        </w:rPr>
        <w:t>De tout ce qui précède, le pays dispose</w:t>
      </w:r>
      <w:r w:rsidR="00DD2710" w:rsidRPr="00A473AF">
        <w:rPr>
          <w:rFonts w:ascii="Arial" w:hAnsi="Arial" w:cs="Arial"/>
          <w:sz w:val="24"/>
          <w:szCs w:val="24"/>
        </w:rPr>
        <w:t>ra</w:t>
      </w:r>
      <w:r w:rsidRPr="00A473AF">
        <w:rPr>
          <w:rFonts w:ascii="Arial" w:hAnsi="Arial" w:cs="Arial"/>
          <w:sz w:val="24"/>
          <w:szCs w:val="24"/>
        </w:rPr>
        <w:t xml:space="preserve"> suffisamment de capacités de stockage </w:t>
      </w:r>
      <w:r w:rsidR="00DD2710" w:rsidRPr="00A473AF">
        <w:rPr>
          <w:rFonts w:ascii="Arial" w:hAnsi="Arial" w:cs="Arial"/>
          <w:sz w:val="24"/>
          <w:szCs w:val="24"/>
        </w:rPr>
        <w:t>à</w:t>
      </w:r>
      <w:r w:rsidRPr="00A473AF">
        <w:rPr>
          <w:rFonts w:ascii="Arial" w:hAnsi="Arial" w:cs="Arial"/>
          <w:sz w:val="24"/>
          <w:szCs w:val="24"/>
        </w:rPr>
        <w:t xml:space="preserve"> tous les niveaux pour une bonne introduction du VPI.</w:t>
      </w:r>
    </w:p>
    <w:p w:rsidR="00A93D6D" w:rsidRPr="00AE360E" w:rsidRDefault="00A93D6D" w:rsidP="00AE360E">
      <w:pPr>
        <w:spacing w:after="120"/>
        <w:jc w:val="both"/>
        <w:rPr>
          <w:rFonts w:ascii="Arial" w:hAnsi="Arial" w:cs="Arial"/>
          <w:sz w:val="24"/>
          <w:szCs w:val="24"/>
        </w:rPr>
      </w:pPr>
    </w:p>
    <w:p w:rsidR="0035449F" w:rsidRPr="00AE360E" w:rsidRDefault="0035449F" w:rsidP="00AE360E">
      <w:pPr>
        <w:numPr>
          <w:ilvl w:val="0"/>
          <w:numId w:val="18"/>
        </w:numPr>
        <w:spacing w:before="120" w:after="120"/>
        <w:ind w:right="235"/>
        <w:jc w:val="both"/>
        <w:rPr>
          <w:rFonts w:ascii="Arial" w:hAnsi="Arial" w:cs="Arial"/>
          <w:b/>
          <w:color w:val="FF0000"/>
        </w:rPr>
      </w:pPr>
      <w:r w:rsidRPr="00AE360E">
        <w:rPr>
          <w:rFonts w:ascii="Arial" w:eastAsia="Calibri" w:hAnsi="Arial" w:cs="Arial"/>
          <w:b/>
          <w:sz w:val="24"/>
        </w:rPr>
        <w:t>Brève description des activités préparatoires déjà réalisées ou à mettre en œuvre</w:t>
      </w:r>
      <w:r w:rsidRPr="00AE360E">
        <w:rPr>
          <w:rFonts w:ascii="Arial" w:eastAsia="Calibri" w:hAnsi="Arial" w:cs="Arial"/>
          <w:b/>
        </w:rPr>
        <w:t>.</w:t>
      </w:r>
    </w:p>
    <w:p w:rsidR="0024463C" w:rsidRPr="00AE360E" w:rsidRDefault="0024463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 comité technique d’appui au PEV (CTA-PEV) va </w:t>
      </w:r>
      <w:r w:rsidR="008166B8" w:rsidRPr="00AE360E">
        <w:rPr>
          <w:rFonts w:ascii="Arial" w:hAnsi="Arial" w:cs="Arial"/>
          <w:sz w:val="24"/>
          <w:szCs w:val="24"/>
        </w:rPr>
        <w:t xml:space="preserve">coordonner et </w:t>
      </w:r>
      <w:r w:rsidRPr="00AE360E">
        <w:rPr>
          <w:rFonts w:ascii="Arial" w:hAnsi="Arial" w:cs="Arial"/>
          <w:sz w:val="24"/>
          <w:szCs w:val="24"/>
        </w:rPr>
        <w:t>superviser tout le processus relatif à l’introduction du VPI dans la vaccination de routine. Il sera chargé de valider tous les documents techniques élaborés à cet effet.</w:t>
      </w:r>
    </w:p>
    <w:p w:rsidR="0024463C" w:rsidRPr="00AE360E" w:rsidRDefault="008166B8"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T</w:t>
      </w:r>
      <w:r w:rsidR="0024463C" w:rsidRPr="00AE360E">
        <w:rPr>
          <w:rFonts w:ascii="Arial" w:hAnsi="Arial" w:cs="Arial"/>
          <w:sz w:val="24"/>
          <w:szCs w:val="24"/>
        </w:rPr>
        <w:t>rois sous-commissions techniqu</w:t>
      </w:r>
      <w:r w:rsidRPr="00AE360E">
        <w:rPr>
          <w:rFonts w:ascii="Arial" w:hAnsi="Arial" w:cs="Arial"/>
          <w:sz w:val="24"/>
          <w:szCs w:val="24"/>
        </w:rPr>
        <w:t>es, logistique et communication seront mises en place, dès après l’acceptation de la soumission par GAVI.</w:t>
      </w:r>
    </w:p>
    <w:p w:rsidR="0024463C" w:rsidRPr="00AE360E" w:rsidRDefault="0024463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Chacune de ces commissions aura à élaborer sa feuille de route et rendra compte au CATPEV.</w:t>
      </w:r>
    </w:p>
    <w:p w:rsidR="0024463C" w:rsidRPr="00AE360E" w:rsidRDefault="0024463C" w:rsidP="00AE360E">
      <w:pPr>
        <w:spacing w:before="240" w:after="120"/>
        <w:jc w:val="both"/>
        <w:rPr>
          <w:rFonts w:ascii="Arial" w:hAnsi="Arial" w:cs="Arial"/>
          <w:sz w:val="24"/>
          <w:szCs w:val="24"/>
        </w:rPr>
      </w:pPr>
      <w:r w:rsidRPr="00AE360E">
        <w:rPr>
          <w:rFonts w:ascii="Arial" w:hAnsi="Arial" w:cs="Arial"/>
          <w:sz w:val="24"/>
          <w:szCs w:val="24"/>
        </w:rPr>
        <w:t>Les activités essentielles porteront :</w:t>
      </w:r>
    </w:p>
    <w:p w:rsidR="0024463C" w:rsidRPr="00AE360E" w:rsidRDefault="0024463C"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La mise à jour du PPAC et du Guide national du PEV ;</w:t>
      </w:r>
    </w:p>
    <w:p w:rsidR="0024463C" w:rsidRPr="00AE360E" w:rsidRDefault="0024463C"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La révision des supports et documents techniques de formation ;</w:t>
      </w:r>
    </w:p>
    <w:p w:rsidR="0024463C" w:rsidRPr="00AE360E" w:rsidRDefault="0024463C"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La production des supports et matériel d’IEC ;</w:t>
      </w:r>
    </w:p>
    <w:p w:rsidR="008166B8" w:rsidRPr="00AE360E" w:rsidRDefault="0024463C"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L’élaboration d’un plan de formation</w:t>
      </w:r>
      <w:r w:rsidR="008166B8" w:rsidRPr="00AE360E">
        <w:rPr>
          <w:rFonts w:ascii="Arial" w:hAnsi="Arial" w:cs="Arial"/>
          <w:sz w:val="24"/>
          <w:szCs w:val="24"/>
        </w:rPr>
        <w:t> ;</w:t>
      </w:r>
    </w:p>
    <w:p w:rsidR="008166B8" w:rsidRPr="00AE360E" w:rsidRDefault="008166B8"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L’élaboration du plan de communication </w:t>
      </w:r>
    </w:p>
    <w:p w:rsidR="0024463C" w:rsidRPr="00AE360E" w:rsidRDefault="0024463C" w:rsidP="00AE360E">
      <w:pPr>
        <w:pStyle w:val="Paragraphedeliste"/>
        <w:numPr>
          <w:ilvl w:val="0"/>
          <w:numId w:val="36"/>
        </w:numPr>
        <w:spacing w:after="120"/>
        <w:jc w:val="both"/>
        <w:rPr>
          <w:rFonts w:ascii="Arial" w:hAnsi="Arial" w:cs="Arial"/>
          <w:sz w:val="24"/>
          <w:szCs w:val="24"/>
        </w:rPr>
      </w:pPr>
      <w:r w:rsidRPr="00AE360E">
        <w:rPr>
          <w:rFonts w:ascii="Arial" w:hAnsi="Arial" w:cs="Arial"/>
          <w:sz w:val="24"/>
          <w:szCs w:val="24"/>
        </w:rPr>
        <w:t>L’élaboration du plan logistique : acquisition et distribution des vaccins, supports, intrants et matériels ;</w:t>
      </w:r>
    </w:p>
    <w:p w:rsidR="008F359E" w:rsidRPr="00AE360E" w:rsidRDefault="008F359E" w:rsidP="00AE360E">
      <w:pPr>
        <w:pStyle w:val="Paragraphedeliste"/>
        <w:numPr>
          <w:ilvl w:val="0"/>
          <w:numId w:val="36"/>
        </w:numPr>
        <w:spacing w:after="120"/>
        <w:ind w:left="1434" w:hanging="357"/>
        <w:contextualSpacing w:val="0"/>
        <w:jc w:val="both"/>
        <w:rPr>
          <w:rFonts w:ascii="Arial" w:hAnsi="Arial" w:cs="Arial"/>
          <w:sz w:val="24"/>
          <w:szCs w:val="24"/>
        </w:rPr>
      </w:pPr>
      <w:r w:rsidRPr="00AE360E">
        <w:rPr>
          <w:rFonts w:ascii="Arial" w:hAnsi="Arial" w:cs="Arial"/>
          <w:sz w:val="24"/>
          <w:szCs w:val="24"/>
        </w:rPr>
        <w:t>L’élaboration d’un plan  de supervision pré et pendant l’introduction</w:t>
      </w:r>
    </w:p>
    <w:p w:rsidR="00CA0AC5" w:rsidRPr="00AE360E" w:rsidRDefault="00CA0AC5" w:rsidP="00AE360E">
      <w:pPr>
        <w:numPr>
          <w:ilvl w:val="0"/>
          <w:numId w:val="18"/>
        </w:numPr>
        <w:spacing w:before="120" w:after="120"/>
        <w:ind w:right="235"/>
        <w:jc w:val="both"/>
        <w:rPr>
          <w:rFonts w:ascii="Arial" w:eastAsia="Calibri" w:hAnsi="Arial" w:cs="Arial"/>
          <w:b/>
          <w:sz w:val="24"/>
        </w:rPr>
      </w:pPr>
      <w:r w:rsidRPr="00AE360E">
        <w:rPr>
          <w:rFonts w:ascii="Arial" w:eastAsia="Calibri" w:hAnsi="Arial" w:cs="Arial"/>
          <w:b/>
          <w:sz w:val="24"/>
        </w:rPr>
        <w:t>Cout d’introduction</w:t>
      </w:r>
    </w:p>
    <w:p w:rsidR="001424EE" w:rsidRPr="001424EE" w:rsidRDefault="001424EE" w:rsidP="001424EE">
      <w:pPr>
        <w:pStyle w:val="Paragraphedeliste"/>
        <w:numPr>
          <w:ilvl w:val="0"/>
          <w:numId w:val="18"/>
        </w:numPr>
        <w:rPr>
          <w:rFonts w:ascii="Arial" w:hAnsi="Arial" w:cs="Arial"/>
        </w:rPr>
      </w:pPr>
      <w:r w:rsidRPr="001424EE">
        <w:rPr>
          <w:rFonts w:ascii="Arial" w:hAnsi="Arial" w:cs="Arial"/>
        </w:rPr>
        <w:t xml:space="preserve">Le budget total lié à l’introduction du VPI est </w:t>
      </w:r>
      <w:r w:rsidR="00DA212D">
        <w:rPr>
          <w:rFonts w:ascii="Arial" w:hAnsi="Arial" w:cs="Arial"/>
        </w:rPr>
        <w:t>455</w:t>
      </w:r>
      <w:r w:rsidRPr="001424EE">
        <w:rPr>
          <w:rFonts w:ascii="Arial" w:hAnsi="Arial" w:cs="Arial"/>
        </w:rPr>
        <w:t>.</w:t>
      </w:r>
      <w:r w:rsidR="00DA212D">
        <w:rPr>
          <w:rFonts w:ascii="Arial" w:hAnsi="Arial" w:cs="Arial"/>
        </w:rPr>
        <w:t>241</w:t>
      </w:r>
      <w:r w:rsidRPr="001424EE">
        <w:rPr>
          <w:rFonts w:ascii="Arial" w:hAnsi="Arial" w:cs="Arial"/>
        </w:rPr>
        <w:t>.</w:t>
      </w:r>
      <w:r w:rsidR="00DA212D">
        <w:rPr>
          <w:rFonts w:ascii="Arial" w:hAnsi="Arial" w:cs="Arial"/>
        </w:rPr>
        <w:t>675</w:t>
      </w:r>
      <w:r w:rsidRPr="001424EE">
        <w:rPr>
          <w:rFonts w:ascii="Arial" w:hAnsi="Arial" w:cs="Arial"/>
        </w:rPr>
        <w:t xml:space="preserve"> francs CFA soit </w:t>
      </w:r>
      <w:r w:rsidR="00DA212D">
        <w:rPr>
          <w:rFonts w:ascii="Arial" w:hAnsi="Arial" w:cs="Arial"/>
          <w:b/>
        </w:rPr>
        <w:t>938 643</w:t>
      </w:r>
      <w:r w:rsidRPr="001424EE">
        <w:rPr>
          <w:rFonts w:ascii="Arial" w:hAnsi="Arial" w:cs="Arial"/>
          <w:b/>
        </w:rPr>
        <w:t xml:space="preserve"> USD</w:t>
      </w:r>
      <w:r w:rsidRPr="001424EE">
        <w:rPr>
          <w:rFonts w:ascii="Arial" w:hAnsi="Arial" w:cs="Arial"/>
        </w:rPr>
        <w:t xml:space="preserve"> dont </w:t>
      </w:r>
      <w:r w:rsidR="00977A0B">
        <w:rPr>
          <w:rFonts w:ascii="Arial" w:hAnsi="Arial" w:cs="Arial"/>
          <w:b/>
        </w:rPr>
        <w:t>488</w:t>
      </w:r>
      <w:r w:rsidR="00DA212D">
        <w:rPr>
          <w:rFonts w:ascii="Arial" w:hAnsi="Arial" w:cs="Arial"/>
          <w:b/>
        </w:rPr>
        <w:t xml:space="preserve"> 891</w:t>
      </w:r>
      <w:r w:rsidRPr="001424EE">
        <w:rPr>
          <w:rFonts w:ascii="Arial" w:hAnsi="Arial" w:cs="Arial"/>
          <w:b/>
        </w:rPr>
        <w:t xml:space="preserve"> USD</w:t>
      </w:r>
      <w:r w:rsidRPr="001424EE">
        <w:rPr>
          <w:rFonts w:ascii="Arial" w:hAnsi="Arial" w:cs="Arial"/>
        </w:rPr>
        <w:t xml:space="preserve"> représentent la contribution de GAVI soit </w:t>
      </w:r>
      <w:r w:rsidRPr="001424EE">
        <w:rPr>
          <w:rFonts w:ascii="Arial" w:hAnsi="Arial" w:cs="Arial"/>
          <w:b/>
        </w:rPr>
        <w:t>5</w:t>
      </w:r>
      <w:r w:rsidR="00DA212D">
        <w:rPr>
          <w:rFonts w:ascii="Arial" w:hAnsi="Arial" w:cs="Arial"/>
          <w:b/>
        </w:rPr>
        <w:t>2</w:t>
      </w:r>
      <w:r w:rsidRPr="001424EE">
        <w:rPr>
          <w:rFonts w:ascii="Arial" w:hAnsi="Arial" w:cs="Arial"/>
          <w:b/>
        </w:rPr>
        <w:t>%</w:t>
      </w:r>
      <w:r w:rsidRPr="001424EE">
        <w:rPr>
          <w:rFonts w:ascii="Arial" w:hAnsi="Arial" w:cs="Arial"/>
        </w:rPr>
        <w:t xml:space="preserve"> et </w:t>
      </w:r>
      <w:r w:rsidRPr="001424EE">
        <w:rPr>
          <w:rFonts w:ascii="Arial" w:hAnsi="Arial" w:cs="Arial"/>
          <w:b/>
        </w:rPr>
        <w:t>4</w:t>
      </w:r>
      <w:r w:rsidR="00DA212D">
        <w:rPr>
          <w:rFonts w:ascii="Arial" w:hAnsi="Arial" w:cs="Arial"/>
          <w:b/>
        </w:rPr>
        <w:t>49</w:t>
      </w:r>
      <w:r w:rsidRPr="001424EE">
        <w:rPr>
          <w:rFonts w:ascii="Arial" w:hAnsi="Arial" w:cs="Arial"/>
          <w:b/>
        </w:rPr>
        <w:t>.</w:t>
      </w:r>
      <w:r w:rsidR="00DA212D">
        <w:rPr>
          <w:rFonts w:ascii="Arial" w:hAnsi="Arial" w:cs="Arial"/>
          <w:b/>
        </w:rPr>
        <w:t>751</w:t>
      </w:r>
      <w:r w:rsidRPr="001424EE">
        <w:rPr>
          <w:rFonts w:ascii="Arial" w:hAnsi="Arial" w:cs="Arial"/>
          <w:b/>
        </w:rPr>
        <w:t xml:space="preserve"> USD</w:t>
      </w:r>
      <w:r w:rsidRPr="001424EE">
        <w:rPr>
          <w:rFonts w:ascii="Arial" w:hAnsi="Arial" w:cs="Arial"/>
        </w:rPr>
        <w:t xml:space="preserve"> seront supportés par l’Etat et ses partenaires, soit </w:t>
      </w:r>
      <w:r w:rsidRPr="001424EE">
        <w:rPr>
          <w:rFonts w:ascii="Arial" w:hAnsi="Arial" w:cs="Arial"/>
          <w:b/>
        </w:rPr>
        <w:t>4</w:t>
      </w:r>
      <w:r w:rsidR="00DA212D">
        <w:rPr>
          <w:rFonts w:ascii="Arial" w:hAnsi="Arial" w:cs="Arial"/>
          <w:b/>
        </w:rPr>
        <w:t>8</w:t>
      </w:r>
      <w:r w:rsidRPr="001424EE">
        <w:rPr>
          <w:rFonts w:ascii="Arial" w:hAnsi="Arial" w:cs="Arial"/>
          <w:b/>
        </w:rPr>
        <w:t>%</w:t>
      </w:r>
      <w:r w:rsidR="00DA212D">
        <w:rPr>
          <w:rFonts w:ascii="Arial" w:hAnsi="Arial" w:cs="Arial"/>
        </w:rPr>
        <w:t>.(Etat : 18</w:t>
      </w:r>
      <w:r w:rsidRPr="001424EE">
        <w:rPr>
          <w:rFonts w:ascii="Arial" w:hAnsi="Arial" w:cs="Arial"/>
        </w:rPr>
        <w:t>%, OMS : 5%, UNICEF :</w:t>
      </w:r>
      <w:r w:rsidR="00DA212D">
        <w:rPr>
          <w:rFonts w:ascii="Arial" w:hAnsi="Arial" w:cs="Arial"/>
        </w:rPr>
        <w:t>7% et autres sources GAVI : 18</w:t>
      </w:r>
      <w:r w:rsidRPr="001424EE">
        <w:rPr>
          <w:rFonts w:ascii="Arial" w:hAnsi="Arial" w:cs="Arial"/>
        </w:rPr>
        <w:t>%)</w:t>
      </w:r>
    </w:p>
    <w:p w:rsidR="0035449F" w:rsidRPr="00AE360E" w:rsidRDefault="008C5223" w:rsidP="00AE360E">
      <w:pPr>
        <w:numPr>
          <w:ilvl w:val="0"/>
          <w:numId w:val="18"/>
        </w:numPr>
        <w:spacing w:before="120" w:after="120"/>
        <w:ind w:right="235"/>
        <w:jc w:val="both"/>
        <w:rPr>
          <w:rFonts w:ascii="Arial" w:hAnsi="Arial" w:cs="Arial"/>
          <w:b/>
          <w:bCs/>
          <w:color w:val="0000FF"/>
          <w:sz w:val="24"/>
        </w:rPr>
      </w:pPr>
      <w:r w:rsidRPr="00AE360E">
        <w:rPr>
          <w:rFonts w:ascii="Arial" w:eastAsia="Calibri" w:hAnsi="Arial" w:cs="Arial"/>
          <w:b/>
          <w:sz w:val="24"/>
        </w:rPr>
        <w:t xml:space="preserve">Défis principaux : </w:t>
      </w:r>
      <w:r w:rsidRPr="00AE360E">
        <w:rPr>
          <w:rFonts w:ascii="Arial" w:eastAsia="Calibri" w:hAnsi="Arial" w:cs="Arial"/>
          <w:sz w:val="24"/>
        </w:rPr>
        <w:t>il s’agit de</w:t>
      </w:r>
    </w:p>
    <w:p w:rsidR="0024463C" w:rsidRPr="00A473AF" w:rsidRDefault="0024463C" w:rsidP="00A473AF">
      <w:pPr>
        <w:pStyle w:val="Paragraphedeliste"/>
        <w:numPr>
          <w:ilvl w:val="0"/>
          <w:numId w:val="13"/>
        </w:numPr>
        <w:spacing w:after="120"/>
        <w:ind w:left="845" w:hanging="357"/>
        <w:contextualSpacing w:val="0"/>
        <w:jc w:val="both"/>
        <w:rPr>
          <w:rFonts w:ascii="Arial" w:hAnsi="Arial" w:cs="Arial"/>
          <w:sz w:val="24"/>
        </w:rPr>
      </w:pPr>
      <w:r w:rsidRPr="00A473AF">
        <w:rPr>
          <w:rFonts w:ascii="Arial" w:hAnsi="Arial" w:cs="Arial"/>
          <w:sz w:val="24"/>
          <w:u w:val="single"/>
        </w:rPr>
        <w:t>La faiblesse de la qualité des données de vaccination</w:t>
      </w:r>
      <w:r w:rsidRPr="00A473AF">
        <w:rPr>
          <w:rFonts w:ascii="Arial" w:hAnsi="Arial" w:cs="Arial"/>
          <w:sz w:val="24"/>
        </w:rPr>
        <w:t> </w:t>
      </w:r>
      <w:r w:rsidR="008474FC" w:rsidRPr="00A473AF">
        <w:rPr>
          <w:rFonts w:ascii="Arial" w:hAnsi="Arial" w:cs="Arial"/>
          <w:sz w:val="24"/>
        </w:rPr>
        <w:t>: la</w:t>
      </w:r>
      <w:r w:rsidRPr="00A473AF">
        <w:rPr>
          <w:rFonts w:ascii="Arial" w:hAnsi="Arial" w:cs="Arial"/>
          <w:sz w:val="24"/>
        </w:rPr>
        <w:t xml:space="preserve"> supervision formative du personnel, la mise à disposition régulière des supports et outils de gestion en quantité suffisante pourront contribuer à la production de données fiables. </w:t>
      </w:r>
      <w:r w:rsidR="008474FC" w:rsidRPr="00A473AF">
        <w:rPr>
          <w:rFonts w:ascii="Arial" w:hAnsi="Arial" w:cs="Arial"/>
          <w:sz w:val="24"/>
        </w:rPr>
        <w:t xml:space="preserve">Le staff OMS-UNICEF de l’IEP continuera à </w:t>
      </w:r>
      <w:r w:rsidR="005A1B33" w:rsidRPr="00A473AF">
        <w:rPr>
          <w:rFonts w:ascii="Arial" w:hAnsi="Arial" w:cs="Arial"/>
          <w:sz w:val="24"/>
        </w:rPr>
        <w:t>être</w:t>
      </w:r>
      <w:r w:rsidR="008474FC" w:rsidRPr="00A473AF">
        <w:rPr>
          <w:rFonts w:ascii="Arial" w:hAnsi="Arial" w:cs="Arial"/>
          <w:sz w:val="24"/>
        </w:rPr>
        <w:t xml:space="preserve"> mis en contribution </w:t>
      </w:r>
      <w:r w:rsidR="005A1B33" w:rsidRPr="00A473AF">
        <w:rPr>
          <w:rFonts w:ascii="Arial" w:hAnsi="Arial" w:cs="Arial"/>
          <w:sz w:val="24"/>
        </w:rPr>
        <w:t>à cet effet.</w:t>
      </w:r>
    </w:p>
    <w:p w:rsidR="005A1B33" w:rsidRPr="00A473AF" w:rsidRDefault="005A1B33" w:rsidP="00A473AF">
      <w:pPr>
        <w:pStyle w:val="Paragraphedeliste"/>
        <w:numPr>
          <w:ilvl w:val="0"/>
          <w:numId w:val="13"/>
        </w:numPr>
        <w:spacing w:before="120" w:after="120"/>
        <w:ind w:left="845" w:hanging="357"/>
        <w:contextualSpacing w:val="0"/>
        <w:jc w:val="both"/>
        <w:rPr>
          <w:rFonts w:ascii="Arial" w:hAnsi="Arial" w:cs="Arial"/>
          <w:b/>
          <w:sz w:val="24"/>
        </w:rPr>
      </w:pPr>
      <w:r w:rsidRPr="00A473AF">
        <w:rPr>
          <w:rFonts w:ascii="Arial" w:hAnsi="Arial" w:cs="Arial"/>
          <w:sz w:val="24"/>
          <w:u w:val="single"/>
        </w:rPr>
        <w:t>Taux d’abandon élevé</w:t>
      </w:r>
      <w:r w:rsidRPr="00A473AF">
        <w:rPr>
          <w:rFonts w:ascii="Arial" w:hAnsi="Arial" w:cs="Arial"/>
          <w:sz w:val="24"/>
        </w:rPr>
        <w:t xml:space="preserve"> : </w:t>
      </w:r>
      <w:r w:rsidR="008474FC" w:rsidRPr="00A473AF">
        <w:rPr>
          <w:rFonts w:ascii="Arial" w:hAnsi="Arial" w:cs="Arial"/>
          <w:sz w:val="24"/>
        </w:rPr>
        <w:t xml:space="preserve">la </w:t>
      </w:r>
      <w:r w:rsidR="0024463C" w:rsidRPr="00A473AF">
        <w:rPr>
          <w:rFonts w:ascii="Arial" w:hAnsi="Arial" w:cs="Arial"/>
          <w:sz w:val="24"/>
        </w:rPr>
        <w:t>mise de l’œuvre de l’approche ACD</w:t>
      </w:r>
      <w:r w:rsidR="008474FC" w:rsidRPr="00A473AF">
        <w:rPr>
          <w:rFonts w:ascii="Arial" w:hAnsi="Arial" w:cs="Arial"/>
          <w:sz w:val="24"/>
        </w:rPr>
        <w:t xml:space="preserve"> et de la dotation des ressources financières et de moyens roulants</w:t>
      </w:r>
      <w:r w:rsidRPr="00A473AF">
        <w:rPr>
          <w:rFonts w:ascii="Arial" w:hAnsi="Arial" w:cs="Arial"/>
          <w:sz w:val="24"/>
        </w:rPr>
        <w:t xml:space="preserve"> seront poursuivies </w:t>
      </w:r>
      <w:r w:rsidRPr="00A473AF">
        <w:rPr>
          <w:rFonts w:ascii="Arial" w:hAnsi="Arial" w:cs="Arial"/>
          <w:sz w:val="24"/>
        </w:rPr>
        <w:lastRenderedPageBreak/>
        <w:t xml:space="preserve">en vue d’assurer une meilleure régularité des séances de vaccination. </w:t>
      </w:r>
      <w:r w:rsidR="00716976" w:rsidRPr="00A473AF">
        <w:rPr>
          <w:rFonts w:ascii="Arial" w:hAnsi="Arial" w:cs="Arial"/>
          <w:sz w:val="24"/>
        </w:rPr>
        <w:t xml:space="preserve">L’utilisation des </w:t>
      </w:r>
      <w:r w:rsidRPr="00A473AF">
        <w:rPr>
          <w:rFonts w:ascii="Arial" w:hAnsi="Arial" w:cs="Arial"/>
          <w:sz w:val="24"/>
        </w:rPr>
        <w:t xml:space="preserve">relais communautaires </w:t>
      </w:r>
      <w:r w:rsidR="00716976" w:rsidRPr="00A473AF">
        <w:rPr>
          <w:rFonts w:ascii="Arial" w:hAnsi="Arial" w:cs="Arial"/>
          <w:sz w:val="24"/>
        </w:rPr>
        <w:t>pour la recherche des perdus de vue sera également renforcée.</w:t>
      </w:r>
    </w:p>
    <w:p w:rsidR="0024463C" w:rsidRPr="00A473AF" w:rsidRDefault="0024463C" w:rsidP="00A473AF">
      <w:pPr>
        <w:pStyle w:val="Paragraphedeliste"/>
        <w:numPr>
          <w:ilvl w:val="0"/>
          <w:numId w:val="13"/>
        </w:numPr>
        <w:spacing w:before="120" w:after="120"/>
        <w:ind w:left="845" w:hanging="357"/>
        <w:contextualSpacing w:val="0"/>
        <w:jc w:val="both"/>
        <w:rPr>
          <w:rFonts w:ascii="Arial" w:hAnsi="Arial" w:cs="Arial"/>
          <w:b/>
          <w:sz w:val="24"/>
          <w:szCs w:val="24"/>
        </w:rPr>
      </w:pPr>
      <w:r w:rsidRPr="00A473AF">
        <w:rPr>
          <w:rFonts w:ascii="Arial" w:hAnsi="Arial" w:cs="Arial"/>
          <w:sz w:val="24"/>
          <w:szCs w:val="24"/>
          <w:u w:val="single"/>
        </w:rPr>
        <w:t xml:space="preserve">Vaccination des </w:t>
      </w:r>
      <w:r w:rsidRPr="00A473AF">
        <w:rPr>
          <w:rFonts w:ascii="Arial" w:hAnsi="Arial" w:cs="Arial"/>
          <w:sz w:val="24"/>
          <w:u w:val="single"/>
        </w:rPr>
        <w:t>populations</w:t>
      </w:r>
      <w:r w:rsidRPr="00A473AF">
        <w:rPr>
          <w:rFonts w:ascii="Arial" w:hAnsi="Arial" w:cs="Arial"/>
          <w:sz w:val="24"/>
          <w:szCs w:val="24"/>
          <w:u w:val="single"/>
        </w:rPr>
        <w:t xml:space="preserve"> d’accès difficile</w:t>
      </w:r>
      <w:r w:rsidRPr="00A473AF">
        <w:rPr>
          <w:rFonts w:ascii="Arial" w:hAnsi="Arial" w:cs="Arial"/>
          <w:sz w:val="24"/>
          <w:szCs w:val="24"/>
        </w:rPr>
        <w:t> : La vaccination des populations nomades et insulaires reste un grand défi : les activités spéciales de vaccination pour ces populations, déjà  en cours depuis deux ans, seront poursuivies. Cependant des efforts financier</w:t>
      </w:r>
      <w:r w:rsidR="00716976" w:rsidRPr="00A473AF">
        <w:rPr>
          <w:rFonts w:ascii="Arial" w:hAnsi="Arial" w:cs="Arial"/>
          <w:sz w:val="24"/>
          <w:szCs w:val="24"/>
        </w:rPr>
        <w:t xml:space="preserve">s supplémentaires de la part de l’Etat </w:t>
      </w:r>
      <w:r w:rsidRPr="00A473AF">
        <w:rPr>
          <w:rFonts w:ascii="Arial" w:hAnsi="Arial" w:cs="Arial"/>
          <w:sz w:val="24"/>
          <w:szCs w:val="24"/>
        </w:rPr>
        <w:t>et des partenaires sont nécessaires pour la mise en œuvre de ces activités spéciales de vaccination</w:t>
      </w:r>
      <w:r w:rsidR="00716976" w:rsidRPr="00A473AF">
        <w:rPr>
          <w:rFonts w:ascii="Arial" w:hAnsi="Arial" w:cs="Arial"/>
          <w:sz w:val="24"/>
          <w:szCs w:val="24"/>
        </w:rPr>
        <w:t>.</w:t>
      </w:r>
    </w:p>
    <w:p w:rsidR="006366AB" w:rsidRPr="00A473AF" w:rsidRDefault="006366AB" w:rsidP="00A473AF">
      <w:pPr>
        <w:pStyle w:val="Paragraphedeliste"/>
        <w:numPr>
          <w:ilvl w:val="0"/>
          <w:numId w:val="13"/>
        </w:numPr>
        <w:spacing w:before="120" w:after="120"/>
        <w:ind w:left="845" w:hanging="357"/>
        <w:contextualSpacing w:val="0"/>
        <w:jc w:val="both"/>
        <w:rPr>
          <w:rFonts w:ascii="Arial" w:hAnsi="Arial" w:cs="Arial"/>
          <w:sz w:val="24"/>
          <w:szCs w:val="24"/>
        </w:rPr>
      </w:pPr>
      <w:r w:rsidRPr="00A473AF">
        <w:rPr>
          <w:rFonts w:ascii="Arial" w:hAnsi="Arial" w:cs="Arial"/>
          <w:sz w:val="24"/>
          <w:szCs w:val="24"/>
          <w:u w:val="single"/>
        </w:rPr>
        <w:t xml:space="preserve">Acquisition et </w:t>
      </w:r>
      <w:r w:rsidRPr="00A473AF">
        <w:rPr>
          <w:rFonts w:ascii="Arial" w:hAnsi="Arial" w:cs="Arial"/>
          <w:sz w:val="24"/>
          <w:u w:val="single"/>
        </w:rPr>
        <w:t>installation</w:t>
      </w:r>
      <w:r w:rsidRPr="00A473AF">
        <w:rPr>
          <w:rFonts w:ascii="Arial" w:hAnsi="Arial" w:cs="Arial"/>
          <w:sz w:val="24"/>
          <w:szCs w:val="24"/>
          <w:u w:val="single"/>
        </w:rPr>
        <w:t xml:space="preserve"> équipements logistiques dans les délais</w:t>
      </w:r>
      <w:r w:rsidR="00BE333E" w:rsidRPr="00A473AF">
        <w:rPr>
          <w:rFonts w:ascii="Arial" w:hAnsi="Arial" w:cs="Arial"/>
          <w:sz w:val="24"/>
          <w:szCs w:val="24"/>
        </w:rPr>
        <w:t xml:space="preserve"> : </w:t>
      </w:r>
    </w:p>
    <w:p w:rsidR="0024463C" w:rsidRPr="00A473AF" w:rsidRDefault="00716976" w:rsidP="00AE360E">
      <w:pPr>
        <w:pStyle w:val="Paragraphedeliste"/>
        <w:spacing w:after="120"/>
        <w:ind w:left="850"/>
        <w:jc w:val="both"/>
        <w:rPr>
          <w:rFonts w:ascii="Arial" w:hAnsi="Arial" w:cs="Arial"/>
          <w:sz w:val="24"/>
          <w:szCs w:val="24"/>
        </w:rPr>
      </w:pPr>
      <w:r w:rsidRPr="00A473AF">
        <w:rPr>
          <w:rFonts w:ascii="Arial" w:hAnsi="Arial" w:cs="Arial"/>
          <w:sz w:val="24"/>
          <w:szCs w:val="24"/>
        </w:rPr>
        <w:t>Un</w:t>
      </w:r>
      <w:r w:rsidR="006366AB" w:rsidRPr="00A473AF">
        <w:rPr>
          <w:rFonts w:ascii="Arial" w:hAnsi="Arial" w:cs="Arial"/>
          <w:sz w:val="24"/>
          <w:szCs w:val="24"/>
        </w:rPr>
        <w:t xml:space="preserve"> su</w:t>
      </w:r>
      <w:r w:rsidRPr="00A473AF">
        <w:rPr>
          <w:rFonts w:ascii="Arial" w:hAnsi="Arial" w:cs="Arial"/>
          <w:sz w:val="24"/>
          <w:szCs w:val="24"/>
        </w:rPr>
        <w:t>ivi plus régulier des acquisitions</w:t>
      </w:r>
      <w:r w:rsidR="006366AB" w:rsidRPr="00A473AF">
        <w:rPr>
          <w:rFonts w:ascii="Arial" w:hAnsi="Arial" w:cs="Arial"/>
          <w:sz w:val="24"/>
          <w:szCs w:val="24"/>
        </w:rPr>
        <w:t xml:space="preserve"> sera fait par le CTA-PEV pour s’assurer de la mise en œuvre correcte des activités prévues pour éviter tout retard dans l’acquisition et l’installation des équipements. </w:t>
      </w:r>
      <w:r w:rsidRPr="00A473AF">
        <w:rPr>
          <w:rFonts w:ascii="Arial" w:hAnsi="Arial" w:cs="Arial"/>
          <w:sz w:val="24"/>
          <w:szCs w:val="24"/>
        </w:rPr>
        <w:t>Un plaidoyer sera fait au CCIA si cela s’avère nécessaire pour lever d’éventuels goulots d’étranglements.</w:t>
      </w:r>
    </w:p>
    <w:p w:rsidR="006E07E8" w:rsidRPr="00AE360E" w:rsidRDefault="006E07E8" w:rsidP="00AE360E">
      <w:pPr>
        <w:jc w:val="both"/>
        <w:rPr>
          <w:rFonts w:ascii="Arial" w:eastAsia="SimSun" w:hAnsi="Arial" w:cs="Arial"/>
          <w:color w:val="FF0000"/>
          <w:sz w:val="28"/>
          <w:szCs w:val="28"/>
          <w:lang w:eastAsia="en-GB"/>
        </w:rPr>
      </w:pPr>
      <w:r w:rsidRPr="00AE360E">
        <w:rPr>
          <w:rFonts w:ascii="Arial" w:eastAsia="SimSun" w:hAnsi="Arial" w:cs="Arial"/>
          <w:color w:val="FF0000"/>
          <w:sz w:val="28"/>
          <w:szCs w:val="28"/>
          <w:lang w:eastAsia="en-GB"/>
        </w:rPr>
        <w:br w:type="page"/>
      </w:r>
    </w:p>
    <w:p w:rsidR="0035449F" w:rsidRPr="00AE360E" w:rsidRDefault="00B078BB" w:rsidP="00AE360E">
      <w:pPr>
        <w:pStyle w:val="Style2"/>
        <w:spacing w:line="276" w:lineRule="auto"/>
        <w:jc w:val="both"/>
        <w:rPr>
          <w:rFonts w:ascii="Arial" w:eastAsia="SimSun" w:hAnsi="Arial" w:cs="Arial"/>
          <w:color w:val="auto"/>
          <w:sz w:val="32"/>
          <w:lang w:val="fr-FR"/>
        </w:rPr>
      </w:pPr>
      <w:bookmarkStart w:id="0" w:name="_Toc397522407"/>
      <w:r w:rsidRPr="00AE360E">
        <w:rPr>
          <w:rFonts w:ascii="Arial" w:eastAsia="SimSun" w:hAnsi="Arial" w:cs="Arial"/>
          <w:color w:val="auto"/>
          <w:sz w:val="32"/>
          <w:lang w:val="fr-FR"/>
        </w:rPr>
        <w:lastRenderedPageBreak/>
        <w:t>Justification de l’introduction du VPI et processus décisionnel national</w:t>
      </w:r>
      <w:r w:rsidR="00C81E0C" w:rsidRPr="00AE360E">
        <w:rPr>
          <w:rFonts w:ascii="Arial" w:eastAsia="SimSun" w:hAnsi="Arial" w:cs="Arial"/>
          <w:color w:val="auto"/>
          <w:sz w:val="32"/>
          <w:lang w:val="fr-FR"/>
        </w:rPr>
        <w:t>.</w:t>
      </w:r>
      <w:bookmarkEnd w:id="0"/>
    </w:p>
    <w:p w:rsidR="00C81E0C" w:rsidRPr="00AE360E" w:rsidRDefault="004369B8" w:rsidP="00AE360E">
      <w:pPr>
        <w:autoSpaceDE w:val="0"/>
        <w:autoSpaceDN w:val="0"/>
        <w:adjustRightInd w:val="0"/>
        <w:spacing w:before="120" w:after="0"/>
        <w:jc w:val="both"/>
        <w:rPr>
          <w:rFonts w:ascii="Arial" w:hAnsi="Arial" w:cs="Arial"/>
          <w:sz w:val="24"/>
          <w:szCs w:val="24"/>
        </w:rPr>
      </w:pPr>
      <w:r w:rsidRPr="00AE360E">
        <w:rPr>
          <w:rFonts w:ascii="Arial" w:hAnsi="Arial" w:cs="Arial"/>
          <w:sz w:val="24"/>
          <w:szCs w:val="24"/>
        </w:rPr>
        <w:t>En réponse à la déclaration de l’Assemblée mondiale de la Santé (AMS) de 2012 faisant de l’éradication de la poliomyélite une urgence de santé publique mondiale, le Plan stratégique pour l’éradication de la poliomyélite et la phase finale 2013-2018 a été mis au point. Ce plan</w:t>
      </w:r>
      <w:r w:rsidR="00802E93" w:rsidRPr="00AE360E">
        <w:rPr>
          <w:rFonts w:ascii="Arial" w:hAnsi="Arial" w:cs="Arial"/>
          <w:sz w:val="24"/>
          <w:szCs w:val="24"/>
        </w:rPr>
        <w:t xml:space="preserve">  prévoit de s’atteler simultanément à </w:t>
      </w:r>
      <w:r w:rsidR="00EA555C" w:rsidRPr="00AE360E">
        <w:rPr>
          <w:rFonts w:ascii="Arial" w:hAnsi="Arial" w:cs="Arial"/>
          <w:sz w:val="24"/>
          <w:szCs w:val="24"/>
        </w:rPr>
        <w:t>l’éradication de tous les poliovirus qu’ils soient sauvages, dérivés de la souche vaccinale ou associés au vaccin.</w:t>
      </w:r>
    </w:p>
    <w:p w:rsidR="00C81E0C" w:rsidRPr="00AE360E" w:rsidRDefault="003C3E5D" w:rsidP="00AE360E">
      <w:pPr>
        <w:autoSpaceDE w:val="0"/>
        <w:autoSpaceDN w:val="0"/>
        <w:adjustRightInd w:val="0"/>
        <w:spacing w:before="120" w:after="120"/>
        <w:jc w:val="both"/>
        <w:rPr>
          <w:rFonts w:ascii="Arial" w:hAnsi="Arial" w:cs="Arial"/>
          <w:sz w:val="24"/>
          <w:szCs w:val="24"/>
        </w:rPr>
      </w:pPr>
      <w:r w:rsidRPr="00AE360E">
        <w:rPr>
          <w:rFonts w:ascii="Arial" w:hAnsi="Arial" w:cs="Arial"/>
          <w:sz w:val="24"/>
          <w:szCs w:val="24"/>
        </w:rPr>
        <w:t>En m</w:t>
      </w:r>
      <w:r w:rsidR="00802E93" w:rsidRPr="00AE360E">
        <w:rPr>
          <w:rFonts w:ascii="Arial" w:hAnsi="Arial" w:cs="Arial"/>
          <w:sz w:val="24"/>
          <w:szCs w:val="24"/>
        </w:rPr>
        <w:t>ai 2013, l’Assemblée mondiale de la Santé a adopté ce nouveau Plan Stratégique pour l’Eradication de la Poliomyélite qui, dans son objectif numéro deux</w:t>
      </w:r>
      <w:r w:rsidR="004369B8" w:rsidRPr="00AE360E">
        <w:rPr>
          <w:rFonts w:ascii="Arial" w:hAnsi="Arial" w:cs="Arial"/>
          <w:sz w:val="24"/>
          <w:szCs w:val="24"/>
        </w:rPr>
        <w:t>, vise le renforcement des systèmes de vaccination de routine, l’introductiondu vaccin</w:t>
      </w:r>
      <w:r w:rsidR="00DE3D93" w:rsidRPr="00AE360E">
        <w:rPr>
          <w:rFonts w:ascii="Arial" w:hAnsi="Arial" w:cs="Arial"/>
          <w:sz w:val="24"/>
          <w:szCs w:val="24"/>
        </w:rPr>
        <w:t xml:space="preserve"> a</w:t>
      </w:r>
      <w:r w:rsidR="004369B8" w:rsidRPr="00AE360E">
        <w:rPr>
          <w:rFonts w:ascii="Arial" w:hAnsi="Arial" w:cs="Arial"/>
          <w:sz w:val="24"/>
          <w:szCs w:val="24"/>
        </w:rPr>
        <w:t>ntipoliomyélitique inactivé (VPI)</w:t>
      </w:r>
      <w:r w:rsidR="00A23B1C" w:rsidRPr="00AE360E">
        <w:rPr>
          <w:rFonts w:ascii="Arial" w:hAnsi="Arial" w:cs="Arial"/>
          <w:sz w:val="24"/>
          <w:szCs w:val="24"/>
        </w:rPr>
        <w:t xml:space="preserve">et </w:t>
      </w:r>
      <w:r w:rsidR="004369B8" w:rsidRPr="00AE360E">
        <w:rPr>
          <w:rFonts w:ascii="Arial" w:hAnsi="Arial" w:cs="Arial"/>
          <w:sz w:val="24"/>
          <w:szCs w:val="24"/>
        </w:rPr>
        <w:t>le retrait des vaccins antipoliomyélitiques oraux (VPO)</w:t>
      </w:r>
      <w:r w:rsidR="00A23B1C" w:rsidRPr="00AE360E">
        <w:rPr>
          <w:rFonts w:ascii="Arial" w:hAnsi="Arial" w:cs="Arial"/>
          <w:sz w:val="24"/>
          <w:szCs w:val="24"/>
        </w:rPr>
        <w:t>. En novembre 2013, le Groupe Stratégique Consultatif d’Experts sur la vaccination (SAGE) a recommandé d’ajouter au moins une dose de VPI dans les programmes de vaccination systématique.</w:t>
      </w:r>
    </w:p>
    <w:p w:rsidR="008E4D9C" w:rsidRPr="00AE360E" w:rsidRDefault="008E4D9C" w:rsidP="00AE360E">
      <w:pPr>
        <w:autoSpaceDE w:val="0"/>
        <w:autoSpaceDN w:val="0"/>
        <w:adjustRightInd w:val="0"/>
        <w:spacing w:before="120" w:after="120"/>
        <w:jc w:val="both"/>
        <w:rPr>
          <w:rFonts w:ascii="Arial" w:hAnsi="Arial" w:cs="Arial"/>
          <w:sz w:val="24"/>
          <w:szCs w:val="24"/>
        </w:rPr>
      </w:pPr>
      <w:r w:rsidRPr="00AE360E">
        <w:rPr>
          <w:rFonts w:ascii="Arial" w:hAnsi="Arial" w:cs="Arial"/>
          <w:sz w:val="24"/>
          <w:szCs w:val="24"/>
        </w:rPr>
        <w:t xml:space="preserve">L’introduction du VPI est d’autant plus justifiée dans le contexte du Tchad, que le pays a fait face </w:t>
      </w:r>
      <w:r w:rsidR="00D54EFD" w:rsidRPr="00AE360E">
        <w:rPr>
          <w:rFonts w:ascii="Arial" w:hAnsi="Arial" w:cs="Arial"/>
          <w:sz w:val="24"/>
          <w:szCs w:val="24"/>
        </w:rPr>
        <w:t xml:space="preserve">entre </w:t>
      </w:r>
      <w:r w:rsidR="00891028" w:rsidRPr="00AE360E">
        <w:rPr>
          <w:rFonts w:ascii="Arial" w:hAnsi="Arial" w:cs="Arial"/>
          <w:sz w:val="24"/>
          <w:szCs w:val="24"/>
        </w:rPr>
        <w:t>2010 et</w:t>
      </w:r>
      <w:r w:rsidRPr="00AE360E">
        <w:rPr>
          <w:rFonts w:ascii="Arial" w:hAnsi="Arial" w:cs="Arial"/>
          <w:sz w:val="24"/>
          <w:szCs w:val="24"/>
        </w:rPr>
        <w:t xml:space="preserve"> 2012 à une épidémie de poliomyélite.</w:t>
      </w:r>
      <w:r w:rsidR="00EA555C" w:rsidRPr="00AE360E">
        <w:rPr>
          <w:rFonts w:ascii="Arial" w:hAnsi="Arial" w:cs="Arial"/>
          <w:sz w:val="24"/>
          <w:szCs w:val="24"/>
        </w:rPr>
        <w:t xml:space="preserve"> En effet, l</w:t>
      </w:r>
      <w:r w:rsidRPr="00AE360E">
        <w:rPr>
          <w:rFonts w:ascii="Arial" w:hAnsi="Arial" w:cs="Arial"/>
          <w:sz w:val="24"/>
          <w:szCs w:val="24"/>
        </w:rPr>
        <w:t xml:space="preserve">e Tchad a déclaré </w:t>
      </w:r>
      <w:r w:rsidR="00BE333E" w:rsidRPr="00AE360E">
        <w:rPr>
          <w:rFonts w:ascii="Arial" w:hAnsi="Arial" w:cs="Arial"/>
          <w:sz w:val="24"/>
          <w:szCs w:val="24"/>
        </w:rPr>
        <w:t xml:space="preserve">26 </w:t>
      </w:r>
      <w:r w:rsidRPr="00AE360E">
        <w:rPr>
          <w:rFonts w:ascii="Arial" w:hAnsi="Arial" w:cs="Arial"/>
          <w:sz w:val="24"/>
          <w:szCs w:val="24"/>
        </w:rPr>
        <w:t>cas de PVS en 2010, 132 cas en 2011 et 5 cas en 2012.</w:t>
      </w:r>
    </w:p>
    <w:p w:rsidR="008E4D9C" w:rsidRPr="00AE360E" w:rsidRDefault="008E4D9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Aussi, des cas de poliovirus circulants dérivés de la souche vaccinale de type 2 (cVDPV) ont été détectés dans le pays en 2010 (1cas</w:t>
      </w:r>
      <w:r w:rsidR="00E95A0E" w:rsidRPr="00AE360E">
        <w:rPr>
          <w:rFonts w:ascii="Arial" w:hAnsi="Arial" w:cs="Arial"/>
          <w:sz w:val="24"/>
          <w:szCs w:val="24"/>
        </w:rPr>
        <w:t>),</w:t>
      </w:r>
      <w:r w:rsidRPr="00AE360E">
        <w:rPr>
          <w:rFonts w:ascii="Arial" w:hAnsi="Arial" w:cs="Arial"/>
          <w:sz w:val="24"/>
          <w:szCs w:val="24"/>
        </w:rPr>
        <w:t xml:space="preserve"> en 2012 (12 cas) et en 2013 (</w:t>
      </w:r>
      <w:r w:rsidR="00E95A0E" w:rsidRPr="00AE360E">
        <w:rPr>
          <w:rFonts w:ascii="Arial" w:hAnsi="Arial" w:cs="Arial"/>
          <w:sz w:val="24"/>
          <w:szCs w:val="24"/>
        </w:rPr>
        <w:t>4 cas).</w:t>
      </w:r>
    </w:p>
    <w:p w:rsidR="00E95A0E" w:rsidRPr="00AE360E" w:rsidRDefault="00E95A0E" w:rsidP="00AE360E">
      <w:pPr>
        <w:autoSpaceDE w:val="0"/>
        <w:autoSpaceDN w:val="0"/>
        <w:adjustRightInd w:val="0"/>
        <w:spacing w:before="120" w:after="120"/>
        <w:jc w:val="both"/>
        <w:rPr>
          <w:rFonts w:ascii="Arial" w:hAnsi="Arial" w:cs="Arial"/>
          <w:sz w:val="24"/>
          <w:szCs w:val="24"/>
        </w:rPr>
      </w:pPr>
      <w:r w:rsidRPr="00AE360E">
        <w:rPr>
          <w:rFonts w:ascii="Arial" w:hAnsi="Arial" w:cs="Arial"/>
          <w:sz w:val="24"/>
          <w:szCs w:val="24"/>
        </w:rPr>
        <w:t xml:space="preserve">Depuis le pays a fait des progrès notables  en arrêtant la circulation du poliovirus ; en effet le dernier cas de PVS a été notifié en juin 2012 et le dernier cas de c DVPV en mai 2013. </w:t>
      </w:r>
    </w:p>
    <w:p w:rsidR="008E4D9C" w:rsidRPr="00AE360E" w:rsidRDefault="00E95A0E"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L’introduction du VPI </w:t>
      </w:r>
      <w:r w:rsidR="00017A4F" w:rsidRPr="00AE360E">
        <w:rPr>
          <w:rFonts w:ascii="Arial" w:hAnsi="Arial" w:cs="Arial"/>
          <w:sz w:val="24"/>
          <w:szCs w:val="24"/>
        </w:rPr>
        <w:t xml:space="preserve"> dans</w:t>
      </w:r>
      <w:r w:rsidR="00EA555C" w:rsidRPr="00AE360E">
        <w:rPr>
          <w:rFonts w:ascii="Arial" w:hAnsi="Arial" w:cs="Arial"/>
          <w:sz w:val="24"/>
          <w:szCs w:val="24"/>
        </w:rPr>
        <w:t xml:space="preserve"> le PEV systématique </w:t>
      </w:r>
      <w:r w:rsidR="00CC116D" w:rsidRPr="00AE360E">
        <w:rPr>
          <w:rFonts w:ascii="Arial" w:hAnsi="Arial" w:cs="Arial"/>
          <w:sz w:val="24"/>
          <w:szCs w:val="24"/>
        </w:rPr>
        <w:t>en</w:t>
      </w:r>
      <w:r w:rsidR="00017A4F" w:rsidRPr="00AE360E">
        <w:rPr>
          <w:rFonts w:ascii="Arial" w:hAnsi="Arial" w:cs="Arial"/>
          <w:sz w:val="24"/>
          <w:szCs w:val="24"/>
        </w:rPr>
        <w:t xml:space="preserve"> association avec le VPO  </w:t>
      </w:r>
      <w:r w:rsidRPr="00AE360E">
        <w:rPr>
          <w:rFonts w:ascii="Arial" w:hAnsi="Arial" w:cs="Arial"/>
          <w:sz w:val="24"/>
          <w:szCs w:val="24"/>
        </w:rPr>
        <w:t xml:space="preserve">permettra de </w:t>
      </w:r>
      <w:r w:rsidR="00CC116D" w:rsidRPr="00AE360E">
        <w:rPr>
          <w:rFonts w:ascii="Arial" w:hAnsi="Arial" w:cs="Arial"/>
          <w:sz w:val="24"/>
          <w:szCs w:val="24"/>
        </w:rPr>
        <w:t xml:space="preserve"> renforcer l’immunité contre les poliovirus et de </w:t>
      </w:r>
      <w:r w:rsidR="00017A4F" w:rsidRPr="00AE360E">
        <w:rPr>
          <w:rFonts w:ascii="Arial" w:hAnsi="Arial" w:cs="Arial"/>
          <w:sz w:val="24"/>
          <w:szCs w:val="24"/>
        </w:rPr>
        <w:t xml:space="preserve">consolider </w:t>
      </w:r>
      <w:r w:rsidRPr="00AE360E">
        <w:rPr>
          <w:rFonts w:ascii="Arial" w:hAnsi="Arial" w:cs="Arial"/>
          <w:sz w:val="24"/>
          <w:szCs w:val="24"/>
        </w:rPr>
        <w:t xml:space="preserve"> l’arrêt de </w:t>
      </w:r>
      <w:r w:rsidR="00CC116D" w:rsidRPr="00AE360E">
        <w:rPr>
          <w:rFonts w:ascii="Arial" w:hAnsi="Arial" w:cs="Arial"/>
          <w:sz w:val="24"/>
          <w:szCs w:val="24"/>
        </w:rPr>
        <w:t>la</w:t>
      </w:r>
      <w:r w:rsidRPr="00AE360E">
        <w:rPr>
          <w:rFonts w:ascii="Arial" w:hAnsi="Arial" w:cs="Arial"/>
          <w:sz w:val="24"/>
          <w:szCs w:val="24"/>
        </w:rPr>
        <w:t>circulation des poliovirus sauvages et poliovir</w:t>
      </w:r>
      <w:r w:rsidR="00017A4F" w:rsidRPr="00AE360E">
        <w:rPr>
          <w:rFonts w:ascii="Arial" w:hAnsi="Arial" w:cs="Arial"/>
          <w:sz w:val="24"/>
          <w:szCs w:val="24"/>
        </w:rPr>
        <w:t>us dérivés du vaccin oral, avant le passage du vaccin oral trivalent au vaccin bivalent prévu en 2016.</w:t>
      </w:r>
    </w:p>
    <w:p w:rsidR="008E4D9C" w:rsidRPr="00AE360E" w:rsidRDefault="00985B20"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Cette introduction du VPI sera une excellente occasion pour le renforcement du PEV de routine à travers le renforcement des capacités du personnel, le plaidoyer et la communication, l’amélioration continue de la qualité des données  et du monitorage des activités de vaccination.</w:t>
      </w:r>
    </w:p>
    <w:p w:rsidR="0035449F" w:rsidRPr="00AE360E" w:rsidRDefault="002E17AF" w:rsidP="00AE360E">
      <w:pPr>
        <w:pStyle w:val="Paragraphedeliste"/>
        <w:numPr>
          <w:ilvl w:val="0"/>
          <w:numId w:val="17"/>
        </w:numPr>
        <w:spacing w:before="240" w:after="0"/>
        <w:ind w:right="115"/>
        <w:jc w:val="both"/>
        <w:rPr>
          <w:rFonts w:ascii="Arial" w:hAnsi="Arial" w:cs="Arial"/>
          <w:b/>
          <w:sz w:val="24"/>
          <w:szCs w:val="24"/>
        </w:rPr>
      </w:pPr>
      <w:r w:rsidRPr="00AE360E">
        <w:rPr>
          <w:rFonts w:ascii="Arial" w:hAnsi="Arial" w:cs="Arial"/>
          <w:b/>
          <w:sz w:val="24"/>
          <w:szCs w:val="24"/>
        </w:rPr>
        <w:t>E</w:t>
      </w:r>
      <w:r w:rsidR="0035449F" w:rsidRPr="00AE360E">
        <w:rPr>
          <w:rFonts w:ascii="Arial" w:hAnsi="Arial" w:cs="Arial"/>
          <w:b/>
          <w:sz w:val="24"/>
          <w:szCs w:val="24"/>
        </w:rPr>
        <w:t>xpérience acquise par le pays en matière d’introduc</w:t>
      </w:r>
      <w:r w:rsidRPr="00AE360E">
        <w:rPr>
          <w:rFonts w:ascii="Arial" w:hAnsi="Arial" w:cs="Arial"/>
          <w:b/>
          <w:sz w:val="24"/>
          <w:szCs w:val="24"/>
        </w:rPr>
        <w:t>tion d’autres nouveaux vaccins et leçons apprises.</w:t>
      </w:r>
    </w:p>
    <w:p w:rsidR="00200001" w:rsidRPr="00AE360E" w:rsidRDefault="00200001" w:rsidP="00AE360E">
      <w:pPr>
        <w:spacing w:before="120" w:after="120"/>
        <w:jc w:val="both"/>
        <w:rPr>
          <w:rFonts w:ascii="Arial" w:hAnsi="Arial" w:cs="Arial"/>
        </w:rPr>
      </w:pPr>
      <w:r w:rsidRPr="00AE360E">
        <w:rPr>
          <w:rFonts w:ascii="Arial" w:hAnsi="Arial" w:cs="Arial"/>
          <w:sz w:val="24"/>
          <w:szCs w:val="24"/>
        </w:rPr>
        <w:t xml:space="preserve">Le Tchad, avec l’appui de GAVI, a introduit le vaccin pentavalent en 2008 sur toute l’étendue du territoire </w:t>
      </w:r>
      <w:r w:rsidRPr="00AE360E">
        <w:rPr>
          <w:rFonts w:ascii="Arial" w:hAnsi="Arial" w:cs="Arial"/>
        </w:rPr>
        <w:t>national.</w:t>
      </w:r>
    </w:p>
    <w:p w:rsidR="001675DC" w:rsidRPr="00E03D56" w:rsidRDefault="00CD497E" w:rsidP="00AE360E">
      <w:pPr>
        <w:spacing w:after="120"/>
        <w:jc w:val="both"/>
        <w:rPr>
          <w:rFonts w:ascii="Arial" w:hAnsi="Arial" w:cs="Arial"/>
          <w:sz w:val="24"/>
          <w:szCs w:val="24"/>
        </w:rPr>
      </w:pPr>
      <w:r w:rsidRPr="00E03D56">
        <w:rPr>
          <w:rFonts w:ascii="Arial" w:hAnsi="Arial" w:cs="Arial"/>
          <w:sz w:val="24"/>
        </w:rPr>
        <w:t>L’évaluation post introduction</w:t>
      </w:r>
      <w:r w:rsidR="00D54EFD" w:rsidRPr="00E03D56">
        <w:rPr>
          <w:rFonts w:ascii="Arial" w:hAnsi="Arial" w:cs="Arial"/>
          <w:sz w:val="24"/>
        </w:rPr>
        <w:t xml:space="preserve"> du pentavalent</w:t>
      </w:r>
      <w:r w:rsidRPr="00E03D56">
        <w:rPr>
          <w:rFonts w:ascii="Arial" w:hAnsi="Arial" w:cs="Arial"/>
          <w:sz w:val="24"/>
        </w:rPr>
        <w:t xml:space="preserve">, réalisée en avril 2009, avait </w:t>
      </w:r>
      <w:r w:rsidR="007B5032" w:rsidRPr="00E03D56">
        <w:rPr>
          <w:rFonts w:ascii="Arial" w:hAnsi="Arial" w:cs="Arial"/>
          <w:sz w:val="24"/>
        </w:rPr>
        <w:t>montré</w:t>
      </w:r>
      <w:r w:rsidRPr="00E03D56">
        <w:rPr>
          <w:rFonts w:ascii="Arial" w:hAnsi="Arial" w:cs="Arial"/>
          <w:sz w:val="24"/>
        </w:rPr>
        <w:t xml:space="preserve"> l’implication des autorités au plus haut niveau. La révision de la politique nationale de </w:t>
      </w:r>
      <w:r w:rsidRPr="00E03D56">
        <w:rPr>
          <w:rFonts w:ascii="Arial" w:hAnsi="Arial" w:cs="Arial"/>
          <w:sz w:val="24"/>
        </w:rPr>
        <w:lastRenderedPageBreak/>
        <w:t xml:space="preserve">vaccination et des outils de gestion et la cérémonie de lancement, présidée par la </w:t>
      </w:r>
      <w:r w:rsidRPr="00E03D56">
        <w:rPr>
          <w:rFonts w:ascii="Arial" w:hAnsi="Arial" w:cs="Arial"/>
          <w:sz w:val="24"/>
          <w:szCs w:val="24"/>
        </w:rPr>
        <w:t>première dame ont été des facteurs de succès</w:t>
      </w:r>
      <w:r w:rsidR="001675DC" w:rsidRPr="00E03D56">
        <w:rPr>
          <w:rFonts w:ascii="Arial" w:hAnsi="Arial" w:cs="Arial"/>
          <w:sz w:val="24"/>
          <w:szCs w:val="24"/>
        </w:rPr>
        <w:t>.</w:t>
      </w:r>
    </w:p>
    <w:p w:rsidR="001675DC" w:rsidRPr="00E03D56" w:rsidRDefault="007B5032" w:rsidP="00AE360E">
      <w:pPr>
        <w:spacing w:after="120"/>
        <w:jc w:val="both"/>
        <w:rPr>
          <w:rFonts w:ascii="Arial" w:hAnsi="Arial" w:cs="Arial"/>
          <w:sz w:val="24"/>
          <w:szCs w:val="24"/>
        </w:rPr>
      </w:pPr>
      <w:r w:rsidRPr="00E03D56">
        <w:rPr>
          <w:rFonts w:ascii="Arial" w:hAnsi="Arial" w:cs="Arial"/>
          <w:sz w:val="24"/>
          <w:szCs w:val="24"/>
        </w:rPr>
        <w:t>Elle a aussi souligné, toutefois,</w:t>
      </w:r>
      <w:r w:rsidR="001675DC" w:rsidRPr="00E03D56">
        <w:rPr>
          <w:rFonts w:ascii="Arial" w:hAnsi="Arial" w:cs="Arial"/>
          <w:sz w:val="24"/>
          <w:szCs w:val="24"/>
        </w:rPr>
        <w:t xml:space="preserve"> pour une prochaine introductionde :</w:t>
      </w:r>
    </w:p>
    <w:p w:rsidR="001675DC" w:rsidRPr="00E03D56" w:rsidRDefault="00E607AF" w:rsidP="00AE360E">
      <w:pPr>
        <w:pStyle w:val="Paragraphedeliste"/>
        <w:numPr>
          <w:ilvl w:val="0"/>
          <w:numId w:val="5"/>
        </w:numPr>
        <w:spacing w:after="120"/>
        <w:jc w:val="both"/>
        <w:rPr>
          <w:rFonts w:ascii="Arial" w:eastAsia="SimSun" w:hAnsi="Arial" w:cs="Arial"/>
          <w:sz w:val="24"/>
          <w:szCs w:val="24"/>
          <w:lang w:eastAsia="en-GB"/>
        </w:rPr>
      </w:pPr>
      <w:r w:rsidRPr="00E03D56">
        <w:rPr>
          <w:rFonts w:ascii="Arial" w:eastAsia="SimSun" w:hAnsi="Arial" w:cs="Arial"/>
          <w:sz w:val="24"/>
          <w:szCs w:val="24"/>
          <w:lang w:eastAsia="en-GB"/>
        </w:rPr>
        <w:t>d</w:t>
      </w:r>
      <w:r w:rsidR="001675DC" w:rsidRPr="00E03D56">
        <w:rPr>
          <w:rFonts w:ascii="Arial" w:eastAsia="SimSun" w:hAnsi="Arial" w:cs="Arial"/>
          <w:sz w:val="24"/>
          <w:szCs w:val="24"/>
          <w:lang w:eastAsia="en-GB"/>
        </w:rPr>
        <w:t>isposer d’un chronogramme détaillé des activités critiques ;</w:t>
      </w:r>
    </w:p>
    <w:p w:rsidR="001675DC" w:rsidRPr="00E03D56" w:rsidRDefault="00E607AF" w:rsidP="00AE360E">
      <w:pPr>
        <w:pStyle w:val="Paragraphedeliste"/>
        <w:numPr>
          <w:ilvl w:val="0"/>
          <w:numId w:val="5"/>
        </w:numPr>
        <w:spacing w:after="120"/>
        <w:jc w:val="both"/>
        <w:rPr>
          <w:rFonts w:ascii="Arial" w:eastAsia="SimSun" w:hAnsi="Arial" w:cs="Arial"/>
          <w:sz w:val="24"/>
          <w:szCs w:val="24"/>
          <w:lang w:eastAsia="en-GB"/>
        </w:rPr>
      </w:pPr>
      <w:r w:rsidRPr="00E03D56">
        <w:rPr>
          <w:rFonts w:ascii="Arial" w:eastAsia="SimSun" w:hAnsi="Arial" w:cs="Arial"/>
          <w:sz w:val="24"/>
          <w:szCs w:val="24"/>
          <w:lang w:eastAsia="en-GB"/>
        </w:rPr>
        <w:t>d</w:t>
      </w:r>
      <w:r w:rsidR="001675DC" w:rsidRPr="00E03D56">
        <w:rPr>
          <w:rFonts w:ascii="Arial" w:eastAsia="SimSun" w:hAnsi="Arial" w:cs="Arial"/>
          <w:sz w:val="24"/>
          <w:szCs w:val="24"/>
          <w:lang w:eastAsia="en-GB"/>
        </w:rPr>
        <w:t>’assurer  et de documenter la formation  de qualité du personnel notamment des agents vaccinateurs ;</w:t>
      </w:r>
    </w:p>
    <w:p w:rsidR="001675DC" w:rsidRPr="00E03D56" w:rsidRDefault="00E607AF" w:rsidP="00AE360E">
      <w:pPr>
        <w:pStyle w:val="Paragraphedeliste"/>
        <w:numPr>
          <w:ilvl w:val="0"/>
          <w:numId w:val="5"/>
        </w:numPr>
        <w:spacing w:after="120"/>
        <w:jc w:val="both"/>
        <w:rPr>
          <w:rFonts w:ascii="Arial" w:eastAsia="SimSun" w:hAnsi="Arial" w:cs="Arial"/>
          <w:sz w:val="24"/>
          <w:szCs w:val="24"/>
          <w:lang w:eastAsia="en-GB"/>
        </w:rPr>
      </w:pPr>
      <w:r w:rsidRPr="00E03D56">
        <w:rPr>
          <w:rFonts w:ascii="Arial" w:eastAsia="SimSun" w:hAnsi="Arial" w:cs="Arial"/>
          <w:sz w:val="24"/>
          <w:szCs w:val="24"/>
          <w:lang w:eastAsia="en-GB"/>
        </w:rPr>
        <w:t>d</w:t>
      </w:r>
      <w:r w:rsidR="001675DC" w:rsidRPr="00E03D56">
        <w:rPr>
          <w:rFonts w:ascii="Arial" w:eastAsia="SimSun" w:hAnsi="Arial" w:cs="Arial"/>
          <w:sz w:val="24"/>
          <w:szCs w:val="24"/>
          <w:lang w:eastAsia="en-GB"/>
        </w:rPr>
        <w:t>e mettre en place à temps et en quantité suffisante  tous les outils de gestion révisés jusqu’au niveau des centres de santé ;</w:t>
      </w:r>
    </w:p>
    <w:p w:rsidR="00E607AF" w:rsidRPr="00E03D56" w:rsidRDefault="00E607AF" w:rsidP="00AE360E">
      <w:pPr>
        <w:pStyle w:val="Paragraphedeliste"/>
        <w:numPr>
          <w:ilvl w:val="0"/>
          <w:numId w:val="5"/>
        </w:numPr>
        <w:spacing w:after="120"/>
        <w:jc w:val="both"/>
        <w:rPr>
          <w:rFonts w:ascii="Arial" w:eastAsia="SimSun" w:hAnsi="Arial" w:cs="Arial"/>
          <w:b/>
          <w:color w:val="FF0000"/>
          <w:sz w:val="24"/>
          <w:szCs w:val="24"/>
          <w:lang w:eastAsia="en-GB"/>
        </w:rPr>
      </w:pPr>
      <w:r w:rsidRPr="00E03D56">
        <w:rPr>
          <w:rFonts w:ascii="Arial" w:eastAsia="SimSun" w:hAnsi="Arial" w:cs="Arial"/>
          <w:sz w:val="24"/>
          <w:szCs w:val="24"/>
          <w:lang w:eastAsia="en-GB"/>
        </w:rPr>
        <w:t>d</w:t>
      </w:r>
      <w:r w:rsidR="001675DC" w:rsidRPr="00E03D56">
        <w:rPr>
          <w:rFonts w:ascii="Arial" w:eastAsia="SimSun" w:hAnsi="Arial" w:cs="Arial"/>
          <w:sz w:val="24"/>
          <w:szCs w:val="24"/>
          <w:lang w:eastAsia="en-GB"/>
        </w:rPr>
        <w:t>’assurer une supervision précoce des acteurs p</w:t>
      </w:r>
      <w:r w:rsidRPr="00E03D56">
        <w:rPr>
          <w:rFonts w:ascii="Arial" w:eastAsia="SimSun" w:hAnsi="Arial" w:cs="Arial"/>
          <w:sz w:val="24"/>
          <w:szCs w:val="24"/>
          <w:lang w:eastAsia="en-GB"/>
        </w:rPr>
        <w:t>endant la phase d’introduction</w:t>
      </w:r>
      <w:r w:rsidRPr="00E03D56">
        <w:rPr>
          <w:rFonts w:ascii="Arial" w:eastAsia="SimSun" w:hAnsi="Arial" w:cs="Arial"/>
          <w:b/>
          <w:color w:val="FF0000"/>
          <w:sz w:val="24"/>
          <w:szCs w:val="24"/>
          <w:lang w:eastAsia="en-GB"/>
        </w:rPr>
        <w:t>.</w:t>
      </w:r>
    </w:p>
    <w:p w:rsidR="0035449F" w:rsidRPr="00E03D56" w:rsidRDefault="007B5032" w:rsidP="00AE360E">
      <w:pPr>
        <w:spacing w:after="120"/>
        <w:jc w:val="both"/>
        <w:rPr>
          <w:rFonts w:ascii="Arial" w:hAnsi="Arial" w:cs="Arial"/>
          <w:sz w:val="24"/>
          <w:szCs w:val="24"/>
        </w:rPr>
      </w:pPr>
      <w:r w:rsidRPr="00E03D56">
        <w:rPr>
          <w:rFonts w:ascii="Arial" w:hAnsi="Arial" w:cs="Arial"/>
          <w:sz w:val="24"/>
          <w:szCs w:val="24"/>
        </w:rPr>
        <w:t>Tous les points ci-dess</w:t>
      </w:r>
      <w:r w:rsidR="001675DC" w:rsidRPr="00E03D56">
        <w:rPr>
          <w:rFonts w:ascii="Arial" w:hAnsi="Arial" w:cs="Arial"/>
          <w:sz w:val="24"/>
          <w:szCs w:val="24"/>
        </w:rPr>
        <w:t xml:space="preserve">us seront pris en compte dans le présent plan d’introduction du </w:t>
      </w:r>
      <w:r w:rsidR="00E607AF" w:rsidRPr="00E03D56">
        <w:rPr>
          <w:rFonts w:ascii="Arial" w:hAnsi="Arial" w:cs="Arial"/>
          <w:sz w:val="24"/>
          <w:szCs w:val="24"/>
        </w:rPr>
        <w:t>VPI.</w:t>
      </w:r>
    </w:p>
    <w:p w:rsidR="0035449F" w:rsidRPr="00AE360E" w:rsidRDefault="002E17AF" w:rsidP="00AE360E">
      <w:pPr>
        <w:numPr>
          <w:ilvl w:val="0"/>
          <w:numId w:val="19"/>
        </w:numPr>
        <w:spacing w:before="240" w:after="120"/>
        <w:ind w:right="235"/>
        <w:jc w:val="both"/>
        <w:rPr>
          <w:rFonts w:ascii="Arial" w:eastAsia="Calibri" w:hAnsi="Arial" w:cs="Arial"/>
          <w:b/>
          <w:sz w:val="24"/>
        </w:rPr>
      </w:pPr>
      <w:r w:rsidRPr="00AE360E">
        <w:rPr>
          <w:rFonts w:ascii="Arial" w:eastAsia="Calibri" w:hAnsi="Arial" w:cs="Arial"/>
          <w:b/>
          <w:sz w:val="24"/>
        </w:rPr>
        <w:t xml:space="preserve">Niveau de Participation et décision d’introduction </w:t>
      </w:r>
    </w:p>
    <w:p w:rsidR="0035449F" w:rsidRPr="00AE360E" w:rsidRDefault="0035449F" w:rsidP="00AE360E">
      <w:pPr>
        <w:spacing w:after="120"/>
        <w:jc w:val="both"/>
        <w:rPr>
          <w:rFonts w:ascii="Arial" w:eastAsia="SimSun" w:hAnsi="Arial" w:cs="Arial"/>
          <w:b/>
          <w:color w:val="1F497D"/>
          <w:sz w:val="24"/>
          <w:szCs w:val="24"/>
          <w:lang w:eastAsia="en-GB"/>
        </w:rPr>
      </w:pPr>
      <w:r w:rsidRPr="00AE360E">
        <w:rPr>
          <w:rFonts w:ascii="Arial" w:hAnsi="Arial" w:cs="Arial"/>
          <w:sz w:val="24"/>
          <w:szCs w:val="24"/>
        </w:rPr>
        <w:t>Le Tchad ayant souscrit aux engagements internationaux ci-dessous a décidé d’introduire le VPI  en 2015 dans son programme national de vaccination. Cela s’est traduit dans l’élaboration du Plan opérationnel annuel du PEV (POA 2014) qui prévoit l’élaboration du plan d’introduction du VPI et sa soumission à GAVI d’ici septembre 2014. Le POA 2014 a été validé par le CCIA en sa session du 21 janvier 2014</w:t>
      </w:r>
      <w:r w:rsidRPr="00AE360E">
        <w:rPr>
          <w:rFonts w:ascii="Arial" w:eastAsia="SimSun" w:hAnsi="Arial" w:cs="Arial"/>
          <w:b/>
          <w:color w:val="1F497D"/>
          <w:sz w:val="24"/>
          <w:szCs w:val="24"/>
          <w:lang w:eastAsia="en-GB"/>
        </w:rPr>
        <w:t xml:space="preserve">, </w:t>
      </w:r>
      <w:r w:rsidRPr="00AE360E">
        <w:rPr>
          <w:rFonts w:ascii="Arial" w:hAnsi="Arial" w:cs="Arial"/>
          <w:sz w:val="24"/>
          <w:szCs w:val="24"/>
        </w:rPr>
        <w:t>présidé par le Ministre de la Santé publique</w:t>
      </w:r>
      <w:r w:rsidRPr="00AE360E">
        <w:rPr>
          <w:rFonts w:ascii="Arial" w:eastAsia="SimSun" w:hAnsi="Arial" w:cs="Arial"/>
          <w:b/>
          <w:color w:val="1F497D"/>
          <w:sz w:val="24"/>
          <w:szCs w:val="24"/>
          <w:lang w:eastAsia="en-GB"/>
        </w:rPr>
        <w:t>.</w:t>
      </w:r>
    </w:p>
    <w:p w:rsidR="00A563B4" w:rsidRPr="00E25611" w:rsidRDefault="00E25611" w:rsidP="00AE360E">
      <w:pPr>
        <w:spacing w:after="120"/>
        <w:jc w:val="both"/>
        <w:rPr>
          <w:rFonts w:ascii="Arial" w:hAnsi="Arial" w:cs="Arial"/>
          <w:sz w:val="24"/>
          <w:szCs w:val="24"/>
        </w:rPr>
      </w:pPr>
      <w:r w:rsidRPr="00E25611">
        <w:rPr>
          <w:rFonts w:ascii="Arial" w:hAnsi="Arial" w:cs="Arial"/>
          <w:sz w:val="24"/>
          <w:szCs w:val="24"/>
        </w:rPr>
        <w:t>Le présent plan d’introduction du VPI a été présenté aux membres du  CCIA en sa session du 15 aout 2015, tenue dans les locaux du Ministère de la Santé Publique de l’Action Sociale et de la Solidarité Nationale. Cette réunion, tenue sous la présidence du Secrétaire d’Etat, en présence des partenaires, après avoir passé en revue les justificatifs, les activités et le cout d’introduction du VPI, a validé</w:t>
      </w:r>
      <w:r w:rsidR="00380A6A">
        <w:rPr>
          <w:rFonts w:ascii="Arial" w:hAnsi="Arial" w:cs="Arial"/>
          <w:sz w:val="24"/>
          <w:szCs w:val="24"/>
        </w:rPr>
        <w:t xml:space="preserve"> ledit plan. L’E</w:t>
      </w:r>
      <w:r w:rsidRPr="00E25611">
        <w:rPr>
          <w:rFonts w:ascii="Arial" w:hAnsi="Arial" w:cs="Arial"/>
          <w:sz w:val="24"/>
          <w:szCs w:val="24"/>
        </w:rPr>
        <w:t>tat et les partenaires se sont engagés à financer les couts requis en complément de l’allocation de GAVI.</w:t>
      </w:r>
    </w:p>
    <w:p w:rsidR="00B078BB" w:rsidRPr="00AE360E" w:rsidRDefault="00B078BB" w:rsidP="00107B86">
      <w:pPr>
        <w:pStyle w:val="Style2"/>
        <w:spacing w:before="240" w:line="276" w:lineRule="auto"/>
        <w:jc w:val="both"/>
        <w:rPr>
          <w:rFonts w:ascii="Arial" w:eastAsia="SimSun" w:hAnsi="Arial" w:cs="Arial"/>
          <w:color w:val="auto"/>
          <w:sz w:val="32"/>
          <w:lang w:val="fr-FR"/>
        </w:rPr>
      </w:pPr>
      <w:bookmarkStart w:id="1" w:name="_Toc397522408"/>
      <w:r w:rsidRPr="00AE360E">
        <w:rPr>
          <w:rFonts w:ascii="Arial" w:eastAsia="SimSun" w:hAnsi="Arial" w:cs="Arial"/>
          <w:color w:val="auto"/>
          <w:sz w:val="32"/>
          <w:lang w:val="fr-FR"/>
        </w:rPr>
        <w:t>Présentationgénérale du VPI</w:t>
      </w:r>
      <w:bookmarkEnd w:id="1"/>
    </w:p>
    <w:p w:rsidR="00716957" w:rsidRPr="00AE360E" w:rsidRDefault="00B078BB" w:rsidP="00AE360E">
      <w:pPr>
        <w:pStyle w:val="Style3"/>
        <w:spacing w:line="276" w:lineRule="auto"/>
        <w:jc w:val="both"/>
        <w:rPr>
          <w:rFonts w:ascii="Arial" w:hAnsi="Arial" w:cs="Arial"/>
          <w:color w:val="auto"/>
          <w:sz w:val="28"/>
        </w:rPr>
      </w:pPr>
      <w:bookmarkStart w:id="2" w:name="_Toc397522409"/>
      <w:r w:rsidRPr="00AE360E">
        <w:rPr>
          <w:rFonts w:ascii="Arial" w:hAnsi="Arial" w:cs="Arial"/>
          <w:color w:val="auto"/>
          <w:sz w:val="28"/>
          <w:lang w:val="fr-FR"/>
        </w:rPr>
        <w:t>Préférencesvaccinales</w:t>
      </w:r>
      <w:bookmarkEnd w:id="2"/>
    </w:p>
    <w:p w:rsidR="00716957" w:rsidRPr="00AE360E" w:rsidRDefault="00716957" w:rsidP="00AE360E">
      <w:pPr>
        <w:spacing w:before="240" w:after="120"/>
        <w:ind w:right="120"/>
        <w:jc w:val="both"/>
        <w:rPr>
          <w:rFonts w:ascii="Arial" w:eastAsia="Times New Roman" w:hAnsi="Arial" w:cs="Arial"/>
          <w:bCs/>
          <w:color w:val="1F497D"/>
          <w:sz w:val="28"/>
          <w:szCs w:val="28"/>
          <w:lang w:eastAsia="en-GB"/>
        </w:rPr>
      </w:pPr>
      <w:r w:rsidRPr="00AE360E">
        <w:rPr>
          <w:rFonts w:ascii="Arial" w:hAnsi="Arial" w:cs="Arial"/>
          <w:sz w:val="24"/>
          <w:szCs w:val="24"/>
        </w:rPr>
        <w:t>L’introduction du VPI est prévue sur toute l’étendue</w:t>
      </w:r>
      <w:r w:rsidR="0048310B" w:rsidRPr="00AE360E">
        <w:rPr>
          <w:rFonts w:ascii="Arial" w:hAnsi="Arial" w:cs="Arial"/>
          <w:sz w:val="24"/>
          <w:szCs w:val="24"/>
        </w:rPr>
        <w:t xml:space="preserve"> du</w:t>
      </w:r>
      <w:r w:rsidR="00A278BB" w:rsidRPr="00AE360E">
        <w:rPr>
          <w:rFonts w:ascii="Arial" w:hAnsi="Arial" w:cs="Arial"/>
          <w:sz w:val="24"/>
          <w:szCs w:val="24"/>
        </w:rPr>
        <w:t xml:space="preserve"> territoire national et de façon simultanée à partir</w:t>
      </w:r>
      <w:r w:rsidR="00E3334A" w:rsidRPr="00AE360E">
        <w:rPr>
          <w:rFonts w:ascii="Arial" w:hAnsi="Arial" w:cs="Arial"/>
          <w:sz w:val="24"/>
          <w:szCs w:val="24"/>
        </w:rPr>
        <w:t xml:space="preserve"> du mois de Juin</w:t>
      </w:r>
      <w:r w:rsidRPr="00AE360E">
        <w:rPr>
          <w:rFonts w:ascii="Arial" w:hAnsi="Arial" w:cs="Arial"/>
          <w:sz w:val="24"/>
          <w:szCs w:val="24"/>
        </w:rPr>
        <w:t xml:space="preserve"> 2015</w:t>
      </w:r>
      <w:r w:rsidRPr="00AE360E">
        <w:rPr>
          <w:rFonts w:ascii="Arial" w:eastAsia="Times New Roman" w:hAnsi="Arial" w:cs="Arial"/>
          <w:bCs/>
          <w:color w:val="1F497D"/>
          <w:sz w:val="28"/>
          <w:szCs w:val="28"/>
          <w:lang w:eastAsia="en-GB"/>
        </w:rPr>
        <w:t>.</w:t>
      </w:r>
    </w:p>
    <w:p w:rsidR="00716957" w:rsidRPr="00707334" w:rsidRDefault="00716957" w:rsidP="00AE360E">
      <w:pPr>
        <w:autoSpaceDE w:val="0"/>
        <w:autoSpaceDN w:val="0"/>
        <w:adjustRightInd w:val="0"/>
        <w:spacing w:after="120"/>
        <w:jc w:val="both"/>
        <w:rPr>
          <w:rFonts w:ascii="Arial" w:eastAsia="SimSun" w:hAnsi="Arial" w:cs="Arial"/>
          <w:color w:val="000000"/>
          <w:sz w:val="24"/>
          <w:szCs w:val="24"/>
          <w:lang w:eastAsia="en-GB"/>
        </w:rPr>
      </w:pPr>
      <w:r w:rsidRPr="00707334">
        <w:rPr>
          <w:rFonts w:ascii="Arial" w:eastAsia="SimSun" w:hAnsi="Arial" w:cs="Arial"/>
          <w:b/>
          <w:color w:val="000000"/>
          <w:sz w:val="24"/>
          <w:szCs w:val="24"/>
          <w:u w:val="single"/>
          <w:lang w:eastAsia="en-GB"/>
        </w:rPr>
        <w:t xml:space="preserve">Tableau </w:t>
      </w:r>
      <w:r w:rsidR="0034167F" w:rsidRPr="00707334">
        <w:rPr>
          <w:rFonts w:ascii="Arial" w:eastAsia="SimSun" w:hAnsi="Arial" w:cs="Arial"/>
          <w:b/>
          <w:color w:val="000000"/>
          <w:sz w:val="24"/>
          <w:szCs w:val="24"/>
          <w:u w:val="single"/>
          <w:lang w:eastAsia="en-GB"/>
        </w:rPr>
        <w:t>I</w:t>
      </w:r>
      <w:r w:rsidRPr="00AE360E">
        <w:rPr>
          <w:rFonts w:ascii="Arial" w:eastAsia="SimSun" w:hAnsi="Arial" w:cs="Arial"/>
          <w:b/>
          <w:color w:val="000000"/>
          <w:sz w:val="24"/>
          <w:szCs w:val="24"/>
          <w:lang w:eastAsia="en-GB"/>
        </w:rPr>
        <w:t xml:space="preserve">. </w:t>
      </w:r>
      <w:r w:rsidRPr="00707334">
        <w:rPr>
          <w:rFonts w:ascii="Arial" w:eastAsia="SimSun" w:hAnsi="Arial" w:cs="Arial"/>
          <w:color w:val="000000"/>
          <w:sz w:val="24"/>
          <w:szCs w:val="24"/>
          <w:lang w:eastAsia="en-GB"/>
        </w:rPr>
        <w:t>Présentation préférée du VPI et date estimée d’introduction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143"/>
        <w:gridCol w:w="2321"/>
        <w:gridCol w:w="2339"/>
      </w:tblGrid>
      <w:tr w:rsidR="00716957" w:rsidRPr="00AE360E" w:rsidTr="004D5878">
        <w:trPr>
          <w:trHeight w:val="905"/>
        </w:trPr>
        <w:tc>
          <w:tcPr>
            <w:tcW w:w="2485" w:type="dxa"/>
            <w:shd w:val="clear" w:color="auto" w:fill="auto"/>
          </w:tcPr>
          <w:p w:rsidR="00716957" w:rsidRPr="00AE360E" w:rsidRDefault="00716957" w:rsidP="00AE360E">
            <w:pPr>
              <w:spacing w:after="120"/>
              <w:ind w:right="120"/>
              <w:jc w:val="both"/>
              <w:rPr>
                <w:rFonts w:ascii="Arial" w:eastAsia="Times New Roman" w:hAnsi="Arial" w:cs="Arial"/>
                <w:b/>
                <w:sz w:val="24"/>
                <w:szCs w:val="24"/>
                <w:lang w:eastAsia="en-GB"/>
              </w:rPr>
            </w:pPr>
            <w:r w:rsidRPr="00AE360E">
              <w:rPr>
                <w:rFonts w:ascii="Arial" w:eastAsia="Times New Roman" w:hAnsi="Arial" w:cs="Arial"/>
                <w:b/>
                <w:sz w:val="24"/>
                <w:szCs w:val="24"/>
                <w:lang w:eastAsia="en-GB"/>
              </w:rPr>
              <w:t xml:space="preserve">Présentation préférée du VPI </w:t>
            </w:r>
          </w:p>
        </w:tc>
        <w:tc>
          <w:tcPr>
            <w:tcW w:w="2143" w:type="dxa"/>
            <w:shd w:val="clear" w:color="auto" w:fill="auto"/>
          </w:tcPr>
          <w:p w:rsidR="00716957" w:rsidRPr="00AE360E" w:rsidRDefault="00716957" w:rsidP="00AE360E">
            <w:pPr>
              <w:tabs>
                <w:tab w:val="center" w:pos="4320"/>
                <w:tab w:val="right" w:pos="8640"/>
              </w:tabs>
              <w:spacing w:after="120"/>
              <w:ind w:right="120"/>
              <w:jc w:val="both"/>
              <w:rPr>
                <w:rFonts w:ascii="Arial" w:eastAsia="Times New Roman" w:hAnsi="Arial" w:cs="Arial"/>
                <w:b/>
                <w:sz w:val="24"/>
                <w:szCs w:val="24"/>
                <w:lang w:eastAsia="en-GB"/>
              </w:rPr>
            </w:pPr>
            <w:r w:rsidRPr="00AE360E">
              <w:rPr>
                <w:rFonts w:ascii="Arial" w:eastAsia="Times New Roman" w:hAnsi="Arial" w:cs="Arial"/>
                <w:b/>
                <w:sz w:val="24"/>
                <w:szCs w:val="24"/>
                <w:lang w:eastAsia="en-GB"/>
              </w:rPr>
              <w:t xml:space="preserve">Mois et année de la première vaccination  </w:t>
            </w:r>
          </w:p>
        </w:tc>
        <w:tc>
          <w:tcPr>
            <w:tcW w:w="2321" w:type="dxa"/>
            <w:shd w:val="clear" w:color="auto" w:fill="auto"/>
          </w:tcPr>
          <w:p w:rsidR="00716957" w:rsidRPr="00AE360E" w:rsidRDefault="00716957" w:rsidP="00AE360E">
            <w:pPr>
              <w:tabs>
                <w:tab w:val="center" w:pos="4320"/>
                <w:tab w:val="right" w:pos="8640"/>
              </w:tabs>
              <w:spacing w:after="120"/>
              <w:ind w:right="120"/>
              <w:jc w:val="both"/>
              <w:rPr>
                <w:rFonts w:ascii="Arial" w:eastAsia="Times New Roman" w:hAnsi="Arial" w:cs="Arial"/>
                <w:b/>
                <w:sz w:val="24"/>
                <w:szCs w:val="24"/>
                <w:lang w:eastAsia="en-GB"/>
              </w:rPr>
            </w:pPr>
            <w:r w:rsidRPr="00AE360E">
              <w:rPr>
                <w:rFonts w:ascii="Arial" w:eastAsia="Times New Roman" w:hAnsi="Arial" w:cs="Arial"/>
                <w:b/>
                <w:sz w:val="24"/>
                <w:szCs w:val="24"/>
                <w:lang w:eastAsia="en-GB"/>
              </w:rPr>
              <w:t xml:space="preserve">Seconde présentation préférée </w:t>
            </w:r>
          </w:p>
        </w:tc>
        <w:tc>
          <w:tcPr>
            <w:tcW w:w="2339" w:type="dxa"/>
          </w:tcPr>
          <w:p w:rsidR="00716957" w:rsidRPr="00AE360E" w:rsidRDefault="00716957" w:rsidP="00AE360E">
            <w:pPr>
              <w:spacing w:after="120"/>
              <w:ind w:right="120"/>
              <w:jc w:val="both"/>
              <w:rPr>
                <w:rFonts w:ascii="Arial" w:eastAsia="Times New Roman" w:hAnsi="Arial" w:cs="Arial"/>
                <w:b/>
                <w:sz w:val="24"/>
                <w:szCs w:val="24"/>
                <w:lang w:eastAsia="en-GB"/>
              </w:rPr>
            </w:pPr>
            <w:r w:rsidRPr="00AE360E">
              <w:rPr>
                <w:rFonts w:ascii="Arial" w:eastAsia="Times New Roman" w:hAnsi="Arial" w:cs="Arial"/>
                <w:b/>
                <w:sz w:val="24"/>
                <w:szCs w:val="24"/>
                <w:lang w:eastAsia="en-GB"/>
              </w:rPr>
              <w:t>Troisième présentation préférée</w:t>
            </w:r>
          </w:p>
        </w:tc>
      </w:tr>
      <w:tr w:rsidR="00716957" w:rsidRPr="00AE360E" w:rsidTr="00107B86">
        <w:trPr>
          <w:trHeight w:val="821"/>
        </w:trPr>
        <w:tc>
          <w:tcPr>
            <w:tcW w:w="2485" w:type="dxa"/>
            <w:shd w:val="clear" w:color="auto" w:fill="auto"/>
            <w:vAlign w:val="center"/>
          </w:tcPr>
          <w:p w:rsidR="00716957" w:rsidRPr="00AE360E" w:rsidRDefault="00716957" w:rsidP="00107B86">
            <w:pPr>
              <w:spacing w:after="0"/>
              <w:jc w:val="center"/>
              <w:rPr>
                <w:rFonts w:ascii="Arial" w:eastAsia="Times New Roman" w:hAnsi="Arial" w:cs="Arial"/>
                <w:sz w:val="24"/>
                <w:szCs w:val="24"/>
                <w:lang w:eastAsia="en-GB"/>
              </w:rPr>
            </w:pPr>
            <w:r w:rsidRPr="00AE360E">
              <w:rPr>
                <w:rFonts w:ascii="Arial" w:eastAsia="Times New Roman" w:hAnsi="Arial" w:cs="Arial"/>
                <w:sz w:val="24"/>
                <w:szCs w:val="24"/>
                <w:lang w:eastAsia="en-GB"/>
              </w:rPr>
              <w:t xml:space="preserve">Flacon </w:t>
            </w:r>
            <w:r w:rsidR="008B6B09" w:rsidRPr="00AE360E">
              <w:rPr>
                <w:rFonts w:ascii="Arial" w:eastAsia="Times New Roman" w:hAnsi="Arial" w:cs="Arial"/>
                <w:sz w:val="24"/>
                <w:szCs w:val="24"/>
                <w:lang w:eastAsia="en-GB"/>
              </w:rPr>
              <w:t>de 5</w:t>
            </w:r>
            <w:r w:rsidRPr="00AE360E">
              <w:rPr>
                <w:rFonts w:ascii="Arial" w:eastAsia="Times New Roman" w:hAnsi="Arial" w:cs="Arial"/>
                <w:sz w:val="24"/>
                <w:szCs w:val="24"/>
                <w:lang w:eastAsia="en-GB"/>
              </w:rPr>
              <w:t xml:space="preserve"> dose</w:t>
            </w:r>
            <w:r w:rsidR="008B6B09" w:rsidRPr="00AE360E">
              <w:rPr>
                <w:rFonts w:ascii="Arial" w:eastAsia="Times New Roman" w:hAnsi="Arial" w:cs="Arial"/>
                <w:sz w:val="24"/>
                <w:szCs w:val="24"/>
                <w:lang w:eastAsia="en-GB"/>
              </w:rPr>
              <w:t>s</w:t>
            </w:r>
          </w:p>
        </w:tc>
        <w:tc>
          <w:tcPr>
            <w:tcW w:w="2143" w:type="dxa"/>
            <w:shd w:val="clear" w:color="auto" w:fill="auto"/>
            <w:vAlign w:val="center"/>
          </w:tcPr>
          <w:p w:rsidR="00716957" w:rsidRPr="00AE360E" w:rsidRDefault="00A21F42" w:rsidP="00107B86">
            <w:pPr>
              <w:spacing w:after="0"/>
              <w:jc w:val="center"/>
              <w:rPr>
                <w:rFonts w:ascii="Arial" w:eastAsia="Times New Roman" w:hAnsi="Arial" w:cs="Arial"/>
                <w:sz w:val="24"/>
                <w:szCs w:val="24"/>
                <w:lang w:eastAsia="en-GB"/>
              </w:rPr>
            </w:pPr>
            <w:r w:rsidRPr="00AE360E">
              <w:rPr>
                <w:rFonts w:ascii="Arial" w:eastAsia="Times New Roman" w:hAnsi="Arial" w:cs="Arial"/>
                <w:sz w:val="24"/>
                <w:szCs w:val="24"/>
                <w:lang w:eastAsia="en-GB"/>
              </w:rPr>
              <w:t>Juin</w:t>
            </w:r>
            <w:r w:rsidR="00716957" w:rsidRPr="00AE360E">
              <w:rPr>
                <w:rFonts w:ascii="Arial" w:eastAsia="Times New Roman" w:hAnsi="Arial" w:cs="Arial"/>
                <w:sz w:val="24"/>
                <w:szCs w:val="24"/>
                <w:lang w:eastAsia="en-GB"/>
              </w:rPr>
              <w:t xml:space="preserve"> 2015</w:t>
            </w:r>
          </w:p>
        </w:tc>
        <w:tc>
          <w:tcPr>
            <w:tcW w:w="2321" w:type="dxa"/>
            <w:shd w:val="clear" w:color="auto" w:fill="auto"/>
            <w:vAlign w:val="center"/>
          </w:tcPr>
          <w:p w:rsidR="00716957" w:rsidRPr="00AE360E" w:rsidRDefault="00716957" w:rsidP="00107B86">
            <w:pPr>
              <w:spacing w:after="120"/>
              <w:ind w:right="120"/>
              <w:jc w:val="center"/>
              <w:rPr>
                <w:rFonts w:ascii="Arial" w:eastAsia="Times New Roman" w:hAnsi="Arial" w:cs="Arial"/>
                <w:sz w:val="24"/>
                <w:szCs w:val="24"/>
                <w:lang w:eastAsia="en-GB"/>
              </w:rPr>
            </w:pPr>
            <w:r w:rsidRPr="00AE360E">
              <w:rPr>
                <w:rFonts w:ascii="Arial" w:eastAsia="Times New Roman" w:hAnsi="Arial" w:cs="Arial"/>
                <w:sz w:val="24"/>
                <w:szCs w:val="24"/>
                <w:lang w:eastAsia="en-GB"/>
              </w:rPr>
              <w:t xml:space="preserve">Flacons de </w:t>
            </w:r>
            <w:r w:rsidR="008B6B09" w:rsidRPr="00AE360E">
              <w:rPr>
                <w:rFonts w:ascii="Arial" w:eastAsia="Times New Roman" w:hAnsi="Arial" w:cs="Arial"/>
                <w:sz w:val="24"/>
                <w:szCs w:val="24"/>
                <w:lang w:eastAsia="en-GB"/>
              </w:rPr>
              <w:t>1</w:t>
            </w:r>
            <w:r w:rsidRPr="00AE360E">
              <w:rPr>
                <w:rFonts w:ascii="Arial" w:eastAsia="Times New Roman" w:hAnsi="Arial" w:cs="Arial"/>
                <w:sz w:val="24"/>
                <w:szCs w:val="24"/>
                <w:lang w:eastAsia="en-GB"/>
              </w:rPr>
              <w:t xml:space="preserve"> dose</w:t>
            </w:r>
          </w:p>
        </w:tc>
        <w:tc>
          <w:tcPr>
            <w:tcW w:w="2339" w:type="dxa"/>
            <w:vAlign w:val="center"/>
          </w:tcPr>
          <w:p w:rsidR="00716957" w:rsidRPr="00AE360E" w:rsidRDefault="00716957" w:rsidP="00107B86">
            <w:pPr>
              <w:spacing w:after="0"/>
              <w:jc w:val="center"/>
              <w:rPr>
                <w:rFonts w:ascii="Arial" w:eastAsia="Times New Roman" w:hAnsi="Arial" w:cs="Arial"/>
                <w:sz w:val="24"/>
                <w:szCs w:val="24"/>
                <w:lang w:eastAsia="en-GB"/>
              </w:rPr>
            </w:pPr>
            <w:r w:rsidRPr="00AE360E">
              <w:rPr>
                <w:rFonts w:ascii="Arial" w:eastAsia="Times New Roman" w:hAnsi="Arial" w:cs="Arial"/>
                <w:sz w:val="24"/>
                <w:szCs w:val="24"/>
                <w:lang w:eastAsia="en-GB"/>
              </w:rPr>
              <w:t>Flacons 10 doses</w:t>
            </w:r>
          </w:p>
        </w:tc>
      </w:tr>
    </w:tbl>
    <w:p w:rsidR="00716957" w:rsidRPr="00AE360E" w:rsidRDefault="00716957" w:rsidP="00AE360E">
      <w:pPr>
        <w:spacing w:before="240" w:after="0"/>
        <w:ind w:right="120"/>
        <w:jc w:val="both"/>
        <w:rPr>
          <w:rFonts w:ascii="Arial" w:eastAsia="Times New Roman" w:hAnsi="Arial" w:cs="Arial"/>
          <w:bCs/>
          <w:color w:val="1F497D"/>
          <w:sz w:val="28"/>
          <w:szCs w:val="28"/>
          <w:lang w:eastAsia="en-GB"/>
        </w:rPr>
      </w:pPr>
      <w:r w:rsidRPr="00AE360E">
        <w:rPr>
          <w:rFonts w:ascii="Arial" w:hAnsi="Arial" w:cs="Arial"/>
          <w:sz w:val="24"/>
          <w:szCs w:val="24"/>
        </w:rPr>
        <w:lastRenderedPageBreak/>
        <w:t>Le Tchad, compte tenu de certains facteurs (zones à très faible densitédémographique, nomadisme, faible accès aux services de santé</w:t>
      </w:r>
      <w:r w:rsidR="00F8759A" w:rsidRPr="00AE360E">
        <w:rPr>
          <w:rFonts w:ascii="Arial" w:hAnsi="Arial" w:cs="Arial"/>
          <w:sz w:val="24"/>
          <w:szCs w:val="24"/>
        </w:rPr>
        <w:t xml:space="preserve"> par endroit</w:t>
      </w:r>
      <w:r w:rsidRPr="00AE360E">
        <w:rPr>
          <w:rFonts w:ascii="Arial" w:hAnsi="Arial" w:cs="Arial"/>
          <w:sz w:val="24"/>
          <w:szCs w:val="24"/>
        </w:rPr>
        <w:t>)</w:t>
      </w:r>
      <w:r w:rsidR="00F8759A" w:rsidRPr="00AE360E">
        <w:rPr>
          <w:rFonts w:ascii="Arial" w:hAnsi="Arial" w:cs="Arial"/>
          <w:sz w:val="24"/>
          <w:szCs w:val="24"/>
        </w:rPr>
        <w:t xml:space="preserve"> opte pour la présentation </w:t>
      </w:r>
      <w:r w:rsidR="008B6B09" w:rsidRPr="00AE360E">
        <w:rPr>
          <w:rFonts w:ascii="Arial" w:hAnsi="Arial" w:cs="Arial"/>
          <w:sz w:val="24"/>
          <w:szCs w:val="24"/>
        </w:rPr>
        <w:t xml:space="preserve">de 5 </w:t>
      </w:r>
      <w:r w:rsidR="00F8759A" w:rsidRPr="00AE360E">
        <w:rPr>
          <w:rFonts w:ascii="Arial" w:hAnsi="Arial" w:cs="Arial"/>
          <w:sz w:val="24"/>
          <w:szCs w:val="24"/>
        </w:rPr>
        <w:t>dose</w:t>
      </w:r>
      <w:r w:rsidR="005E32C1" w:rsidRPr="00AE360E">
        <w:rPr>
          <w:rFonts w:ascii="Arial" w:hAnsi="Arial" w:cs="Arial"/>
          <w:sz w:val="24"/>
          <w:szCs w:val="24"/>
        </w:rPr>
        <w:t>s</w:t>
      </w:r>
      <w:r w:rsidR="00F8759A" w:rsidRPr="00AE360E">
        <w:rPr>
          <w:rFonts w:ascii="Arial" w:hAnsi="Arial" w:cs="Arial"/>
          <w:sz w:val="24"/>
          <w:szCs w:val="24"/>
        </w:rPr>
        <w:t xml:space="preserve"> de VPI. Cette présentation aura l’avantage de réduire les occasions manquées de vaccination avec un taux de perte minimal</w:t>
      </w:r>
      <w:r w:rsidR="00F8759A" w:rsidRPr="00AE360E">
        <w:rPr>
          <w:rFonts w:ascii="Arial" w:eastAsia="Times New Roman" w:hAnsi="Arial" w:cs="Arial"/>
          <w:bCs/>
          <w:color w:val="1F497D"/>
          <w:sz w:val="28"/>
          <w:szCs w:val="28"/>
          <w:lang w:eastAsia="en-GB"/>
        </w:rPr>
        <w:t>.</w:t>
      </w:r>
    </w:p>
    <w:p w:rsidR="00B078BB" w:rsidRPr="00AE360E" w:rsidRDefault="00B078BB" w:rsidP="00AE360E">
      <w:pPr>
        <w:pStyle w:val="Style3"/>
        <w:spacing w:before="240" w:line="276" w:lineRule="auto"/>
        <w:jc w:val="both"/>
        <w:rPr>
          <w:rFonts w:ascii="Arial" w:hAnsi="Arial" w:cs="Arial"/>
          <w:color w:val="auto"/>
          <w:sz w:val="28"/>
          <w:lang w:val="fr-FR"/>
        </w:rPr>
      </w:pPr>
      <w:bookmarkStart w:id="3" w:name="_Toc397522410"/>
      <w:r w:rsidRPr="00AE360E">
        <w:rPr>
          <w:rFonts w:ascii="Arial" w:hAnsi="Arial" w:cs="Arial"/>
          <w:color w:val="auto"/>
          <w:sz w:val="28"/>
          <w:lang w:val="fr-FR"/>
        </w:rPr>
        <w:t>Homologation nationale</w:t>
      </w:r>
      <w:bookmarkEnd w:id="3"/>
    </w:p>
    <w:p w:rsidR="00E447F4" w:rsidRPr="00AE360E" w:rsidRDefault="00E447F4" w:rsidP="00AE360E">
      <w:pPr>
        <w:spacing w:before="120" w:after="0"/>
        <w:jc w:val="both"/>
        <w:rPr>
          <w:rFonts w:ascii="Arial" w:hAnsi="Arial" w:cs="Arial"/>
          <w:sz w:val="24"/>
          <w:szCs w:val="24"/>
        </w:rPr>
      </w:pPr>
      <w:r w:rsidRPr="00AE360E">
        <w:rPr>
          <w:rFonts w:ascii="Arial" w:hAnsi="Arial" w:cs="Arial"/>
          <w:sz w:val="24"/>
          <w:szCs w:val="24"/>
        </w:rPr>
        <w:t>L’</w:t>
      </w:r>
      <w:r w:rsidR="00E5244E" w:rsidRPr="00AE360E">
        <w:rPr>
          <w:rFonts w:ascii="Arial" w:hAnsi="Arial" w:cs="Arial"/>
          <w:sz w:val="24"/>
          <w:szCs w:val="24"/>
        </w:rPr>
        <w:t>autorité</w:t>
      </w:r>
      <w:r w:rsidRPr="00AE360E">
        <w:rPr>
          <w:rFonts w:ascii="Arial" w:hAnsi="Arial" w:cs="Arial"/>
          <w:sz w:val="24"/>
          <w:szCs w:val="24"/>
        </w:rPr>
        <w:t xml:space="preserve"> du </w:t>
      </w:r>
      <w:r w:rsidR="00E5244E" w:rsidRPr="00AE360E">
        <w:rPr>
          <w:rFonts w:ascii="Arial" w:hAnsi="Arial" w:cs="Arial"/>
          <w:sz w:val="24"/>
          <w:szCs w:val="24"/>
        </w:rPr>
        <w:t>Ministère</w:t>
      </w:r>
      <w:r w:rsidR="00317BD7" w:rsidRPr="00AE360E">
        <w:rPr>
          <w:rFonts w:ascii="Arial" w:hAnsi="Arial" w:cs="Arial"/>
          <w:sz w:val="24"/>
          <w:szCs w:val="24"/>
        </w:rPr>
        <w:t>d</w:t>
      </w:r>
      <w:r w:rsidRPr="00AE360E">
        <w:rPr>
          <w:rFonts w:ascii="Arial" w:hAnsi="Arial" w:cs="Arial"/>
          <w:sz w:val="24"/>
          <w:szCs w:val="24"/>
        </w:rPr>
        <w:t xml:space="preserve">e la </w:t>
      </w:r>
      <w:r w:rsidR="00A32436" w:rsidRPr="00AE360E">
        <w:rPr>
          <w:rFonts w:ascii="Arial" w:hAnsi="Arial" w:cs="Arial"/>
          <w:sz w:val="24"/>
          <w:szCs w:val="24"/>
        </w:rPr>
        <w:t>S</w:t>
      </w:r>
      <w:r w:rsidR="00E5244E" w:rsidRPr="00AE360E">
        <w:rPr>
          <w:rFonts w:ascii="Arial" w:hAnsi="Arial" w:cs="Arial"/>
          <w:sz w:val="24"/>
          <w:szCs w:val="24"/>
        </w:rPr>
        <w:t>anté</w:t>
      </w:r>
      <w:r w:rsidR="00A32436" w:rsidRPr="00AE360E">
        <w:rPr>
          <w:rFonts w:ascii="Arial" w:hAnsi="Arial" w:cs="Arial"/>
          <w:sz w:val="24"/>
          <w:szCs w:val="24"/>
        </w:rPr>
        <w:t>P</w:t>
      </w:r>
      <w:r w:rsidRPr="00AE360E">
        <w:rPr>
          <w:rFonts w:ascii="Arial" w:hAnsi="Arial" w:cs="Arial"/>
          <w:sz w:val="24"/>
          <w:szCs w:val="24"/>
        </w:rPr>
        <w:t xml:space="preserve">ublique de </w:t>
      </w:r>
      <w:r w:rsidR="00E5244E" w:rsidRPr="00AE360E">
        <w:rPr>
          <w:rFonts w:ascii="Arial" w:hAnsi="Arial" w:cs="Arial"/>
          <w:sz w:val="24"/>
          <w:szCs w:val="24"/>
        </w:rPr>
        <w:t>régulation</w:t>
      </w:r>
      <w:r w:rsidRPr="00AE360E">
        <w:rPr>
          <w:rFonts w:ascii="Arial" w:hAnsi="Arial" w:cs="Arial"/>
          <w:sz w:val="24"/>
          <w:szCs w:val="24"/>
        </w:rPr>
        <w:t xml:space="preserve"> nationale existe bel et bien au sein du </w:t>
      </w:r>
      <w:r w:rsidR="00A32436" w:rsidRPr="00AE360E">
        <w:rPr>
          <w:rFonts w:ascii="Arial" w:hAnsi="Arial" w:cs="Arial"/>
          <w:sz w:val="24"/>
          <w:szCs w:val="24"/>
        </w:rPr>
        <w:t>Ministère (c’est la D</w:t>
      </w:r>
      <w:r w:rsidRPr="00AE360E">
        <w:rPr>
          <w:rFonts w:ascii="Arial" w:hAnsi="Arial" w:cs="Arial"/>
          <w:sz w:val="24"/>
          <w:szCs w:val="24"/>
        </w:rPr>
        <w:t xml:space="preserve">irection de la </w:t>
      </w:r>
      <w:r w:rsidR="00E5244E" w:rsidRPr="00AE360E">
        <w:rPr>
          <w:rFonts w:ascii="Arial" w:hAnsi="Arial" w:cs="Arial"/>
          <w:sz w:val="24"/>
          <w:szCs w:val="24"/>
        </w:rPr>
        <w:t>Pharmacie,</w:t>
      </w:r>
      <w:r w:rsidRPr="00AE360E">
        <w:rPr>
          <w:rFonts w:ascii="Arial" w:hAnsi="Arial" w:cs="Arial"/>
          <w:sz w:val="24"/>
          <w:szCs w:val="24"/>
        </w:rPr>
        <w:t xml:space="preserve"> du </w:t>
      </w:r>
      <w:r w:rsidR="00A32436" w:rsidRPr="00AE360E">
        <w:rPr>
          <w:rFonts w:ascii="Arial" w:hAnsi="Arial" w:cs="Arial"/>
          <w:sz w:val="24"/>
          <w:szCs w:val="24"/>
        </w:rPr>
        <w:t>M</w:t>
      </w:r>
      <w:r w:rsidR="00E5244E" w:rsidRPr="00AE360E">
        <w:rPr>
          <w:rFonts w:ascii="Arial" w:hAnsi="Arial" w:cs="Arial"/>
          <w:sz w:val="24"/>
          <w:szCs w:val="24"/>
        </w:rPr>
        <w:t>édicament</w:t>
      </w:r>
      <w:r w:rsidRPr="00AE360E">
        <w:rPr>
          <w:rFonts w:ascii="Arial" w:hAnsi="Arial" w:cs="Arial"/>
          <w:sz w:val="24"/>
          <w:szCs w:val="24"/>
        </w:rPr>
        <w:t xml:space="preserve"> et des La</w:t>
      </w:r>
      <w:r w:rsidR="00E5244E" w:rsidRPr="00AE360E">
        <w:rPr>
          <w:rFonts w:ascii="Arial" w:hAnsi="Arial" w:cs="Arial"/>
          <w:sz w:val="24"/>
          <w:szCs w:val="24"/>
        </w:rPr>
        <w:t>b</w:t>
      </w:r>
      <w:r w:rsidRPr="00AE360E">
        <w:rPr>
          <w:rFonts w:ascii="Arial" w:hAnsi="Arial" w:cs="Arial"/>
          <w:sz w:val="24"/>
          <w:szCs w:val="24"/>
        </w:rPr>
        <w:t>oratoire</w:t>
      </w:r>
      <w:r w:rsidR="00E5244E" w:rsidRPr="00AE360E">
        <w:rPr>
          <w:rFonts w:ascii="Arial" w:hAnsi="Arial" w:cs="Arial"/>
          <w:sz w:val="24"/>
          <w:szCs w:val="24"/>
        </w:rPr>
        <w:t>s</w:t>
      </w:r>
      <w:r w:rsidRPr="00AE360E">
        <w:rPr>
          <w:rFonts w:ascii="Arial" w:hAnsi="Arial" w:cs="Arial"/>
          <w:sz w:val="24"/>
          <w:szCs w:val="24"/>
        </w:rPr>
        <w:t>)</w:t>
      </w:r>
      <w:r w:rsidR="00CB60B7" w:rsidRPr="00AE360E">
        <w:rPr>
          <w:rFonts w:ascii="Arial" w:hAnsi="Arial" w:cs="Arial"/>
          <w:sz w:val="24"/>
          <w:szCs w:val="24"/>
        </w:rPr>
        <w:t>.</w:t>
      </w:r>
    </w:p>
    <w:p w:rsidR="00E447F4" w:rsidRPr="00AE360E" w:rsidRDefault="00E447F4" w:rsidP="00AE360E">
      <w:pPr>
        <w:spacing w:before="120" w:after="0"/>
        <w:ind w:right="120"/>
        <w:jc w:val="both"/>
        <w:rPr>
          <w:rFonts w:ascii="Arial" w:hAnsi="Arial" w:cs="Arial"/>
          <w:sz w:val="24"/>
          <w:szCs w:val="24"/>
        </w:rPr>
      </w:pPr>
      <w:r w:rsidRPr="00AE360E">
        <w:rPr>
          <w:rFonts w:ascii="Arial" w:hAnsi="Arial" w:cs="Arial"/>
          <w:sz w:val="24"/>
          <w:szCs w:val="24"/>
        </w:rPr>
        <w:t xml:space="preserve">Une homologation nationale est </w:t>
      </w:r>
      <w:r w:rsidR="00E5244E" w:rsidRPr="00AE360E">
        <w:rPr>
          <w:rFonts w:ascii="Arial" w:hAnsi="Arial" w:cs="Arial"/>
          <w:sz w:val="24"/>
          <w:szCs w:val="24"/>
        </w:rPr>
        <w:t>nécessaire</w:t>
      </w:r>
      <w:r w:rsidRPr="00AE360E">
        <w:rPr>
          <w:rFonts w:ascii="Arial" w:hAnsi="Arial" w:cs="Arial"/>
          <w:sz w:val="24"/>
          <w:szCs w:val="24"/>
        </w:rPr>
        <w:t xml:space="preserve"> en plus de </w:t>
      </w:r>
      <w:r w:rsidR="00E5244E" w:rsidRPr="00AE360E">
        <w:rPr>
          <w:rFonts w:ascii="Arial" w:hAnsi="Arial" w:cs="Arial"/>
          <w:sz w:val="24"/>
          <w:szCs w:val="24"/>
        </w:rPr>
        <w:t>pré</w:t>
      </w:r>
      <w:r w:rsidRPr="00AE360E">
        <w:rPr>
          <w:rFonts w:ascii="Arial" w:hAnsi="Arial" w:cs="Arial"/>
          <w:sz w:val="24"/>
          <w:szCs w:val="24"/>
        </w:rPr>
        <w:t xml:space="preserve"> qualification OMS</w:t>
      </w:r>
    </w:p>
    <w:p w:rsidR="00E447F4" w:rsidRPr="00AE360E" w:rsidRDefault="00E447F4" w:rsidP="00AE360E">
      <w:pPr>
        <w:spacing w:after="0"/>
        <w:ind w:right="120"/>
        <w:jc w:val="both"/>
        <w:rPr>
          <w:rFonts w:ascii="Arial" w:eastAsia="Times New Roman" w:hAnsi="Arial" w:cs="Arial"/>
          <w:bCs/>
          <w:color w:val="00B0F0"/>
          <w:sz w:val="28"/>
          <w:szCs w:val="28"/>
          <w:lang w:eastAsia="en-GB"/>
        </w:rPr>
      </w:pPr>
      <w:r w:rsidRPr="00AE360E">
        <w:rPr>
          <w:rFonts w:ascii="Arial" w:hAnsi="Arial" w:cs="Arial"/>
          <w:sz w:val="24"/>
          <w:szCs w:val="24"/>
        </w:rPr>
        <w:t xml:space="preserve">Description de la </w:t>
      </w:r>
      <w:r w:rsidR="00E5244E" w:rsidRPr="00AE360E">
        <w:rPr>
          <w:rFonts w:ascii="Arial" w:hAnsi="Arial" w:cs="Arial"/>
          <w:sz w:val="24"/>
          <w:szCs w:val="24"/>
        </w:rPr>
        <w:t>procédure</w:t>
      </w:r>
      <w:r w:rsidRPr="00AE360E">
        <w:rPr>
          <w:rFonts w:ascii="Arial" w:eastAsia="Times New Roman" w:hAnsi="Arial" w:cs="Arial"/>
          <w:bCs/>
          <w:color w:val="00B0F0"/>
          <w:sz w:val="28"/>
          <w:szCs w:val="28"/>
          <w:lang w:eastAsia="en-GB"/>
        </w:rPr>
        <w:t> :</w:t>
      </w:r>
    </w:p>
    <w:p w:rsidR="00E447F4" w:rsidRPr="00AE360E" w:rsidRDefault="00E5244E" w:rsidP="00AE360E">
      <w:pPr>
        <w:pStyle w:val="Paragraphedeliste"/>
        <w:numPr>
          <w:ilvl w:val="0"/>
          <w:numId w:val="15"/>
        </w:numPr>
        <w:spacing w:after="0"/>
        <w:ind w:right="240"/>
        <w:jc w:val="both"/>
        <w:rPr>
          <w:rFonts w:ascii="Arial" w:eastAsia="Times New Roman" w:hAnsi="Arial" w:cs="Arial"/>
          <w:bCs/>
          <w:color w:val="00B0F0"/>
          <w:sz w:val="28"/>
          <w:szCs w:val="28"/>
          <w:lang w:eastAsia="en-GB"/>
        </w:rPr>
      </w:pPr>
      <w:r w:rsidRPr="00AE360E">
        <w:rPr>
          <w:rFonts w:ascii="Arial" w:hAnsi="Arial" w:cs="Arial"/>
          <w:sz w:val="24"/>
          <w:szCs w:val="24"/>
        </w:rPr>
        <w:t>dépôt</w:t>
      </w:r>
      <w:r w:rsidR="00E447F4" w:rsidRPr="00AE360E">
        <w:rPr>
          <w:rFonts w:ascii="Arial" w:hAnsi="Arial" w:cs="Arial"/>
          <w:sz w:val="24"/>
          <w:szCs w:val="24"/>
        </w:rPr>
        <w:t xml:space="preserve"> d’un dossier de demande d’homologation (AMM) au niveau du service d’enr</w:t>
      </w:r>
      <w:r w:rsidRPr="00AE360E">
        <w:rPr>
          <w:rFonts w:ascii="Arial" w:hAnsi="Arial" w:cs="Arial"/>
          <w:sz w:val="24"/>
          <w:szCs w:val="24"/>
        </w:rPr>
        <w:t xml:space="preserve">egistrement et de visa </w:t>
      </w:r>
      <w:r w:rsidR="00317BD7" w:rsidRPr="00AE360E">
        <w:rPr>
          <w:rFonts w:ascii="Arial" w:hAnsi="Arial" w:cs="Arial"/>
          <w:sz w:val="24"/>
          <w:szCs w:val="24"/>
        </w:rPr>
        <w:t>à</w:t>
      </w:r>
      <w:r w:rsidRPr="00AE360E">
        <w:rPr>
          <w:rFonts w:ascii="Arial" w:hAnsi="Arial" w:cs="Arial"/>
          <w:sz w:val="24"/>
          <w:szCs w:val="24"/>
        </w:rPr>
        <w:t xml:space="preserve"> la DPM</w:t>
      </w:r>
      <w:r w:rsidRPr="00AE360E">
        <w:rPr>
          <w:rFonts w:ascii="Arial" w:eastAsia="Times New Roman" w:hAnsi="Arial" w:cs="Arial"/>
          <w:bCs/>
          <w:color w:val="00B0F0"/>
          <w:sz w:val="28"/>
          <w:szCs w:val="28"/>
          <w:lang w:eastAsia="en-GB"/>
        </w:rPr>
        <w:t> ;</w:t>
      </w:r>
    </w:p>
    <w:p w:rsidR="00E447F4" w:rsidRPr="00AE360E" w:rsidRDefault="00E447F4" w:rsidP="00AE360E">
      <w:pPr>
        <w:pStyle w:val="Paragraphedeliste"/>
        <w:numPr>
          <w:ilvl w:val="0"/>
          <w:numId w:val="15"/>
        </w:numPr>
        <w:spacing w:after="0"/>
        <w:ind w:right="240"/>
        <w:jc w:val="both"/>
        <w:rPr>
          <w:rFonts w:ascii="Arial" w:eastAsia="Times New Roman" w:hAnsi="Arial" w:cs="Arial"/>
          <w:bCs/>
          <w:color w:val="00B0F0"/>
          <w:sz w:val="28"/>
          <w:szCs w:val="28"/>
          <w:lang w:eastAsia="en-GB"/>
        </w:rPr>
      </w:pPr>
      <w:r w:rsidRPr="00AE360E">
        <w:rPr>
          <w:rFonts w:ascii="Arial" w:hAnsi="Arial" w:cs="Arial"/>
          <w:sz w:val="24"/>
          <w:szCs w:val="24"/>
        </w:rPr>
        <w:t xml:space="preserve">ce dossier doit </w:t>
      </w:r>
      <w:r w:rsidR="00E5244E" w:rsidRPr="00AE360E">
        <w:rPr>
          <w:rFonts w:ascii="Arial" w:hAnsi="Arial" w:cs="Arial"/>
          <w:sz w:val="24"/>
          <w:szCs w:val="24"/>
        </w:rPr>
        <w:t>êtretraité</w:t>
      </w:r>
      <w:r w:rsidRPr="00AE360E">
        <w:rPr>
          <w:rFonts w:ascii="Arial" w:hAnsi="Arial" w:cs="Arial"/>
          <w:sz w:val="24"/>
          <w:szCs w:val="24"/>
        </w:rPr>
        <w:t xml:space="preserve"> par le service </w:t>
      </w:r>
      <w:r w:rsidR="00E5244E" w:rsidRPr="00AE360E">
        <w:rPr>
          <w:rFonts w:ascii="Arial" w:hAnsi="Arial" w:cs="Arial"/>
          <w:sz w:val="24"/>
          <w:szCs w:val="24"/>
        </w:rPr>
        <w:t>compètent</w:t>
      </w:r>
      <w:r w:rsidRPr="00AE360E">
        <w:rPr>
          <w:rFonts w:ascii="Arial" w:hAnsi="Arial" w:cs="Arial"/>
          <w:sz w:val="24"/>
          <w:szCs w:val="24"/>
        </w:rPr>
        <w:t xml:space="preserve"> avant la soumission </w:t>
      </w:r>
      <w:r w:rsidR="00E5244E" w:rsidRPr="00AE360E">
        <w:rPr>
          <w:rFonts w:ascii="Arial" w:hAnsi="Arial" w:cs="Arial"/>
          <w:sz w:val="24"/>
          <w:szCs w:val="24"/>
        </w:rPr>
        <w:t>à</w:t>
      </w:r>
      <w:r w:rsidRPr="00AE360E">
        <w:rPr>
          <w:rFonts w:ascii="Arial" w:hAnsi="Arial" w:cs="Arial"/>
          <w:sz w:val="24"/>
          <w:szCs w:val="24"/>
        </w:rPr>
        <w:t xml:space="preserve"> la commission multisectorielle d’homologation pour avis</w:t>
      </w:r>
      <w:r w:rsidR="00E5244E" w:rsidRPr="00AE360E">
        <w:rPr>
          <w:rFonts w:ascii="Arial" w:eastAsia="Times New Roman" w:hAnsi="Arial" w:cs="Arial"/>
          <w:bCs/>
          <w:color w:val="00B0F0"/>
          <w:sz w:val="28"/>
          <w:szCs w:val="28"/>
          <w:lang w:eastAsia="en-GB"/>
        </w:rPr>
        <w:t> </w:t>
      </w:r>
      <w:r w:rsidR="00E5244E" w:rsidRPr="00AE360E">
        <w:rPr>
          <w:rFonts w:ascii="Arial" w:eastAsia="Times New Roman" w:hAnsi="Arial" w:cs="Arial"/>
          <w:bCs/>
          <w:sz w:val="28"/>
          <w:szCs w:val="28"/>
          <w:lang w:eastAsia="en-GB"/>
        </w:rPr>
        <w:t>;</w:t>
      </w:r>
    </w:p>
    <w:p w:rsidR="00E447F4" w:rsidRPr="00AE360E" w:rsidRDefault="00E447F4" w:rsidP="00AE360E">
      <w:pPr>
        <w:pStyle w:val="Paragraphedeliste"/>
        <w:numPr>
          <w:ilvl w:val="0"/>
          <w:numId w:val="15"/>
        </w:numPr>
        <w:spacing w:after="0"/>
        <w:ind w:right="240"/>
        <w:jc w:val="both"/>
        <w:rPr>
          <w:rFonts w:ascii="Arial" w:eastAsia="Times New Roman" w:hAnsi="Arial" w:cs="Arial"/>
          <w:bCs/>
          <w:color w:val="00B0F0"/>
          <w:sz w:val="28"/>
          <w:szCs w:val="28"/>
          <w:lang w:eastAsia="en-GB"/>
        </w:rPr>
      </w:pPr>
      <w:r w:rsidRPr="00AE360E">
        <w:rPr>
          <w:rFonts w:ascii="Arial" w:hAnsi="Arial" w:cs="Arial"/>
          <w:sz w:val="24"/>
          <w:szCs w:val="24"/>
        </w:rPr>
        <w:t xml:space="preserve">une fois l’avis de la commission est favorable, le MSP </w:t>
      </w:r>
      <w:r w:rsidR="00E5244E" w:rsidRPr="00AE360E">
        <w:rPr>
          <w:rFonts w:ascii="Arial" w:hAnsi="Arial" w:cs="Arial"/>
          <w:sz w:val="24"/>
          <w:szCs w:val="24"/>
        </w:rPr>
        <w:t>donne l’autorisation de mise sur le marché (AMM)</w:t>
      </w:r>
      <w:r w:rsidR="00E5244E" w:rsidRPr="00AE360E">
        <w:rPr>
          <w:rFonts w:ascii="Arial" w:eastAsia="Times New Roman" w:hAnsi="Arial" w:cs="Arial"/>
          <w:bCs/>
          <w:color w:val="00B0F0"/>
          <w:sz w:val="28"/>
          <w:szCs w:val="28"/>
          <w:lang w:eastAsia="en-GB"/>
        </w:rPr>
        <w:t> ;</w:t>
      </w:r>
    </w:p>
    <w:p w:rsidR="00E5244E" w:rsidRPr="00AE360E" w:rsidRDefault="00E5244E" w:rsidP="00AE360E">
      <w:pPr>
        <w:pStyle w:val="Paragraphedeliste"/>
        <w:numPr>
          <w:ilvl w:val="0"/>
          <w:numId w:val="15"/>
        </w:numPr>
        <w:spacing w:after="0"/>
        <w:ind w:right="240"/>
        <w:jc w:val="both"/>
        <w:rPr>
          <w:rFonts w:ascii="Arial" w:eastAsia="Times New Roman" w:hAnsi="Arial" w:cs="Arial"/>
          <w:bCs/>
          <w:color w:val="00B0F0"/>
          <w:sz w:val="28"/>
          <w:szCs w:val="28"/>
          <w:lang w:eastAsia="en-GB"/>
        </w:rPr>
      </w:pPr>
      <w:r w:rsidRPr="00AE360E">
        <w:rPr>
          <w:rFonts w:ascii="Arial" w:hAnsi="Arial" w:cs="Arial"/>
          <w:sz w:val="24"/>
          <w:szCs w:val="24"/>
        </w:rPr>
        <w:t>la durée de la délivrance est de 90 à 120 jours</w:t>
      </w:r>
      <w:r w:rsidR="00317BD7" w:rsidRPr="00AE360E">
        <w:rPr>
          <w:rFonts w:ascii="Arial" w:eastAsia="Times New Roman" w:hAnsi="Arial" w:cs="Arial"/>
          <w:bCs/>
          <w:color w:val="00B0F0"/>
          <w:sz w:val="28"/>
          <w:szCs w:val="28"/>
          <w:lang w:eastAsia="en-GB"/>
        </w:rPr>
        <w:t>.</w:t>
      </w:r>
    </w:p>
    <w:p w:rsidR="00E5244E" w:rsidRPr="00AE360E" w:rsidRDefault="00E5244E" w:rsidP="00AE360E">
      <w:pPr>
        <w:spacing w:after="0"/>
        <w:ind w:right="240"/>
        <w:jc w:val="both"/>
        <w:rPr>
          <w:rFonts w:ascii="Arial" w:eastAsia="Times New Roman" w:hAnsi="Arial" w:cs="Arial"/>
          <w:bCs/>
          <w:color w:val="00B0F0"/>
          <w:sz w:val="28"/>
          <w:szCs w:val="28"/>
          <w:lang w:eastAsia="en-GB"/>
        </w:rPr>
      </w:pPr>
    </w:p>
    <w:p w:rsidR="00E5244E" w:rsidRPr="00AE360E" w:rsidRDefault="00E5244E" w:rsidP="00AE360E">
      <w:pPr>
        <w:spacing w:after="0"/>
        <w:ind w:right="240"/>
        <w:jc w:val="both"/>
        <w:rPr>
          <w:rFonts w:ascii="Arial" w:eastAsia="Times New Roman" w:hAnsi="Arial" w:cs="Arial"/>
          <w:bCs/>
          <w:sz w:val="28"/>
          <w:szCs w:val="28"/>
          <w:lang w:eastAsia="en-GB"/>
        </w:rPr>
      </w:pPr>
      <w:r w:rsidRPr="00AE360E">
        <w:rPr>
          <w:rFonts w:ascii="Arial" w:hAnsi="Arial" w:cs="Arial"/>
          <w:sz w:val="24"/>
          <w:szCs w:val="24"/>
        </w:rPr>
        <w:t>Le pays accepte la procédure d’enregistrement accélérée des vaccins pré qualifiées par l’OMS en cas d’urgence</w:t>
      </w:r>
      <w:r w:rsidRPr="00AE360E">
        <w:rPr>
          <w:rFonts w:ascii="Arial" w:eastAsia="Times New Roman" w:hAnsi="Arial" w:cs="Arial"/>
          <w:bCs/>
          <w:color w:val="00B0F0"/>
          <w:sz w:val="28"/>
          <w:szCs w:val="28"/>
          <w:lang w:eastAsia="en-GB"/>
        </w:rPr>
        <w:t>.</w:t>
      </w:r>
      <w:r w:rsidR="002E17AF" w:rsidRPr="00AE360E">
        <w:rPr>
          <w:rFonts w:ascii="Arial" w:hAnsi="Arial" w:cs="Arial"/>
          <w:sz w:val="24"/>
          <w:szCs w:val="24"/>
        </w:rPr>
        <w:t>Cela a déjà été fait avec l’introduction du vaccin pentavalent et la procédure pourrait être reconduite</w:t>
      </w:r>
      <w:r w:rsidR="002E17AF" w:rsidRPr="00AE360E">
        <w:rPr>
          <w:rFonts w:ascii="Arial" w:eastAsia="Times New Roman" w:hAnsi="Arial" w:cs="Arial"/>
          <w:bCs/>
          <w:sz w:val="28"/>
          <w:szCs w:val="28"/>
          <w:lang w:eastAsia="en-GB"/>
        </w:rPr>
        <w:t>.</w:t>
      </w:r>
    </w:p>
    <w:p w:rsidR="00E87D0A" w:rsidRPr="00AE360E" w:rsidRDefault="00E87D0A" w:rsidP="00AE360E">
      <w:pPr>
        <w:spacing w:after="0"/>
        <w:ind w:right="240"/>
        <w:jc w:val="both"/>
        <w:rPr>
          <w:rFonts w:ascii="Arial" w:hAnsi="Arial" w:cs="Arial"/>
          <w:sz w:val="24"/>
          <w:szCs w:val="24"/>
        </w:rPr>
      </w:pPr>
      <w:r w:rsidRPr="00AE360E">
        <w:rPr>
          <w:rFonts w:ascii="Arial" w:hAnsi="Arial" w:cs="Arial"/>
          <w:sz w:val="24"/>
          <w:szCs w:val="24"/>
        </w:rPr>
        <w:t>Le pays s’approvisionne à travers le circuit de l’Unicef, qui sous traite le dédouanement avec un transitaire agrée qui procède à un enlèvement direct. Ces livraisons ne connaissent pas du retard du fait de ces opérations.</w:t>
      </w:r>
    </w:p>
    <w:p w:rsidR="00E5244E" w:rsidRPr="00AE360E" w:rsidRDefault="00E5244E" w:rsidP="00AE360E">
      <w:pPr>
        <w:spacing w:after="0"/>
        <w:ind w:right="240"/>
        <w:jc w:val="both"/>
        <w:rPr>
          <w:rFonts w:ascii="Arial" w:eastAsia="Times New Roman" w:hAnsi="Arial" w:cs="Arial"/>
          <w:bCs/>
          <w:color w:val="1F497D"/>
          <w:sz w:val="28"/>
          <w:szCs w:val="28"/>
          <w:lang w:eastAsia="en-GB"/>
        </w:rPr>
      </w:pPr>
    </w:p>
    <w:p w:rsidR="00E820DF" w:rsidRPr="00AE360E" w:rsidRDefault="00D342FD" w:rsidP="00AE360E">
      <w:pPr>
        <w:pStyle w:val="Style3"/>
        <w:spacing w:line="276" w:lineRule="auto"/>
        <w:ind w:left="1080"/>
        <w:jc w:val="both"/>
        <w:rPr>
          <w:rFonts w:ascii="Arial" w:hAnsi="Arial" w:cs="Arial"/>
          <w:bCs/>
          <w:color w:val="auto"/>
          <w:sz w:val="28"/>
          <w:szCs w:val="28"/>
          <w:lang w:val="fr-FR"/>
        </w:rPr>
      </w:pPr>
      <w:bookmarkStart w:id="4" w:name="_Toc397522411"/>
      <w:r w:rsidRPr="00AE360E">
        <w:rPr>
          <w:rFonts w:ascii="Arial" w:hAnsi="Arial" w:cs="Arial"/>
          <w:color w:val="auto"/>
          <w:sz w:val="28"/>
          <w:szCs w:val="28"/>
          <w:lang w:val="fr-FR"/>
        </w:rPr>
        <w:t>Taille de la</w:t>
      </w:r>
      <w:r w:rsidR="004F47F6" w:rsidRPr="00AE360E">
        <w:rPr>
          <w:rFonts w:ascii="Arial" w:hAnsi="Arial" w:cs="Arial"/>
          <w:color w:val="auto"/>
          <w:sz w:val="28"/>
          <w:szCs w:val="28"/>
          <w:lang w:val="fr-FR"/>
        </w:rPr>
        <w:t>Population cible</w:t>
      </w:r>
      <w:r w:rsidR="00CB60B7" w:rsidRPr="00AE360E">
        <w:rPr>
          <w:rFonts w:ascii="Arial" w:hAnsi="Arial" w:cs="Arial"/>
          <w:bCs/>
          <w:color w:val="auto"/>
          <w:sz w:val="28"/>
          <w:szCs w:val="28"/>
          <w:lang w:val="fr-FR"/>
        </w:rPr>
        <w:t> :</w:t>
      </w:r>
      <w:bookmarkEnd w:id="4"/>
    </w:p>
    <w:p w:rsidR="00A5321D" w:rsidRPr="00AE360E" w:rsidRDefault="00A5321D" w:rsidP="00AE360E">
      <w:pPr>
        <w:spacing w:before="120" w:after="120"/>
        <w:jc w:val="both"/>
        <w:rPr>
          <w:rFonts w:ascii="Arial" w:hAnsi="Arial" w:cs="Arial"/>
          <w:sz w:val="24"/>
          <w:szCs w:val="24"/>
        </w:rPr>
      </w:pPr>
      <w:r w:rsidRPr="00AE360E">
        <w:rPr>
          <w:rFonts w:ascii="Arial" w:hAnsi="Arial" w:cs="Arial"/>
          <w:sz w:val="24"/>
          <w:szCs w:val="24"/>
        </w:rPr>
        <w:t xml:space="preserve">Le tableau ci-dessous indique les populations cibles </w:t>
      </w:r>
      <w:r w:rsidR="0048310B" w:rsidRPr="00AE360E">
        <w:rPr>
          <w:rFonts w:ascii="Arial" w:hAnsi="Arial" w:cs="Arial"/>
          <w:sz w:val="24"/>
          <w:szCs w:val="24"/>
        </w:rPr>
        <w:t>de 2015</w:t>
      </w:r>
      <w:r w:rsidRPr="00AE360E">
        <w:rPr>
          <w:rFonts w:ascii="Arial" w:hAnsi="Arial" w:cs="Arial"/>
          <w:sz w:val="24"/>
          <w:szCs w:val="24"/>
        </w:rPr>
        <w:t xml:space="preserve"> à 2018.</w:t>
      </w:r>
    </w:p>
    <w:p w:rsidR="00A21F42" w:rsidRPr="00AE360E" w:rsidRDefault="00A874E5" w:rsidP="00AE360E">
      <w:pPr>
        <w:spacing w:after="120"/>
        <w:jc w:val="both"/>
        <w:rPr>
          <w:rFonts w:ascii="Arial" w:hAnsi="Arial" w:cs="Arial"/>
          <w:sz w:val="24"/>
          <w:szCs w:val="24"/>
        </w:rPr>
      </w:pPr>
      <w:r w:rsidRPr="00AE360E">
        <w:rPr>
          <w:rFonts w:ascii="Arial" w:hAnsi="Arial" w:cs="Arial"/>
          <w:sz w:val="24"/>
          <w:szCs w:val="24"/>
        </w:rPr>
        <w:t xml:space="preserve"> P</w:t>
      </w:r>
      <w:r w:rsidR="004E0F09" w:rsidRPr="00AE360E">
        <w:rPr>
          <w:rFonts w:ascii="Arial" w:hAnsi="Arial" w:cs="Arial"/>
          <w:sz w:val="24"/>
          <w:szCs w:val="24"/>
        </w:rPr>
        <w:t>our</w:t>
      </w:r>
      <w:r w:rsidR="008A3A40" w:rsidRPr="00AE360E">
        <w:rPr>
          <w:rFonts w:ascii="Arial" w:hAnsi="Arial" w:cs="Arial"/>
          <w:sz w:val="24"/>
          <w:szCs w:val="24"/>
        </w:rPr>
        <w:t xml:space="preserve"> le calcul des besoins</w:t>
      </w:r>
      <w:r w:rsidR="008A3C78" w:rsidRPr="00AE360E">
        <w:rPr>
          <w:rFonts w:ascii="Arial" w:hAnsi="Arial" w:cs="Arial"/>
          <w:sz w:val="24"/>
          <w:szCs w:val="24"/>
        </w:rPr>
        <w:t xml:space="preserve"> en vaccins</w:t>
      </w:r>
      <w:r w:rsidR="008A3A40" w:rsidRPr="00AE360E">
        <w:rPr>
          <w:rFonts w:ascii="Arial" w:hAnsi="Arial" w:cs="Arial"/>
          <w:sz w:val="24"/>
          <w:szCs w:val="24"/>
        </w:rPr>
        <w:t xml:space="preserve"> un taux de perte de </w:t>
      </w:r>
      <w:r w:rsidRPr="00AE360E">
        <w:rPr>
          <w:rFonts w:ascii="Arial" w:hAnsi="Arial" w:cs="Arial"/>
          <w:sz w:val="24"/>
          <w:szCs w:val="24"/>
        </w:rPr>
        <w:t>30</w:t>
      </w:r>
      <w:r w:rsidR="008A3A40" w:rsidRPr="00AE360E">
        <w:rPr>
          <w:rFonts w:ascii="Arial" w:hAnsi="Arial" w:cs="Arial"/>
          <w:sz w:val="24"/>
          <w:szCs w:val="24"/>
        </w:rPr>
        <w:t>% (soit un facteur de perte 1.</w:t>
      </w:r>
      <w:r w:rsidRPr="00AE360E">
        <w:rPr>
          <w:rFonts w:ascii="Arial" w:hAnsi="Arial" w:cs="Arial"/>
          <w:sz w:val="24"/>
          <w:szCs w:val="24"/>
        </w:rPr>
        <w:t>43</w:t>
      </w:r>
      <w:r w:rsidR="008A3A40" w:rsidRPr="00AE360E">
        <w:rPr>
          <w:rFonts w:ascii="Arial" w:hAnsi="Arial" w:cs="Arial"/>
          <w:sz w:val="24"/>
          <w:szCs w:val="24"/>
        </w:rPr>
        <w:t>) et des objectifs de couverture vaccinale administrative équivalent</w:t>
      </w:r>
      <w:r w:rsidR="008A3C78" w:rsidRPr="00AE360E">
        <w:rPr>
          <w:rFonts w:ascii="Arial" w:hAnsi="Arial" w:cs="Arial"/>
          <w:sz w:val="24"/>
          <w:szCs w:val="24"/>
        </w:rPr>
        <w:t>s</w:t>
      </w:r>
      <w:r w:rsidR="008A3A40" w:rsidRPr="00AE360E">
        <w:rPr>
          <w:rFonts w:ascii="Arial" w:hAnsi="Arial" w:cs="Arial"/>
          <w:sz w:val="24"/>
          <w:szCs w:val="24"/>
        </w:rPr>
        <w:t xml:space="preserve"> à ceux de la troisième dose</w:t>
      </w:r>
      <w:r w:rsidR="008A3C78" w:rsidRPr="00AE360E">
        <w:rPr>
          <w:rFonts w:ascii="Arial" w:hAnsi="Arial" w:cs="Arial"/>
          <w:sz w:val="24"/>
          <w:szCs w:val="24"/>
        </w:rPr>
        <w:t xml:space="preserve"> du VPO3-</w:t>
      </w:r>
      <w:r w:rsidRPr="00AE360E">
        <w:rPr>
          <w:rFonts w:ascii="Arial" w:hAnsi="Arial" w:cs="Arial"/>
          <w:sz w:val="24"/>
          <w:szCs w:val="24"/>
        </w:rPr>
        <w:t>Penta3 seront appliqués</w:t>
      </w:r>
      <w:r w:rsidR="008A3C78" w:rsidRPr="00AE360E">
        <w:rPr>
          <w:rFonts w:ascii="Arial" w:hAnsi="Arial" w:cs="Arial"/>
          <w:sz w:val="24"/>
          <w:szCs w:val="24"/>
        </w:rPr>
        <w:t>.</w:t>
      </w:r>
    </w:p>
    <w:p w:rsidR="00A5321D" w:rsidRPr="00AE360E" w:rsidRDefault="00A21F42" w:rsidP="00AE360E">
      <w:pPr>
        <w:spacing w:after="120"/>
        <w:jc w:val="both"/>
        <w:rPr>
          <w:rFonts w:ascii="Arial" w:hAnsi="Arial" w:cs="Arial"/>
          <w:sz w:val="24"/>
          <w:szCs w:val="24"/>
        </w:rPr>
      </w:pPr>
      <w:r w:rsidRPr="00AE360E">
        <w:rPr>
          <w:rFonts w:ascii="Arial" w:hAnsi="Arial" w:cs="Arial"/>
          <w:sz w:val="24"/>
          <w:szCs w:val="24"/>
        </w:rPr>
        <w:t>P</w:t>
      </w:r>
      <w:r w:rsidR="00A874E5" w:rsidRPr="00AE360E">
        <w:rPr>
          <w:rFonts w:ascii="Arial" w:hAnsi="Arial" w:cs="Arial"/>
          <w:sz w:val="24"/>
          <w:szCs w:val="24"/>
        </w:rPr>
        <w:t xml:space="preserve">our </w:t>
      </w:r>
      <w:r w:rsidRPr="00AE360E">
        <w:rPr>
          <w:rFonts w:ascii="Arial" w:hAnsi="Arial" w:cs="Arial"/>
          <w:sz w:val="24"/>
          <w:szCs w:val="24"/>
        </w:rPr>
        <w:t xml:space="preserve">l’année </w:t>
      </w:r>
      <w:r w:rsidR="00A874E5" w:rsidRPr="00AE360E">
        <w:rPr>
          <w:rFonts w:ascii="Arial" w:hAnsi="Arial" w:cs="Arial"/>
          <w:sz w:val="24"/>
          <w:szCs w:val="24"/>
        </w:rPr>
        <w:t>2015</w:t>
      </w:r>
      <w:r w:rsidRPr="00AE360E">
        <w:rPr>
          <w:rFonts w:ascii="Arial" w:hAnsi="Arial" w:cs="Arial"/>
          <w:sz w:val="24"/>
          <w:szCs w:val="24"/>
        </w:rPr>
        <w:t>, la cible portera sur</w:t>
      </w:r>
      <w:r w:rsidR="00A874E5" w:rsidRPr="00AE360E">
        <w:rPr>
          <w:rFonts w:ascii="Arial" w:hAnsi="Arial" w:cs="Arial"/>
          <w:sz w:val="24"/>
          <w:szCs w:val="24"/>
        </w:rPr>
        <w:t xml:space="preserve"> une période de 6 mois</w:t>
      </w:r>
    </w:p>
    <w:p w:rsidR="00A5321D" w:rsidRDefault="0042014B" w:rsidP="00AE360E">
      <w:pPr>
        <w:spacing w:after="120"/>
        <w:jc w:val="both"/>
        <w:rPr>
          <w:rFonts w:ascii="Arial" w:eastAsia="MS PGothic" w:hAnsi="Arial" w:cs="Arial"/>
          <w:kern w:val="24"/>
          <w:sz w:val="32"/>
          <w:szCs w:val="32"/>
          <w:lang w:eastAsia="fr-FR"/>
        </w:rPr>
      </w:pPr>
      <w:r w:rsidRPr="00AE360E">
        <w:rPr>
          <w:rFonts w:ascii="Arial" w:hAnsi="Arial" w:cs="Arial"/>
          <w:sz w:val="24"/>
          <w:szCs w:val="24"/>
        </w:rPr>
        <w:t xml:space="preserve">Un stock de sécurité (25%) sera </w:t>
      </w:r>
      <w:r w:rsidR="00CF7507" w:rsidRPr="00AE360E">
        <w:rPr>
          <w:rFonts w:ascii="Arial" w:hAnsi="Arial" w:cs="Arial"/>
          <w:sz w:val="24"/>
          <w:szCs w:val="24"/>
        </w:rPr>
        <w:t>pris en compte pour la première année d’introduction</w:t>
      </w:r>
      <w:r w:rsidR="008A3C78" w:rsidRPr="00AE360E">
        <w:rPr>
          <w:rFonts w:ascii="Arial" w:eastAsia="MS PGothic" w:hAnsi="Arial" w:cs="Arial"/>
          <w:kern w:val="24"/>
          <w:sz w:val="32"/>
          <w:szCs w:val="32"/>
          <w:lang w:eastAsia="fr-FR"/>
        </w:rPr>
        <w:t>.</w:t>
      </w:r>
    </w:p>
    <w:p w:rsidR="00E03D56" w:rsidRDefault="00E03D56">
      <w:pPr>
        <w:rPr>
          <w:rFonts w:ascii="Arial" w:eastAsia="MS PGothic" w:hAnsi="Arial" w:cs="Arial"/>
          <w:kern w:val="24"/>
          <w:sz w:val="32"/>
          <w:szCs w:val="32"/>
          <w:lang w:eastAsia="fr-FR"/>
        </w:rPr>
      </w:pPr>
      <w:r>
        <w:rPr>
          <w:rFonts w:ascii="Arial" w:eastAsia="MS PGothic" w:hAnsi="Arial" w:cs="Arial"/>
          <w:kern w:val="24"/>
          <w:sz w:val="32"/>
          <w:szCs w:val="32"/>
          <w:lang w:eastAsia="fr-FR"/>
        </w:rPr>
        <w:br w:type="page"/>
      </w:r>
    </w:p>
    <w:p w:rsidR="0034167F" w:rsidRDefault="0034167F">
      <w:pPr>
        <w:rPr>
          <w:rFonts w:ascii="Arial" w:eastAsia="MS PGothic" w:hAnsi="Arial" w:cs="Arial"/>
          <w:kern w:val="24"/>
          <w:sz w:val="32"/>
          <w:szCs w:val="32"/>
          <w:lang w:eastAsia="fr-FR"/>
        </w:rPr>
      </w:pPr>
      <w:r w:rsidRPr="00EA43FD">
        <w:rPr>
          <w:rFonts w:ascii="Arial" w:eastAsia="SimSun" w:hAnsi="Arial" w:cs="Arial"/>
          <w:b/>
          <w:color w:val="000000"/>
          <w:sz w:val="24"/>
          <w:szCs w:val="24"/>
          <w:u w:val="single"/>
          <w:lang w:eastAsia="en-GB"/>
        </w:rPr>
        <w:lastRenderedPageBreak/>
        <w:t>Tableau II</w:t>
      </w:r>
      <w:r w:rsidRPr="00AE360E">
        <w:rPr>
          <w:rFonts w:ascii="Arial" w:eastAsia="SimSun" w:hAnsi="Arial" w:cs="Arial"/>
          <w:b/>
          <w:color w:val="000000"/>
          <w:sz w:val="24"/>
          <w:szCs w:val="24"/>
          <w:lang w:eastAsia="en-GB"/>
        </w:rPr>
        <w:t>. P</w:t>
      </w:r>
      <w:r>
        <w:rPr>
          <w:rFonts w:ascii="Arial" w:eastAsia="SimSun" w:hAnsi="Arial" w:cs="Arial"/>
          <w:b/>
          <w:color w:val="000000"/>
          <w:sz w:val="24"/>
          <w:szCs w:val="24"/>
          <w:lang w:eastAsia="en-GB"/>
        </w:rPr>
        <w:t>opulation</w:t>
      </w:r>
      <w:r w:rsidR="00EA43FD">
        <w:rPr>
          <w:rFonts w:ascii="Arial" w:eastAsia="SimSun" w:hAnsi="Arial" w:cs="Arial"/>
          <w:b/>
          <w:color w:val="000000"/>
          <w:sz w:val="24"/>
          <w:szCs w:val="24"/>
          <w:lang w:eastAsia="en-GB"/>
        </w:rPr>
        <w:t>s</w:t>
      </w:r>
      <w:r w:rsidR="00DB15BF">
        <w:rPr>
          <w:rFonts w:ascii="Arial" w:eastAsia="SimSun" w:hAnsi="Arial" w:cs="Arial"/>
          <w:b/>
          <w:color w:val="000000"/>
          <w:sz w:val="24"/>
          <w:szCs w:val="24"/>
          <w:lang w:eastAsia="en-GB"/>
        </w:rPr>
        <w:t xml:space="preserve"> et</w:t>
      </w:r>
      <w:r>
        <w:rPr>
          <w:rFonts w:ascii="Arial" w:eastAsia="SimSun" w:hAnsi="Arial" w:cs="Arial"/>
          <w:b/>
          <w:color w:val="000000"/>
          <w:sz w:val="24"/>
          <w:szCs w:val="24"/>
          <w:lang w:eastAsia="en-GB"/>
        </w:rPr>
        <w:t xml:space="preserve"> cibles attendues </w:t>
      </w:r>
    </w:p>
    <w:tbl>
      <w:tblPr>
        <w:tblW w:w="5000" w:type="pct"/>
        <w:tblCellMar>
          <w:left w:w="70" w:type="dxa"/>
          <w:right w:w="70" w:type="dxa"/>
        </w:tblCellMar>
        <w:tblLook w:val="04A0"/>
      </w:tblPr>
      <w:tblGrid>
        <w:gridCol w:w="1199"/>
        <w:gridCol w:w="1341"/>
        <w:gridCol w:w="1642"/>
        <w:gridCol w:w="1417"/>
        <w:gridCol w:w="1701"/>
        <w:gridCol w:w="1912"/>
      </w:tblGrid>
      <w:tr w:rsidR="007D6EDE" w:rsidRPr="00365715" w:rsidTr="00546F18">
        <w:trPr>
          <w:trHeight w:val="614"/>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EDE" w:rsidRPr="007A16C5" w:rsidRDefault="007D6EDE" w:rsidP="00AE360E">
            <w:pPr>
              <w:spacing w:after="0"/>
              <w:jc w:val="both"/>
              <w:rPr>
                <w:rFonts w:ascii="Arial" w:eastAsia="Times New Roman" w:hAnsi="Arial" w:cs="Arial"/>
                <w:b/>
                <w:bCs/>
                <w:color w:val="000000"/>
                <w:lang w:eastAsia="fr-FR"/>
              </w:rPr>
            </w:pPr>
            <w:r w:rsidRPr="00365715">
              <w:rPr>
                <w:rFonts w:ascii="Arial" w:eastAsia="Times New Roman" w:hAnsi="Arial" w:cs="Arial"/>
                <w:b/>
                <w:bCs/>
                <w:color w:val="000000"/>
                <w:lang w:eastAsia="fr-FR"/>
              </w:rPr>
              <w:t>Années</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7D6EDE" w:rsidRPr="007A16C5" w:rsidRDefault="007D6EDE" w:rsidP="00AE360E">
            <w:pPr>
              <w:spacing w:after="0"/>
              <w:jc w:val="both"/>
              <w:rPr>
                <w:rFonts w:ascii="Arial" w:eastAsia="Times New Roman" w:hAnsi="Arial" w:cs="Arial"/>
                <w:b/>
                <w:bCs/>
                <w:color w:val="000000"/>
                <w:lang w:eastAsia="fr-FR"/>
              </w:rPr>
            </w:pPr>
            <w:r w:rsidRPr="007A16C5">
              <w:rPr>
                <w:rFonts w:ascii="Arial" w:eastAsia="Times New Roman" w:hAnsi="Arial" w:cs="Arial"/>
                <w:b/>
                <w:bCs/>
                <w:color w:val="000000"/>
                <w:lang w:eastAsia="fr-FR"/>
              </w:rPr>
              <w:t xml:space="preserve">Pop </w:t>
            </w:r>
            <w:r w:rsidRPr="00365715">
              <w:rPr>
                <w:rFonts w:ascii="Arial" w:eastAsia="Times New Roman" w:hAnsi="Arial" w:cs="Arial"/>
                <w:b/>
                <w:bCs/>
                <w:color w:val="000000"/>
                <w:lang w:eastAsia="fr-FR"/>
              </w:rPr>
              <w:t>Totale</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7D6EDE" w:rsidRPr="00365715" w:rsidRDefault="007D6EDE" w:rsidP="00AE360E">
            <w:pPr>
              <w:spacing w:after="0"/>
              <w:jc w:val="both"/>
              <w:rPr>
                <w:rFonts w:ascii="Arial" w:eastAsia="Times New Roman" w:hAnsi="Arial" w:cs="Arial"/>
                <w:b/>
                <w:bCs/>
                <w:color w:val="000000"/>
                <w:lang w:eastAsia="fr-FR"/>
              </w:rPr>
            </w:pPr>
            <w:r w:rsidRPr="00365715">
              <w:rPr>
                <w:rFonts w:ascii="Arial" w:eastAsia="Times New Roman" w:hAnsi="Arial" w:cs="Arial"/>
                <w:b/>
                <w:bCs/>
                <w:color w:val="000000"/>
                <w:lang w:eastAsia="fr-FR"/>
              </w:rPr>
              <w:t>Naissances Vivantes</w:t>
            </w:r>
          </w:p>
        </w:tc>
        <w:tc>
          <w:tcPr>
            <w:tcW w:w="769" w:type="pct"/>
            <w:tcBorders>
              <w:top w:val="single" w:sz="4" w:space="0" w:color="auto"/>
              <w:left w:val="nil"/>
              <w:bottom w:val="single" w:sz="4" w:space="0" w:color="auto"/>
              <w:right w:val="single" w:sz="4" w:space="0" w:color="auto"/>
            </w:tcBorders>
          </w:tcPr>
          <w:p w:rsidR="007D6EDE" w:rsidRPr="00365715" w:rsidRDefault="007D6EDE" w:rsidP="00AE360E">
            <w:pPr>
              <w:spacing w:after="0"/>
              <w:jc w:val="both"/>
              <w:rPr>
                <w:rFonts w:ascii="Arial" w:eastAsia="Times New Roman" w:hAnsi="Arial" w:cs="Arial"/>
                <w:b/>
                <w:bCs/>
                <w:color w:val="000000"/>
                <w:lang w:eastAsia="fr-FR"/>
              </w:rPr>
            </w:pPr>
            <w:r w:rsidRPr="00365715">
              <w:rPr>
                <w:rFonts w:ascii="Arial" w:eastAsia="Times New Roman" w:hAnsi="Arial" w:cs="Arial"/>
                <w:b/>
                <w:bCs/>
                <w:color w:val="000000"/>
                <w:lang w:eastAsia="fr-FR"/>
              </w:rPr>
              <w:t>Survivants</w:t>
            </w:r>
          </w:p>
          <w:p w:rsidR="007D6EDE" w:rsidRPr="00365715" w:rsidRDefault="007D6EDE" w:rsidP="00AE360E">
            <w:pPr>
              <w:spacing w:after="0"/>
              <w:jc w:val="both"/>
              <w:rPr>
                <w:rFonts w:ascii="Arial" w:eastAsia="Times New Roman" w:hAnsi="Arial" w:cs="Arial"/>
                <w:b/>
                <w:bCs/>
                <w:color w:val="000000"/>
                <w:lang w:eastAsia="fr-FR"/>
              </w:rPr>
            </w:pPr>
            <w:r w:rsidRPr="00365715">
              <w:rPr>
                <w:rFonts w:ascii="Arial" w:eastAsia="Times New Roman" w:hAnsi="Arial" w:cs="Arial"/>
                <w:b/>
                <w:bCs/>
                <w:color w:val="000000"/>
                <w:lang w:eastAsia="fr-FR"/>
              </w:rPr>
              <w:t>(0-11mois)</w:t>
            </w:r>
          </w:p>
        </w:tc>
        <w:tc>
          <w:tcPr>
            <w:tcW w:w="923" w:type="pct"/>
            <w:tcBorders>
              <w:top w:val="single" w:sz="4" w:space="0" w:color="auto"/>
              <w:left w:val="nil"/>
              <w:bottom w:val="single" w:sz="4" w:space="0" w:color="auto"/>
              <w:right w:val="single" w:sz="4" w:space="0" w:color="auto"/>
            </w:tcBorders>
          </w:tcPr>
          <w:p w:rsidR="007D6EDE" w:rsidRPr="00365715" w:rsidRDefault="00096549" w:rsidP="00AE360E">
            <w:pPr>
              <w:spacing w:after="0"/>
              <w:jc w:val="both"/>
              <w:rPr>
                <w:rFonts w:ascii="Arial" w:eastAsia="Times New Roman" w:hAnsi="Arial" w:cs="Arial"/>
                <w:b/>
                <w:bCs/>
                <w:color w:val="000000"/>
                <w:lang w:eastAsia="fr-FR"/>
              </w:rPr>
            </w:pPr>
            <w:r w:rsidRPr="00365715">
              <w:rPr>
                <w:rFonts w:ascii="Arial" w:eastAsia="Times New Roman" w:hAnsi="Arial" w:cs="Arial"/>
                <w:b/>
                <w:bCs/>
                <w:color w:val="000000"/>
                <w:lang w:eastAsia="fr-FR"/>
              </w:rPr>
              <w:t>Objectif de couverture vaccinale</w:t>
            </w:r>
            <w:r w:rsidR="00546F18">
              <w:rPr>
                <w:rFonts w:ascii="Arial" w:eastAsia="Times New Roman" w:hAnsi="Arial" w:cs="Arial"/>
                <w:b/>
                <w:bCs/>
                <w:color w:val="000000"/>
                <w:lang w:eastAsia="fr-FR"/>
              </w:rPr>
              <w:t xml:space="preserve"> au </w:t>
            </w:r>
            <w:r w:rsidRPr="00365715">
              <w:rPr>
                <w:rFonts w:ascii="Arial" w:eastAsia="Times New Roman" w:hAnsi="Arial" w:cs="Arial"/>
                <w:b/>
                <w:bCs/>
                <w:color w:val="000000"/>
                <w:lang w:eastAsia="fr-FR"/>
              </w:rPr>
              <w:t xml:space="preserve"> VPI</w:t>
            </w:r>
          </w:p>
        </w:tc>
        <w:tc>
          <w:tcPr>
            <w:tcW w:w="1038" w:type="pct"/>
            <w:tcBorders>
              <w:top w:val="single" w:sz="4" w:space="0" w:color="auto"/>
              <w:left w:val="single" w:sz="4" w:space="0" w:color="auto"/>
              <w:bottom w:val="single" w:sz="4" w:space="0" w:color="auto"/>
              <w:right w:val="single" w:sz="4" w:space="0" w:color="auto"/>
            </w:tcBorders>
          </w:tcPr>
          <w:p w:rsidR="007D6EDE" w:rsidRPr="00365715" w:rsidRDefault="00546F18" w:rsidP="00AE360E">
            <w:pPr>
              <w:spacing w:after="0"/>
              <w:jc w:val="both"/>
              <w:rPr>
                <w:rFonts w:ascii="Arial" w:eastAsia="Times New Roman" w:hAnsi="Arial" w:cs="Arial"/>
                <w:b/>
                <w:bCs/>
                <w:color w:val="000000"/>
                <w:lang w:eastAsia="fr-FR"/>
              </w:rPr>
            </w:pPr>
            <w:r>
              <w:rPr>
                <w:rFonts w:ascii="Arial" w:eastAsia="Times New Roman" w:hAnsi="Arial" w:cs="Arial"/>
                <w:b/>
                <w:bCs/>
                <w:color w:val="000000"/>
                <w:lang w:eastAsia="fr-FR"/>
              </w:rPr>
              <w:t xml:space="preserve">Nombre </w:t>
            </w:r>
            <w:r w:rsidR="007D6EDE" w:rsidRPr="00365715">
              <w:rPr>
                <w:rFonts w:ascii="Arial" w:eastAsia="Times New Roman" w:hAnsi="Arial" w:cs="Arial"/>
                <w:b/>
                <w:bCs/>
                <w:color w:val="000000"/>
                <w:lang w:eastAsia="fr-FR"/>
              </w:rPr>
              <w:t>de personnes devant recevoir le VPI par an</w:t>
            </w:r>
          </w:p>
        </w:tc>
      </w:tr>
      <w:tr w:rsidR="007D6EDE" w:rsidRPr="00365715" w:rsidTr="00546F18">
        <w:trPr>
          <w:trHeight w:val="1291"/>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7D6EDE" w:rsidRPr="00365715" w:rsidRDefault="007D6EDE"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2015</w:t>
            </w:r>
          </w:p>
        </w:tc>
        <w:tc>
          <w:tcPr>
            <w:tcW w:w="728" w:type="pct"/>
            <w:tcBorders>
              <w:top w:val="nil"/>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13.588.935</w:t>
            </w:r>
          </w:p>
        </w:tc>
        <w:tc>
          <w:tcPr>
            <w:tcW w:w="891" w:type="pct"/>
            <w:tcBorders>
              <w:top w:val="nil"/>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556.941</w:t>
            </w:r>
          </w:p>
        </w:tc>
        <w:tc>
          <w:tcPr>
            <w:tcW w:w="769" w:type="pct"/>
            <w:tcBorders>
              <w:top w:val="nil"/>
              <w:left w:val="nil"/>
              <w:bottom w:val="single" w:sz="4" w:space="0" w:color="auto"/>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502.606</w:t>
            </w:r>
          </w:p>
        </w:tc>
        <w:tc>
          <w:tcPr>
            <w:tcW w:w="923" w:type="pct"/>
            <w:tcBorders>
              <w:top w:val="nil"/>
              <w:left w:val="nil"/>
              <w:bottom w:val="single" w:sz="4" w:space="0" w:color="auto"/>
              <w:right w:val="single" w:sz="4" w:space="0" w:color="auto"/>
            </w:tcBorders>
          </w:tcPr>
          <w:p w:rsidR="00365715" w:rsidRPr="00365715" w:rsidRDefault="00365715" w:rsidP="00AE360E">
            <w:pPr>
              <w:spacing w:after="0"/>
              <w:jc w:val="both"/>
              <w:rPr>
                <w:rFonts w:ascii="Arial" w:eastAsia="Times New Roman" w:hAnsi="Arial" w:cs="Arial"/>
                <w:b/>
                <w:lang w:val="en-GB" w:eastAsia="fr-FR"/>
              </w:rPr>
            </w:pPr>
          </w:p>
          <w:p w:rsidR="00365715" w:rsidRDefault="00365715" w:rsidP="00AE360E">
            <w:pPr>
              <w:spacing w:after="0"/>
              <w:jc w:val="both"/>
              <w:rPr>
                <w:rFonts w:ascii="Arial" w:eastAsia="Times New Roman" w:hAnsi="Arial" w:cs="Arial"/>
                <w:b/>
                <w:lang w:val="en-GB" w:eastAsia="fr-FR"/>
              </w:rPr>
            </w:pPr>
          </w:p>
          <w:p w:rsidR="007D6EDE" w:rsidRPr="00365715" w:rsidRDefault="00096549" w:rsidP="00AE360E">
            <w:pPr>
              <w:spacing w:after="0"/>
              <w:jc w:val="both"/>
              <w:rPr>
                <w:rFonts w:ascii="Arial" w:eastAsia="Times New Roman" w:hAnsi="Arial" w:cs="Arial"/>
                <w:lang w:eastAsia="fr-FR"/>
              </w:rPr>
            </w:pPr>
            <w:r w:rsidRPr="00365715">
              <w:rPr>
                <w:rFonts w:ascii="Arial" w:eastAsia="Times New Roman" w:hAnsi="Arial" w:cs="Arial"/>
                <w:b/>
                <w:lang w:val="en-GB" w:eastAsia="fr-FR"/>
              </w:rPr>
              <w:t>85%</w:t>
            </w:r>
          </w:p>
        </w:tc>
        <w:tc>
          <w:tcPr>
            <w:tcW w:w="1038" w:type="pct"/>
            <w:tcBorders>
              <w:top w:val="nil"/>
              <w:left w:val="single" w:sz="4" w:space="0" w:color="auto"/>
              <w:bottom w:val="single" w:sz="4" w:space="0" w:color="auto"/>
              <w:right w:val="single" w:sz="4" w:space="0" w:color="auto"/>
            </w:tcBorders>
            <w:shd w:val="clear" w:color="auto" w:fill="auto"/>
            <w:vAlign w:val="center"/>
          </w:tcPr>
          <w:p w:rsidR="004F2981" w:rsidRDefault="007D6EDE" w:rsidP="00AE360E">
            <w:pPr>
              <w:spacing w:after="0"/>
              <w:jc w:val="both"/>
              <w:rPr>
                <w:rFonts w:ascii="Arial" w:eastAsia="Times New Roman" w:hAnsi="Arial" w:cs="Arial"/>
                <w:lang w:eastAsia="fr-FR"/>
              </w:rPr>
            </w:pPr>
            <w:r w:rsidRPr="00365715">
              <w:rPr>
                <w:rFonts w:ascii="Arial" w:eastAsia="Times New Roman" w:hAnsi="Arial" w:cs="Arial"/>
                <w:b/>
                <w:lang w:eastAsia="fr-FR"/>
              </w:rPr>
              <w:t>213.608</w:t>
            </w:r>
          </w:p>
          <w:p w:rsidR="007D6EDE" w:rsidRPr="00365715" w:rsidRDefault="00ED2B73" w:rsidP="00AE360E">
            <w:pPr>
              <w:spacing w:after="0"/>
              <w:jc w:val="both"/>
              <w:rPr>
                <w:rFonts w:ascii="Arial" w:hAnsi="Arial" w:cs="Arial"/>
              </w:rPr>
            </w:pPr>
            <w:r w:rsidRPr="00ED2B73">
              <w:rPr>
                <w:rFonts w:ascii="Arial" w:eastAsia="Times New Roman" w:hAnsi="Arial" w:cs="Arial"/>
                <w:sz w:val="20"/>
                <w:szCs w:val="20"/>
                <w:lang w:eastAsia="fr-FR"/>
              </w:rPr>
              <w:t xml:space="preserve">(cible de </w:t>
            </w:r>
            <w:r w:rsidR="007D6EDE" w:rsidRPr="00ED2B73">
              <w:rPr>
                <w:rFonts w:ascii="Arial" w:eastAsia="Times New Roman" w:hAnsi="Arial" w:cs="Arial"/>
                <w:sz w:val="20"/>
                <w:szCs w:val="20"/>
                <w:lang w:eastAsia="fr-FR"/>
              </w:rPr>
              <w:t>6 mois pour introduction en Juin 2015)</w:t>
            </w:r>
          </w:p>
        </w:tc>
      </w:tr>
      <w:tr w:rsidR="007D6EDE" w:rsidRPr="00365715" w:rsidTr="00546F18">
        <w:trPr>
          <w:trHeight w:val="404"/>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7D6EDE" w:rsidRPr="00365715" w:rsidRDefault="007D6EDE"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2016</w:t>
            </w:r>
          </w:p>
        </w:tc>
        <w:tc>
          <w:tcPr>
            <w:tcW w:w="728" w:type="pct"/>
            <w:tcBorders>
              <w:top w:val="single" w:sz="4" w:space="0" w:color="auto"/>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14.072.956</w:t>
            </w:r>
          </w:p>
          <w:p w:rsidR="007D6EDE" w:rsidRPr="00365715" w:rsidRDefault="007D6EDE" w:rsidP="00AE360E">
            <w:pPr>
              <w:spacing w:after="0"/>
              <w:jc w:val="both"/>
              <w:rPr>
                <w:rFonts w:ascii="Arial" w:eastAsia="Times New Roman" w:hAnsi="Arial" w:cs="Arial"/>
                <w:lang w:val="en-GB" w:eastAsia="fr-FR"/>
              </w:rPr>
            </w:pPr>
          </w:p>
        </w:tc>
        <w:tc>
          <w:tcPr>
            <w:tcW w:w="891" w:type="pct"/>
            <w:tcBorders>
              <w:top w:val="nil"/>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576.991</w:t>
            </w:r>
          </w:p>
          <w:p w:rsidR="007D6EDE" w:rsidRPr="00365715" w:rsidRDefault="007D6EDE" w:rsidP="00AE360E">
            <w:pPr>
              <w:spacing w:after="0"/>
              <w:jc w:val="both"/>
              <w:rPr>
                <w:rFonts w:ascii="Arial" w:eastAsia="Times New Roman" w:hAnsi="Arial" w:cs="Arial"/>
                <w:lang w:val="en-GB" w:eastAsia="fr-FR"/>
              </w:rPr>
            </w:pPr>
          </w:p>
        </w:tc>
        <w:tc>
          <w:tcPr>
            <w:tcW w:w="769" w:type="pct"/>
            <w:tcBorders>
              <w:top w:val="nil"/>
              <w:left w:val="nil"/>
              <w:bottom w:val="single" w:sz="4" w:space="0" w:color="auto"/>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520.699</w:t>
            </w:r>
          </w:p>
        </w:tc>
        <w:tc>
          <w:tcPr>
            <w:tcW w:w="923" w:type="pct"/>
            <w:tcBorders>
              <w:top w:val="nil"/>
              <w:left w:val="nil"/>
              <w:bottom w:val="single" w:sz="4" w:space="0" w:color="auto"/>
              <w:right w:val="single" w:sz="4" w:space="0" w:color="auto"/>
            </w:tcBorders>
          </w:tcPr>
          <w:p w:rsidR="00365715" w:rsidRPr="00365715" w:rsidRDefault="00365715" w:rsidP="00AE360E">
            <w:pPr>
              <w:spacing w:after="0"/>
              <w:jc w:val="both"/>
              <w:rPr>
                <w:rFonts w:ascii="Arial" w:eastAsia="Times New Roman" w:hAnsi="Arial" w:cs="Arial"/>
                <w:b/>
                <w:lang w:val="en-GB" w:eastAsia="fr-FR"/>
              </w:rPr>
            </w:pPr>
          </w:p>
          <w:p w:rsidR="007D6EDE" w:rsidRPr="00365715" w:rsidRDefault="00096549"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87%</w:t>
            </w:r>
          </w:p>
        </w:tc>
        <w:tc>
          <w:tcPr>
            <w:tcW w:w="1038" w:type="pct"/>
            <w:tcBorders>
              <w:top w:val="nil"/>
              <w:left w:val="single" w:sz="4" w:space="0" w:color="auto"/>
              <w:bottom w:val="single" w:sz="4" w:space="0" w:color="auto"/>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453.008</w:t>
            </w:r>
          </w:p>
        </w:tc>
      </w:tr>
      <w:tr w:rsidR="007D6EDE" w:rsidRPr="00365715" w:rsidTr="00546F18">
        <w:trPr>
          <w:trHeight w:val="184"/>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7D6EDE" w:rsidRPr="00365715" w:rsidRDefault="007D6EDE"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2017</w:t>
            </w:r>
          </w:p>
        </w:tc>
        <w:tc>
          <w:tcPr>
            <w:tcW w:w="728" w:type="pct"/>
            <w:tcBorders>
              <w:top w:val="single" w:sz="4" w:space="0" w:color="auto"/>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14.579.583</w:t>
            </w:r>
          </w:p>
        </w:tc>
        <w:tc>
          <w:tcPr>
            <w:tcW w:w="891" w:type="pct"/>
            <w:tcBorders>
              <w:top w:val="nil"/>
              <w:left w:val="nil"/>
              <w:bottom w:val="single" w:sz="4" w:space="0" w:color="auto"/>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597.762</w:t>
            </w:r>
          </w:p>
        </w:tc>
        <w:tc>
          <w:tcPr>
            <w:tcW w:w="769" w:type="pct"/>
            <w:tcBorders>
              <w:top w:val="nil"/>
              <w:left w:val="nil"/>
              <w:bottom w:val="single" w:sz="4" w:space="0" w:color="auto"/>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539.444</w:t>
            </w:r>
          </w:p>
        </w:tc>
        <w:tc>
          <w:tcPr>
            <w:tcW w:w="923" w:type="pct"/>
            <w:tcBorders>
              <w:top w:val="nil"/>
              <w:left w:val="nil"/>
              <w:bottom w:val="single" w:sz="4" w:space="0" w:color="auto"/>
              <w:right w:val="single" w:sz="4" w:space="0" w:color="auto"/>
            </w:tcBorders>
          </w:tcPr>
          <w:p w:rsidR="007D6EDE" w:rsidRPr="00365715" w:rsidRDefault="00096549" w:rsidP="00AE360E">
            <w:pPr>
              <w:spacing w:after="0"/>
              <w:jc w:val="both"/>
              <w:rPr>
                <w:rFonts w:ascii="Arial" w:eastAsia="Times New Roman" w:hAnsi="Arial" w:cs="Arial"/>
                <w:lang w:val="en-GB" w:eastAsia="fr-FR"/>
              </w:rPr>
            </w:pPr>
            <w:r w:rsidRPr="00365715">
              <w:rPr>
                <w:rFonts w:ascii="Arial" w:eastAsia="Times New Roman" w:hAnsi="Arial" w:cs="Arial"/>
                <w:b/>
                <w:lang w:val="en-GB" w:eastAsia="fr-FR"/>
              </w:rPr>
              <w:t>90%</w:t>
            </w:r>
          </w:p>
        </w:tc>
        <w:tc>
          <w:tcPr>
            <w:tcW w:w="1038" w:type="pct"/>
            <w:tcBorders>
              <w:top w:val="nil"/>
              <w:left w:val="single" w:sz="4" w:space="0" w:color="auto"/>
              <w:bottom w:val="single" w:sz="4" w:space="0" w:color="auto"/>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5863DA" w:rsidP="00AE360E">
            <w:pPr>
              <w:spacing w:after="0"/>
              <w:jc w:val="both"/>
              <w:rPr>
                <w:rFonts w:ascii="Arial" w:eastAsia="Times New Roman" w:hAnsi="Arial" w:cs="Arial"/>
                <w:lang w:val="en-GB" w:eastAsia="fr-FR"/>
              </w:rPr>
            </w:pPr>
            <w:r w:rsidRPr="005863DA">
              <w:rPr>
                <w:rFonts w:ascii="Arial" w:eastAsia="Times New Roman" w:hAnsi="Arial" w:cs="Arial"/>
                <w:b/>
                <w:lang w:val="en-GB" w:eastAsia="fr-FR"/>
              </w:rPr>
              <w:t>485.500</w:t>
            </w:r>
          </w:p>
        </w:tc>
      </w:tr>
      <w:tr w:rsidR="007D6EDE" w:rsidRPr="00365715" w:rsidTr="00546F18">
        <w:trPr>
          <w:trHeight w:val="184"/>
        </w:trPr>
        <w:tc>
          <w:tcPr>
            <w:tcW w:w="651" w:type="pct"/>
            <w:tcBorders>
              <w:top w:val="nil"/>
              <w:left w:val="single" w:sz="4" w:space="0" w:color="auto"/>
              <w:bottom w:val="nil"/>
              <w:right w:val="single" w:sz="4" w:space="0" w:color="auto"/>
            </w:tcBorders>
            <w:shd w:val="clear" w:color="auto" w:fill="auto"/>
            <w:noWrap/>
            <w:vAlign w:val="center"/>
            <w:hideMark/>
          </w:tcPr>
          <w:p w:rsidR="007D6EDE" w:rsidRPr="00365715" w:rsidRDefault="007D6EDE" w:rsidP="00AE360E">
            <w:pPr>
              <w:spacing w:after="0"/>
              <w:jc w:val="both"/>
              <w:rPr>
                <w:rFonts w:ascii="Arial" w:eastAsia="Times New Roman" w:hAnsi="Arial" w:cs="Arial"/>
                <w:b/>
                <w:lang w:val="en-GB" w:eastAsia="fr-FR"/>
              </w:rPr>
            </w:pPr>
            <w:r w:rsidRPr="00365715">
              <w:rPr>
                <w:rFonts w:ascii="Arial" w:eastAsia="Times New Roman" w:hAnsi="Arial" w:cs="Arial"/>
                <w:b/>
                <w:lang w:val="en-GB" w:eastAsia="fr-FR"/>
              </w:rPr>
              <w:t>2018</w:t>
            </w:r>
          </w:p>
        </w:tc>
        <w:tc>
          <w:tcPr>
            <w:tcW w:w="728" w:type="pct"/>
            <w:tcBorders>
              <w:top w:val="nil"/>
              <w:left w:val="nil"/>
              <w:bottom w:val="nil"/>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15.104.448</w:t>
            </w:r>
          </w:p>
        </w:tc>
        <w:tc>
          <w:tcPr>
            <w:tcW w:w="891" w:type="pct"/>
            <w:tcBorders>
              <w:top w:val="nil"/>
              <w:left w:val="nil"/>
              <w:bottom w:val="nil"/>
              <w:right w:val="single" w:sz="4" w:space="0" w:color="auto"/>
            </w:tcBorders>
            <w:shd w:val="clear" w:color="auto" w:fill="auto"/>
            <w:noWrap/>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619.282</w:t>
            </w:r>
          </w:p>
        </w:tc>
        <w:tc>
          <w:tcPr>
            <w:tcW w:w="769" w:type="pct"/>
            <w:tcBorders>
              <w:top w:val="nil"/>
              <w:left w:val="nil"/>
              <w:bottom w:val="nil"/>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7D6EDE" w:rsidP="00AE360E">
            <w:pPr>
              <w:spacing w:after="0"/>
              <w:jc w:val="both"/>
              <w:rPr>
                <w:rFonts w:ascii="Arial" w:eastAsia="Times New Roman" w:hAnsi="Arial" w:cs="Arial"/>
                <w:lang w:val="en-GB" w:eastAsia="fr-FR"/>
              </w:rPr>
            </w:pPr>
            <w:r w:rsidRPr="00365715">
              <w:rPr>
                <w:rFonts w:ascii="Arial" w:eastAsia="Times New Roman" w:hAnsi="Arial" w:cs="Arial"/>
                <w:lang w:val="en-GB" w:eastAsia="fr-FR"/>
              </w:rPr>
              <w:t>558.864</w:t>
            </w:r>
          </w:p>
        </w:tc>
        <w:tc>
          <w:tcPr>
            <w:tcW w:w="923" w:type="pct"/>
            <w:tcBorders>
              <w:top w:val="nil"/>
              <w:left w:val="nil"/>
              <w:bottom w:val="nil"/>
              <w:right w:val="single" w:sz="4" w:space="0" w:color="auto"/>
            </w:tcBorders>
          </w:tcPr>
          <w:p w:rsidR="007D6EDE" w:rsidRPr="00365715" w:rsidRDefault="00096549" w:rsidP="00AE360E">
            <w:pPr>
              <w:spacing w:after="0"/>
              <w:jc w:val="both"/>
              <w:rPr>
                <w:rFonts w:ascii="Arial" w:eastAsia="Times New Roman" w:hAnsi="Arial" w:cs="Arial"/>
                <w:lang w:val="en-GB" w:eastAsia="fr-FR"/>
              </w:rPr>
            </w:pPr>
            <w:r w:rsidRPr="00365715">
              <w:rPr>
                <w:rFonts w:ascii="Arial" w:eastAsia="Times New Roman" w:hAnsi="Arial" w:cs="Arial"/>
                <w:b/>
                <w:lang w:val="en-GB" w:eastAsia="fr-FR"/>
              </w:rPr>
              <w:t>90%</w:t>
            </w:r>
          </w:p>
        </w:tc>
        <w:tc>
          <w:tcPr>
            <w:tcW w:w="1038" w:type="pct"/>
            <w:tcBorders>
              <w:top w:val="nil"/>
              <w:left w:val="single" w:sz="4" w:space="0" w:color="auto"/>
              <w:bottom w:val="nil"/>
              <w:right w:val="single" w:sz="4" w:space="0" w:color="auto"/>
            </w:tcBorders>
            <w:shd w:val="clear" w:color="auto" w:fill="auto"/>
            <w:vAlign w:val="center"/>
          </w:tcPr>
          <w:p w:rsidR="007D6EDE" w:rsidRPr="00365715" w:rsidRDefault="007D6EDE" w:rsidP="00AE360E">
            <w:pPr>
              <w:spacing w:after="0"/>
              <w:jc w:val="both"/>
              <w:rPr>
                <w:rFonts w:ascii="Arial" w:eastAsia="Times New Roman" w:hAnsi="Arial" w:cs="Arial"/>
                <w:lang w:val="en-GB" w:eastAsia="fr-FR"/>
              </w:rPr>
            </w:pPr>
          </w:p>
          <w:p w:rsidR="007D6EDE" w:rsidRPr="00365715" w:rsidRDefault="005863DA" w:rsidP="00AE360E">
            <w:pPr>
              <w:spacing w:after="0"/>
              <w:jc w:val="both"/>
              <w:rPr>
                <w:rFonts w:ascii="Arial" w:eastAsia="Times New Roman" w:hAnsi="Arial" w:cs="Arial"/>
                <w:lang w:val="en-GB" w:eastAsia="fr-FR"/>
              </w:rPr>
            </w:pPr>
            <w:r w:rsidRPr="005863DA">
              <w:rPr>
                <w:rFonts w:ascii="Arial" w:eastAsia="Times New Roman" w:hAnsi="Arial" w:cs="Arial"/>
                <w:b/>
                <w:lang w:val="en-GB" w:eastAsia="fr-FR"/>
              </w:rPr>
              <w:t>502.978</w:t>
            </w:r>
          </w:p>
        </w:tc>
      </w:tr>
      <w:tr w:rsidR="007D6EDE" w:rsidRPr="00365715" w:rsidTr="00546F18">
        <w:trPr>
          <w:trHeight w:val="43"/>
        </w:trPr>
        <w:tc>
          <w:tcPr>
            <w:tcW w:w="651" w:type="pct"/>
            <w:tcBorders>
              <w:top w:val="nil"/>
              <w:left w:val="single" w:sz="4" w:space="0" w:color="auto"/>
              <w:bottom w:val="single" w:sz="4" w:space="0" w:color="auto"/>
              <w:right w:val="single" w:sz="4" w:space="0" w:color="auto"/>
            </w:tcBorders>
            <w:shd w:val="clear" w:color="auto" w:fill="auto"/>
            <w:noWrap/>
            <w:vAlign w:val="bottom"/>
          </w:tcPr>
          <w:p w:rsidR="007D6EDE" w:rsidRPr="00365715" w:rsidRDefault="007D6EDE" w:rsidP="00AE360E">
            <w:pPr>
              <w:spacing w:after="0"/>
              <w:jc w:val="both"/>
              <w:rPr>
                <w:rFonts w:ascii="Arial" w:eastAsia="Times New Roman" w:hAnsi="Arial" w:cs="Arial"/>
                <w:b/>
                <w:lang w:val="en-GB" w:eastAsia="fr-FR"/>
              </w:rPr>
            </w:pPr>
          </w:p>
        </w:tc>
        <w:tc>
          <w:tcPr>
            <w:tcW w:w="728" w:type="pct"/>
            <w:tcBorders>
              <w:top w:val="nil"/>
              <w:left w:val="nil"/>
              <w:bottom w:val="single" w:sz="4" w:space="0" w:color="auto"/>
              <w:right w:val="single" w:sz="4" w:space="0" w:color="auto"/>
            </w:tcBorders>
            <w:shd w:val="clear" w:color="auto" w:fill="auto"/>
            <w:noWrap/>
          </w:tcPr>
          <w:p w:rsidR="007D6EDE" w:rsidRPr="00365715" w:rsidRDefault="007D6EDE" w:rsidP="00AE360E">
            <w:pPr>
              <w:spacing w:after="0"/>
              <w:jc w:val="both"/>
              <w:rPr>
                <w:rFonts w:ascii="Arial" w:eastAsia="Times New Roman" w:hAnsi="Arial" w:cs="Arial"/>
                <w:b/>
                <w:lang w:val="en-GB" w:eastAsia="fr-FR"/>
              </w:rPr>
            </w:pPr>
          </w:p>
        </w:tc>
        <w:tc>
          <w:tcPr>
            <w:tcW w:w="891" w:type="pct"/>
            <w:tcBorders>
              <w:top w:val="nil"/>
              <w:left w:val="nil"/>
              <w:bottom w:val="single" w:sz="4" w:space="0" w:color="auto"/>
              <w:right w:val="single" w:sz="4" w:space="0" w:color="auto"/>
            </w:tcBorders>
            <w:shd w:val="clear" w:color="auto" w:fill="auto"/>
            <w:noWrap/>
          </w:tcPr>
          <w:p w:rsidR="007D6EDE" w:rsidRPr="00365715" w:rsidRDefault="007D6EDE" w:rsidP="00AE360E">
            <w:pPr>
              <w:spacing w:after="0"/>
              <w:jc w:val="both"/>
              <w:rPr>
                <w:rFonts w:ascii="Arial" w:eastAsia="Times New Roman" w:hAnsi="Arial" w:cs="Arial"/>
                <w:b/>
                <w:lang w:val="en-GB" w:eastAsia="fr-FR"/>
              </w:rPr>
            </w:pPr>
          </w:p>
        </w:tc>
        <w:tc>
          <w:tcPr>
            <w:tcW w:w="769" w:type="pct"/>
            <w:tcBorders>
              <w:top w:val="nil"/>
              <w:left w:val="nil"/>
              <w:bottom w:val="single" w:sz="4" w:space="0" w:color="auto"/>
              <w:right w:val="single" w:sz="4" w:space="0" w:color="auto"/>
            </w:tcBorders>
            <w:shd w:val="clear" w:color="auto" w:fill="auto"/>
          </w:tcPr>
          <w:p w:rsidR="007D6EDE" w:rsidRPr="00365715" w:rsidRDefault="007D6EDE" w:rsidP="00AE360E">
            <w:pPr>
              <w:spacing w:after="0"/>
              <w:jc w:val="both"/>
              <w:rPr>
                <w:rFonts w:ascii="Arial" w:eastAsia="Times New Roman" w:hAnsi="Arial" w:cs="Arial"/>
                <w:b/>
                <w:lang w:val="en-GB" w:eastAsia="fr-FR"/>
              </w:rPr>
            </w:pPr>
          </w:p>
        </w:tc>
        <w:tc>
          <w:tcPr>
            <w:tcW w:w="923" w:type="pct"/>
            <w:tcBorders>
              <w:top w:val="nil"/>
              <w:left w:val="nil"/>
              <w:bottom w:val="single" w:sz="4" w:space="0" w:color="auto"/>
              <w:right w:val="single" w:sz="4" w:space="0" w:color="auto"/>
            </w:tcBorders>
          </w:tcPr>
          <w:p w:rsidR="007D6EDE" w:rsidRPr="00365715" w:rsidRDefault="007D6EDE" w:rsidP="00AE360E">
            <w:pPr>
              <w:spacing w:after="0"/>
              <w:jc w:val="both"/>
              <w:rPr>
                <w:rFonts w:ascii="Arial" w:eastAsia="Times New Roman" w:hAnsi="Arial" w:cs="Arial"/>
                <w:b/>
                <w:lang w:val="en-GB" w:eastAsia="fr-FR"/>
              </w:rPr>
            </w:pPr>
          </w:p>
        </w:tc>
        <w:tc>
          <w:tcPr>
            <w:tcW w:w="1038" w:type="pct"/>
            <w:tcBorders>
              <w:top w:val="nil"/>
              <w:left w:val="single" w:sz="4" w:space="0" w:color="auto"/>
              <w:bottom w:val="single" w:sz="4" w:space="0" w:color="auto"/>
              <w:right w:val="single" w:sz="4" w:space="0" w:color="auto"/>
            </w:tcBorders>
            <w:shd w:val="clear" w:color="auto" w:fill="auto"/>
          </w:tcPr>
          <w:p w:rsidR="007D6EDE" w:rsidRPr="00365715" w:rsidRDefault="007D6EDE" w:rsidP="00AE360E">
            <w:pPr>
              <w:spacing w:after="0"/>
              <w:jc w:val="both"/>
              <w:rPr>
                <w:rFonts w:ascii="Arial" w:eastAsia="Times New Roman" w:hAnsi="Arial" w:cs="Arial"/>
                <w:b/>
                <w:lang w:val="en-GB" w:eastAsia="fr-FR"/>
              </w:rPr>
            </w:pPr>
          </w:p>
        </w:tc>
      </w:tr>
    </w:tbl>
    <w:p w:rsidR="00CB60B7" w:rsidRDefault="00CB60B7" w:rsidP="00017C0F">
      <w:pPr>
        <w:spacing w:after="120"/>
        <w:jc w:val="both"/>
        <w:textAlignment w:val="baseline"/>
        <w:rPr>
          <w:rFonts w:ascii="Arial" w:eastAsia="MS PGothic" w:hAnsi="Arial" w:cs="Arial"/>
          <w:kern w:val="24"/>
          <w:sz w:val="32"/>
          <w:szCs w:val="32"/>
          <w:lang w:eastAsia="fr-FR"/>
        </w:rPr>
      </w:pPr>
    </w:p>
    <w:p w:rsidR="00017C0F" w:rsidRPr="00DB15BF" w:rsidRDefault="004F2981" w:rsidP="00017C0F">
      <w:pPr>
        <w:spacing w:after="120"/>
        <w:jc w:val="both"/>
        <w:textAlignment w:val="baseline"/>
        <w:rPr>
          <w:rFonts w:ascii="Arial" w:eastAsia="MS PGothic" w:hAnsi="Arial" w:cs="Arial"/>
          <w:kern w:val="24"/>
          <w:sz w:val="24"/>
          <w:szCs w:val="24"/>
          <w:lang w:eastAsia="fr-FR"/>
        </w:rPr>
      </w:pPr>
      <w:r w:rsidRPr="004F2981">
        <w:rPr>
          <w:rFonts w:ascii="Arial" w:eastAsia="MS PGothic" w:hAnsi="Arial" w:cs="Arial"/>
          <w:b/>
          <w:kern w:val="24"/>
          <w:sz w:val="24"/>
          <w:szCs w:val="24"/>
          <w:lang w:eastAsia="fr-FR"/>
        </w:rPr>
        <w:t>Nb</w:t>
      </w:r>
      <w:r>
        <w:rPr>
          <w:rFonts w:ascii="Arial" w:eastAsia="MS PGothic" w:hAnsi="Arial" w:cs="Arial"/>
          <w:kern w:val="24"/>
          <w:sz w:val="24"/>
          <w:szCs w:val="24"/>
          <w:lang w:eastAsia="fr-FR"/>
        </w:rPr>
        <w:t> : c</w:t>
      </w:r>
      <w:r w:rsidR="00017C0F" w:rsidRPr="00F440BD">
        <w:rPr>
          <w:rFonts w:ascii="Arial" w:eastAsia="MS PGothic" w:hAnsi="Arial" w:cs="Arial"/>
          <w:kern w:val="24"/>
          <w:sz w:val="24"/>
          <w:szCs w:val="24"/>
          <w:lang w:eastAsia="fr-FR"/>
        </w:rPr>
        <w:t xml:space="preserve">es projections </w:t>
      </w:r>
      <w:r w:rsidR="00D97C25">
        <w:rPr>
          <w:rFonts w:ascii="Arial" w:eastAsia="MS PGothic" w:hAnsi="Arial" w:cs="Arial"/>
          <w:kern w:val="24"/>
          <w:sz w:val="24"/>
          <w:szCs w:val="24"/>
          <w:lang w:eastAsia="fr-FR"/>
        </w:rPr>
        <w:t xml:space="preserve"> de couverture vaccinale </w:t>
      </w:r>
      <w:r w:rsidR="00017C0F" w:rsidRPr="00F440BD">
        <w:rPr>
          <w:rFonts w:ascii="Arial" w:eastAsia="MS PGothic" w:hAnsi="Arial" w:cs="Arial"/>
          <w:kern w:val="24"/>
          <w:sz w:val="24"/>
          <w:szCs w:val="24"/>
          <w:lang w:eastAsia="fr-FR"/>
        </w:rPr>
        <w:t xml:space="preserve">ont été faites  à partir des estimations nationales de la </w:t>
      </w:r>
      <w:r w:rsidR="00F440BD">
        <w:rPr>
          <w:rFonts w:ascii="Arial" w:eastAsia="MS PGothic" w:hAnsi="Arial" w:cs="Arial"/>
          <w:kern w:val="24"/>
          <w:sz w:val="24"/>
          <w:szCs w:val="24"/>
          <w:lang w:eastAsia="fr-FR"/>
        </w:rPr>
        <w:t>couverture du VPO3 et DTC3 (</w:t>
      </w:r>
      <w:r w:rsidR="00F440BD" w:rsidRPr="005863DA">
        <w:rPr>
          <w:rFonts w:ascii="Arial" w:eastAsia="MS PGothic" w:hAnsi="Arial" w:cs="Arial"/>
          <w:b/>
          <w:kern w:val="24"/>
          <w:sz w:val="24"/>
          <w:szCs w:val="24"/>
          <w:u w:val="single"/>
          <w:lang w:eastAsia="fr-FR"/>
        </w:rPr>
        <w:t>80</w:t>
      </w:r>
      <w:r w:rsidR="005863DA" w:rsidRPr="005863DA">
        <w:rPr>
          <w:rFonts w:ascii="Arial" w:eastAsia="MS PGothic" w:hAnsi="Arial" w:cs="Arial"/>
          <w:b/>
          <w:kern w:val="24"/>
          <w:sz w:val="24"/>
          <w:szCs w:val="24"/>
          <w:u w:val="single"/>
          <w:lang w:eastAsia="fr-FR"/>
        </w:rPr>
        <w:t>%, JRF2013</w:t>
      </w:r>
      <w:r w:rsidR="00017C0F" w:rsidRPr="00F440BD">
        <w:rPr>
          <w:rFonts w:ascii="Arial" w:eastAsia="MS PGothic" w:hAnsi="Arial" w:cs="Arial"/>
          <w:kern w:val="24"/>
          <w:sz w:val="24"/>
          <w:szCs w:val="24"/>
          <w:lang w:eastAsia="fr-FR"/>
        </w:rPr>
        <w:t>)</w:t>
      </w:r>
      <w:r w:rsidR="00DB15BF" w:rsidRPr="00DB15BF">
        <w:rPr>
          <w:rFonts w:ascii="Arial" w:eastAsia="MS PGothic" w:hAnsi="Arial" w:cs="Arial"/>
          <w:kern w:val="24"/>
          <w:sz w:val="24"/>
          <w:szCs w:val="24"/>
          <w:lang w:eastAsia="fr-FR"/>
        </w:rPr>
        <w:t xml:space="preserve">et des données de populations mises </w:t>
      </w:r>
      <w:r w:rsidR="00DB15BF">
        <w:rPr>
          <w:rFonts w:ascii="Arial" w:eastAsia="MS PGothic" w:hAnsi="Arial" w:cs="Arial"/>
          <w:kern w:val="24"/>
          <w:sz w:val="24"/>
          <w:szCs w:val="24"/>
          <w:lang w:eastAsia="fr-FR"/>
        </w:rPr>
        <w:t xml:space="preserve">à jour en 2013 par </w:t>
      </w:r>
      <w:r w:rsidR="00DB15BF" w:rsidRPr="00DB15BF">
        <w:rPr>
          <w:rFonts w:ascii="Arial" w:eastAsia="MS PGothic" w:hAnsi="Arial" w:cs="Arial"/>
          <w:b/>
          <w:kern w:val="24"/>
          <w:sz w:val="24"/>
          <w:szCs w:val="24"/>
          <w:lang w:eastAsia="fr-FR"/>
        </w:rPr>
        <w:t>le DSIS</w:t>
      </w:r>
      <w:r w:rsidR="00DB15BF">
        <w:rPr>
          <w:rFonts w:ascii="Arial" w:eastAsia="MS PGothic" w:hAnsi="Arial" w:cs="Arial"/>
          <w:kern w:val="24"/>
          <w:sz w:val="24"/>
          <w:szCs w:val="24"/>
          <w:lang w:eastAsia="fr-FR"/>
        </w:rPr>
        <w:t xml:space="preserve"> (Division du Système d’information Sanitaire) à partir du dernier recensement national de 2009.</w:t>
      </w:r>
    </w:p>
    <w:p w:rsidR="00F8759A" w:rsidRPr="00AE360E" w:rsidRDefault="00E820DF" w:rsidP="00AE360E">
      <w:pPr>
        <w:pStyle w:val="Paragraphedeliste"/>
        <w:numPr>
          <w:ilvl w:val="0"/>
          <w:numId w:val="4"/>
        </w:numPr>
        <w:spacing w:after="120"/>
        <w:jc w:val="both"/>
        <w:textAlignment w:val="baseline"/>
        <w:rPr>
          <w:rFonts w:ascii="Arial" w:eastAsia="MS PGothic" w:hAnsi="Arial" w:cs="Arial"/>
          <w:b/>
          <w:kern w:val="24"/>
          <w:sz w:val="28"/>
          <w:szCs w:val="28"/>
          <w:u w:val="single"/>
          <w:lang w:eastAsia="fr-FR"/>
        </w:rPr>
      </w:pPr>
      <w:r w:rsidRPr="00AE360E">
        <w:rPr>
          <w:rFonts w:ascii="Arial" w:eastAsia="MS PGothic" w:hAnsi="Arial" w:cs="Arial"/>
          <w:b/>
          <w:kern w:val="24"/>
          <w:sz w:val="28"/>
          <w:szCs w:val="28"/>
          <w:u w:val="single"/>
          <w:lang w:eastAsia="fr-FR"/>
        </w:rPr>
        <w:t>Méthode d’approvisionnement</w:t>
      </w:r>
      <w:r w:rsidR="00A21F42" w:rsidRPr="00AE360E">
        <w:rPr>
          <w:rFonts w:ascii="Arial" w:eastAsia="MS PGothic" w:hAnsi="Arial" w:cs="Arial"/>
          <w:b/>
          <w:kern w:val="24"/>
          <w:sz w:val="28"/>
          <w:szCs w:val="28"/>
          <w:u w:val="single"/>
          <w:lang w:eastAsia="fr-FR"/>
        </w:rPr>
        <w:t xml:space="preserve"> et de distribution</w:t>
      </w:r>
    </w:p>
    <w:p w:rsidR="00653B69" w:rsidRPr="00AE360E" w:rsidRDefault="00653B69" w:rsidP="00AE360E">
      <w:pPr>
        <w:spacing w:after="120"/>
        <w:jc w:val="both"/>
        <w:rPr>
          <w:rFonts w:ascii="Arial" w:hAnsi="Arial" w:cs="Arial"/>
          <w:sz w:val="24"/>
          <w:szCs w:val="24"/>
        </w:rPr>
      </w:pPr>
      <w:r w:rsidRPr="00AE360E">
        <w:rPr>
          <w:rFonts w:ascii="Arial" w:hAnsi="Arial" w:cs="Arial"/>
          <w:sz w:val="24"/>
          <w:szCs w:val="24"/>
        </w:rPr>
        <w:t xml:space="preserve">L’approvisionnement se fera à travers </w:t>
      </w:r>
      <w:r w:rsidR="007A6CFF" w:rsidRPr="00AE360E">
        <w:rPr>
          <w:rFonts w:ascii="Arial" w:hAnsi="Arial" w:cs="Arial"/>
          <w:sz w:val="24"/>
          <w:szCs w:val="24"/>
        </w:rPr>
        <w:t xml:space="preserve">la Centrale d’achat de </w:t>
      </w:r>
      <w:r w:rsidRPr="00AE360E">
        <w:rPr>
          <w:rFonts w:ascii="Arial" w:hAnsi="Arial" w:cs="Arial"/>
          <w:sz w:val="24"/>
          <w:szCs w:val="24"/>
        </w:rPr>
        <w:t xml:space="preserve">l’Unicef selon le système mis en place depuis des années. La commande des vaccins est amorcée à la fin de chaque année pour l’année suivante et ce à travers un marché de gré à gré signé par le Président de la République et le représentant de l’UNICEF sur la base d’un mémorandum </w:t>
      </w:r>
      <w:r w:rsidR="007A6CFF" w:rsidRPr="00AE360E">
        <w:rPr>
          <w:rFonts w:ascii="Arial" w:hAnsi="Arial" w:cs="Arial"/>
          <w:sz w:val="24"/>
          <w:szCs w:val="24"/>
        </w:rPr>
        <w:t xml:space="preserve"> d’entente </w:t>
      </w:r>
      <w:r w:rsidRPr="00AE360E">
        <w:rPr>
          <w:rFonts w:ascii="Arial" w:hAnsi="Arial" w:cs="Arial"/>
          <w:sz w:val="24"/>
          <w:szCs w:val="24"/>
        </w:rPr>
        <w:t xml:space="preserve">qui couvre généralement </w:t>
      </w:r>
      <w:r w:rsidR="007A6CFF" w:rsidRPr="00AE360E">
        <w:rPr>
          <w:rFonts w:ascii="Arial" w:hAnsi="Arial" w:cs="Arial"/>
          <w:sz w:val="24"/>
          <w:szCs w:val="24"/>
        </w:rPr>
        <w:t>un an</w:t>
      </w:r>
      <w:r w:rsidR="004F47F6" w:rsidRPr="00AE360E">
        <w:rPr>
          <w:rFonts w:ascii="Arial" w:hAnsi="Arial" w:cs="Arial"/>
          <w:sz w:val="24"/>
          <w:szCs w:val="24"/>
        </w:rPr>
        <w:t>.</w:t>
      </w:r>
    </w:p>
    <w:p w:rsidR="007A6CFF" w:rsidRPr="00AE360E" w:rsidRDefault="00653B69" w:rsidP="00AE360E">
      <w:pPr>
        <w:spacing w:after="120"/>
        <w:jc w:val="both"/>
        <w:rPr>
          <w:rFonts w:ascii="Arial" w:hAnsi="Arial" w:cs="Arial"/>
          <w:sz w:val="24"/>
          <w:szCs w:val="24"/>
        </w:rPr>
      </w:pPr>
      <w:r w:rsidRPr="00AE360E">
        <w:rPr>
          <w:rFonts w:ascii="Arial" w:hAnsi="Arial" w:cs="Arial"/>
          <w:sz w:val="24"/>
          <w:szCs w:val="24"/>
        </w:rPr>
        <w:t xml:space="preserve">L’estimation des besoins en vaccins et matériels d’injections se fait en fonction des objectifs de couverture retenus au niveau national. </w:t>
      </w:r>
    </w:p>
    <w:p w:rsidR="00653B69" w:rsidRPr="00AE360E" w:rsidRDefault="00653B69" w:rsidP="00AE360E">
      <w:pPr>
        <w:spacing w:after="120"/>
        <w:jc w:val="both"/>
        <w:rPr>
          <w:rFonts w:ascii="Arial" w:hAnsi="Arial" w:cs="Arial"/>
          <w:sz w:val="24"/>
          <w:szCs w:val="24"/>
        </w:rPr>
      </w:pPr>
      <w:r w:rsidRPr="00AE360E">
        <w:rPr>
          <w:rFonts w:ascii="Arial" w:hAnsi="Arial" w:cs="Arial"/>
          <w:sz w:val="24"/>
          <w:szCs w:val="24"/>
        </w:rPr>
        <w:t>Depuis 1996, l’Etat achète les vaccins traditionnels du PEV de r</w:t>
      </w:r>
      <w:r w:rsidR="004F47F6" w:rsidRPr="00AE360E">
        <w:rPr>
          <w:rFonts w:ascii="Arial" w:hAnsi="Arial" w:cs="Arial"/>
          <w:sz w:val="24"/>
          <w:szCs w:val="24"/>
        </w:rPr>
        <w:t>outine et assure régulièrement sa contribution</w:t>
      </w:r>
      <w:r w:rsidRPr="00AE360E">
        <w:rPr>
          <w:rFonts w:ascii="Arial" w:hAnsi="Arial" w:cs="Arial"/>
          <w:sz w:val="24"/>
          <w:szCs w:val="24"/>
        </w:rPr>
        <w:t xml:space="preserve"> au cofinancement avec GAVI </w:t>
      </w:r>
      <w:r w:rsidR="007A6CFF" w:rsidRPr="00AE360E">
        <w:rPr>
          <w:rFonts w:ascii="Arial" w:hAnsi="Arial" w:cs="Arial"/>
          <w:sz w:val="24"/>
          <w:szCs w:val="24"/>
        </w:rPr>
        <w:t xml:space="preserve">pour les </w:t>
      </w:r>
      <w:r w:rsidRPr="00AE360E">
        <w:rPr>
          <w:rFonts w:ascii="Arial" w:hAnsi="Arial" w:cs="Arial"/>
          <w:sz w:val="24"/>
          <w:szCs w:val="24"/>
        </w:rPr>
        <w:t xml:space="preserve"> vaccins</w:t>
      </w:r>
      <w:r w:rsidR="007A6CFF" w:rsidRPr="00AE360E">
        <w:rPr>
          <w:rFonts w:ascii="Arial" w:hAnsi="Arial" w:cs="Arial"/>
          <w:sz w:val="24"/>
          <w:szCs w:val="24"/>
        </w:rPr>
        <w:t xml:space="preserve"> nouveaux et </w:t>
      </w:r>
      <w:r w:rsidR="004F47F6" w:rsidRPr="00AE360E">
        <w:rPr>
          <w:rFonts w:ascii="Arial" w:hAnsi="Arial" w:cs="Arial"/>
          <w:sz w:val="24"/>
          <w:szCs w:val="24"/>
        </w:rPr>
        <w:t xml:space="preserve"> vaccins</w:t>
      </w:r>
      <w:r w:rsidRPr="00AE360E">
        <w:rPr>
          <w:rFonts w:ascii="Arial" w:hAnsi="Arial" w:cs="Arial"/>
          <w:sz w:val="24"/>
          <w:szCs w:val="24"/>
        </w:rPr>
        <w:t xml:space="preserve"> sous-utilisés</w:t>
      </w:r>
      <w:r w:rsidR="004F47F6" w:rsidRPr="00AE360E">
        <w:rPr>
          <w:rFonts w:ascii="Arial" w:hAnsi="Arial" w:cs="Arial"/>
          <w:sz w:val="24"/>
          <w:szCs w:val="24"/>
        </w:rPr>
        <w:t>.</w:t>
      </w:r>
    </w:p>
    <w:p w:rsidR="004F47F6" w:rsidRPr="00AE360E" w:rsidRDefault="00653B69" w:rsidP="00AE360E">
      <w:pPr>
        <w:spacing w:after="120"/>
        <w:jc w:val="both"/>
        <w:rPr>
          <w:rFonts w:ascii="Arial" w:hAnsi="Arial" w:cs="Arial"/>
          <w:sz w:val="24"/>
          <w:szCs w:val="24"/>
        </w:rPr>
      </w:pPr>
      <w:r w:rsidRPr="00AE360E">
        <w:rPr>
          <w:rFonts w:ascii="Arial" w:hAnsi="Arial" w:cs="Arial"/>
          <w:sz w:val="24"/>
          <w:szCs w:val="24"/>
        </w:rPr>
        <w:t>Le système de distribution des vaccins et consommables s’effectue</w:t>
      </w:r>
      <w:r w:rsidR="004F47F6" w:rsidRPr="00AE360E">
        <w:rPr>
          <w:rFonts w:ascii="Arial" w:hAnsi="Arial" w:cs="Arial"/>
          <w:sz w:val="24"/>
          <w:szCs w:val="24"/>
        </w:rPr>
        <w:t>rade la</w:t>
      </w:r>
      <w:r w:rsidRPr="00AE360E">
        <w:rPr>
          <w:rFonts w:ascii="Arial" w:hAnsi="Arial" w:cs="Arial"/>
          <w:sz w:val="24"/>
          <w:szCs w:val="24"/>
        </w:rPr>
        <w:t xml:space="preserve"> façon suivante : </w:t>
      </w:r>
    </w:p>
    <w:p w:rsidR="004F47F6" w:rsidRPr="00AE360E" w:rsidRDefault="004F47F6"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Le niveau central reçoit les livraisons semestriellement ;</w:t>
      </w:r>
    </w:p>
    <w:p w:rsidR="004F47F6" w:rsidRPr="00AE360E" w:rsidRDefault="004F47F6"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Les dépôts </w:t>
      </w:r>
      <w:r w:rsidR="0062486E" w:rsidRPr="00AE360E">
        <w:rPr>
          <w:rFonts w:ascii="Arial" w:hAnsi="Arial" w:cs="Arial"/>
          <w:sz w:val="24"/>
          <w:szCs w:val="24"/>
        </w:rPr>
        <w:t>sub</w:t>
      </w:r>
      <w:r w:rsidR="000429FD">
        <w:rPr>
          <w:rFonts w:ascii="Arial" w:hAnsi="Arial" w:cs="Arial"/>
          <w:sz w:val="24"/>
          <w:szCs w:val="24"/>
        </w:rPr>
        <w:t>-</w:t>
      </w:r>
      <w:r w:rsidR="0062486E" w:rsidRPr="00AE360E">
        <w:rPr>
          <w:rFonts w:ascii="Arial" w:hAnsi="Arial" w:cs="Arial"/>
          <w:sz w:val="24"/>
          <w:szCs w:val="24"/>
        </w:rPr>
        <w:t>nationaux</w:t>
      </w:r>
      <w:r w:rsidRPr="00AE360E">
        <w:rPr>
          <w:rFonts w:ascii="Arial" w:hAnsi="Arial" w:cs="Arial"/>
          <w:sz w:val="24"/>
          <w:szCs w:val="24"/>
        </w:rPr>
        <w:t xml:space="preserve"> sont approvisionnés trimestriellement ;</w:t>
      </w:r>
    </w:p>
    <w:p w:rsidR="004F47F6" w:rsidRPr="00AE360E" w:rsidRDefault="004F47F6"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Les districts s’approvisionnent une fois tous les deux mois au niveau des </w:t>
      </w:r>
      <w:r w:rsidR="00CB60B7" w:rsidRPr="00AE360E">
        <w:rPr>
          <w:rFonts w:ascii="Arial" w:hAnsi="Arial" w:cs="Arial"/>
          <w:sz w:val="24"/>
          <w:szCs w:val="24"/>
        </w:rPr>
        <w:t>dépôts</w:t>
      </w:r>
      <w:r w:rsidR="0062486E" w:rsidRPr="00AE360E">
        <w:rPr>
          <w:rFonts w:ascii="Arial" w:hAnsi="Arial" w:cs="Arial"/>
          <w:sz w:val="24"/>
          <w:szCs w:val="24"/>
        </w:rPr>
        <w:t>sub</w:t>
      </w:r>
      <w:r w:rsidR="000429FD">
        <w:rPr>
          <w:rFonts w:ascii="Arial" w:hAnsi="Arial" w:cs="Arial"/>
          <w:sz w:val="24"/>
          <w:szCs w:val="24"/>
        </w:rPr>
        <w:t>-</w:t>
      </w:r>
      <w:r w:rsidR="0062486E" w:rsidRPr="00AE360E">
        <w:rPr>
          <w:rFonts w:ascii="Arial" w:hAnsi="Arial" w:cs="Arial"/>
          <w:sz w:val="24"/>
          <w:szCs w:val="24"/>
        </w:rPr>
        <w:t>nationaux</w:t>
      </w:r>
    </w:p>
    <w:p w:rsidR="00FD1F2D" w:rsidRPr="00AE360E" w:rsidRDefault="004F47F6"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Les centres de santé  se ravitaillent </w:t>
      </w:r>
      <w:r w:rsidR="00653B69" w:rsidRPr="00AE360E">
        <w:rPr>
          <w:rFonts w:ascii="Arial" w:hAnsi="Arial" w:cs="Arial"/>
          <w:sz w:val="24"/>
          <w:szCs w:val="24"/>
        </w:rPr>
        <w:t>au niveau du district une fois par mois.</w:t>
      </w:r>
      <w:r w:rsidR="000F281E" w:rsidRPr="000F281E">
        <w:rPr>
          <w:rFonts w:ascii="Arial" w:hAnsi="Arial" w:cs="Arial"/>
          <w:noProof/>
          <w:lang w:eastAsia="fr-FR"/>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320.65pt;margin-top:9.3pt;width:0;height:0;z-index:251657216;visibility:visible;mso-wrap-distance-left:3.17494mm;mso-wrap-distance-top:-6e-5mm;mso-wrap-distance-right:3.17494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" strokecolor="#4a7ebb">
            <v:stroke endarrow="block"/>
            <o:lock v:ext="edit" shapetype="f"/>
          </v:shape>
        </w:pict>
      </w:r>
    </w:p>
    <w:p w:rsidR="00B078BB" w:rsidRPr="00AE360E" w:rsidRDefault="00B078BB" w:rsidP="00AE360E">
      <w:pPr>
        <w:pStyle w:val="Style2"/>
        <w:spacing w:line="276" w:lineRule="auto"/>
        <w:jc w:val="both"/>
        <w:rPr>
          <w:rFonts w:ascii="Arial" w:eastAsia="SimSun" w:hAnsi="Arial" w:cs="Arial"/>
          <w:color w:val="auto"/>
          <w:sz w:val="32"/>
          <w:lang w:val="fr-FR"/>
        </w:rPr>
      </w:pPr>
      <w:bookmarkStart w:id="5" w:name="_Toc397522412"/>
      <w:r w:rsidRPr="00AE360E">
        <w:rPr>
          <w:rFonts w:ascii="Arial" w:eastAsia="SimSun" w:hAnsi="Arial" w:cs="Arial"/>
          <w:color w:val="auto"/>
          <w:sz w:val="32"/>
          <w:lang w:val="fr-FR"/>
        </w:rPr>
        <w:lastRenderedPageBreak/>
        <w:t>Considérations liées à l’introduction et à la mise en œuvre</w:t>
      </w:r>
      <w:bookmarkEnd w:id="5"/>
    </w:p>
    <w:p w:rsidR="00B078BB" w:rsidRPr="00AE360E" w:rsidRDefault="00B078BB" w:rsidP="00AE360E">
      <w:pPr>
        <w:pStyle w:val="Style3"/>
        <w:spacing w:after="120" w:line="276" w:lineRule="auto"/>
        <w:jc w:val="both"/>
        <w:rPr>
          <w:rFonts w:ascii="Arial" w:hAnsi="Arial" w:cs="Arial"/>
          <w:color w:val="auto"/>
        </w:rPr>
      </w:pPr>
      <w:bookmarkStart w:id="6" w:name="_Toc397522413"/>
      <w:r w:rsidRPr="00AE360E">
        <w:rPr>
          <w:rFonts w:ascii="Arial" w:hAnsi="Arial" w:cs="Arial"/>
          <w:color w:val="auto"/>
        </w:rPr>
        <w:t xml:space="preserve">Elaboration des </w:t>
      </w:r>
      <w:r w:rsidRPr="00AE360E">
        <w:rPr>
          <w:rFonts w:ascii="Arial" w:hAnsi="Arial" w:cs="Arial"/>
          <w:color w:val="auto"/>
          <w:lang w:val="fr-FR"/>
        </w:rPr>
        <w:t>politiques</w:t>
      </w:r>
      <w:bookmarkEnd w:id="6"/>
    </w:p>
    <w:p w:rsidR="008A3C78" w:rsidRPr="00AE360E" w:rsidRDefault="006653F3" w:rsidP="00AE360E">
      <w:pPr>
        <w:spacing w:after="0"/>
        <w:jc w:val="both"/>
        <w:rPr>
          <w:rFonts w:ascii="Arial" w:eastAsia="Times New Roman" w:hAnsi="Arial" w:cs="Arial"/>
          <w:bCs/>
          <w:color w:val="1F497D"/>
          <w:sz w:val="28"/>
          <w:szCs w:val="28"/>
          <w:lang w:eastAsia="en-GB"/>
        </w:rPr>
      </w:pPr>
      <w:r w:rsidRPr="00AE360E">
        <w:rPr>
          <w:rFonts w:ascii="Arial" w:hAnsi="Arial" w:cs="Arial"/>
          <w:sz w:val="24"/>
          <w:szCs w:val="24"/>
        </w:rPr>
        <w:t>Le PPAC 2013-2017 n’avait pas pris en compte l’introduction du VPI. Il sera révisé   d’ici la fin de l’année 2014 pour prendre en compte  les orientations du Plan d’Action Mondial pour les Vaccins 2011-2020 et celles du Plan stratégique pour l’éradication de la poliomyélite et la Phase finale 2013-2018.</w:t>
      </w:r>
    </w:p>
    <w:p w:rsidR="006653F3" w:rsidRPr="00AE360E" w:rsidRDefault="006653F3" w:rsidP="00AE360E">
      <w:pPr>
        <w:spacing w:after="0"/>
        <w:jc w:val="both"/>
        <w:rPr>
          <w:rFonts w:ascii="Arial" w:eastAsia="Times New Roman" w:hAnsi="Arial" w:cs="Arial"/>
          <w:bCs/>
          <w:color w:val="1F497D"/>
          <w:sz w:val="28"/>
          <w:szCs w:val="28"/>
          <w:lang w:eastAsia="en-GB"/>
        </w:rPr>
      </w:pPr>
    </w:p>
    <w:p w:rsidR="004C5AF3" w:rsidRPr="00AE360E" w:rsidRDefault="008928C4" w:rsidP="00AE360E">
      <w:pPr>
        <w:spacing w:after="120"/>
        <w:jc w:val="both"/>
        <w:rPr>
          <w:rFonts w:ascii="Arial" w:hAnsi="Arial" w:cs="Arial"/>
          <w:sz w:val="24"/>
          <w:szCs w:val="24"/>
        </w:rPr>
      </w:pPr>
      <w:r w:rsidRPr="00AE360E">
        <w:rPr>
          <w:rFonts w:ascii="Arial" w:hAnsi="Arial" w:cs="Arial"/>
          <w:sz w:val="24"/>
          <w:szCs w:val="24"/>
        </w:rPr>
        <w:t xml:space="preserve">La politique nationale </w:t>
      </w:r>
      <w:r w:rsidR="003B37E7" w:rsidRPr="00AE360E">
        <w:rPr>
          <w:rFonts w:ascii="Arial" w:hAnsi="Arial" w:cs="Arial"/>
          <w:sz w:val="24"/>
          <w:szCs w:val="24"/>
        </w:rPr>
        <w:t xml:space="preserve">et le guide du PEV </w:t>
      </w:r>
      <w:r w:rsidR="00EF6F13" w:rsidRPr="00AE360E">
        <w:rPr>
          <w:rFonts w:ascii="Arial" w:hAnsi="Arial" w:cs="Arial"/>
          <w:sz w:val="24"/>
          <w:szCs w:val="24"/>
        </w:rPr>
        <w:t>relatif</w:t>
      </w:r>
      <w:r w:rsidR="003B37E7" w:rsidRPr="00AE360E">
        <w:rPr>
          <w:rFonts w:ascii="Arial" w:hAnsi="Arial" w:cs="Arial"/>
          <w:sz w:val="24"/>
          <w:szCs w:val="24"/>
        </w:rPr>
        <w:t>s</w:t>
      </w:r>
      <w:r w:rsidRPr="00AE360E">
        <w:rPr>
          <w:rFonts w:ascii="Arial" w:hAnsi="Arial" w:cs="Arial"/>
          <w:sz w:val="24"/>
          <w:szCs w:val="24"/>
        </w:rPr>
        <w:t xml:space="preserve"> au calendrier vaccinal ser</w:t>
      </w:r>
      <w:r w:rsidR="003B37E7" w:rsidRPr="00AE360E">
        <w:rPr>
          <w:rFonts w:ascii="Arial" w:hAnsi="Arial" w:cs="Arial"/>
          <w:sz w:val="24"/>
          <w:szCs w:val="24"/>
        </w:rPr>
        <w:t>ont révisés</w:t>
      </w:r>
      <w:r w:rsidRPr="00AE360E">
        <w:rPr>
          <w:rFonts w:ascii="Arial" w:hAnsi="Arial" w:cs="Arial"/>
          <w:sz w:val="24"/>
          <w:szCs w:val="24"/>
        </w:rPr>
        <w:t xml:space="preserve"> pour prendre en compte l’adjonction du VPI, l’âge et la voie d’administration et le site d’injection.</w:t>
      </w:r>
    </w:p>
    <w:p w:rsidR="004C5AF3" w:rsidRPr="00AE360E" w:rsidRDefault="004C5AF3" w:rsidP="00AE360E">
      <w:pPr>
        <w:spacing w:after="120"/>
        <w:jc w:val="both"/>
        <w:rPr>
          <w:rFonts w:ascii="Arial" w:hAnsi="Arial" w:cs="Arial"/>
          <w:sz w:val="24"/>
          <w:szCs w:val="24"/>
        </w:rPr>
      </w:pPr>
      <w:r w:rsidRPr="00AE360E">
        <w:rPr>
          <w:rFonts w:ascii="Arial" w:hAnsi="Arial" w:cs="Arial"/>
          <w:sz w:val="24"/>
          <w:szCs w:val="24"/>
        </w:rPr>
        <w:t>La politique du Flacon entamé sera aussi révisée pour prendre en compte la présentation du VPI qui sera fournie au pays.</w:t>
      </w:r>
    </w:p>
    <w:p w:rsidR="00CB60B7" w:rsidRPr="00AE360E" w:rsidRDefault="007C6993" w:rsidP="00AE360E">
      <w:pPr>
        <w:pStyle w:val="Paragraphedeliste"/>
        <w:numPr>
          <w:ilvl w:val="0"/>
          <w:numId w:val="24"/>
        </w:numPr>
        <w:spacing w:before="240" w:after="240"/>
        <w:jc w:val="both"/>
        <w:rPr>
          <w:rFonts w:ascii="Arial" w:hAnsi="Arial" w:cs="Arial"/>
          <w:b/>
          <w:sz w:val="24"/>
          <w:szCs w:val="24"/>
          <w:u w:val="single"/>
        </w:rPr>
      </w:pPr>
      <w:r w:rsidRPr="00AE360E">
        <w:rPr>
          <w:rFonts w:ascii="Arial" w:hAnsi="Arial" w:cs="Arial"/>
          <w:b/>
          <w:sz w:val="24"/>
          <w:szCs w:val="24"/>
          <w:u w:val="single"/>
        </w:rPr>
        <w:t>Changement du calendrier vaccinal</w:t>
      </w:r>
    </w:p>
    <w:p w:rsidR="00745FEB" w:rsidRPr="00AE360E" w:rsidRDefault="00745FEB" w:rsidP="00AE360E">
      <w:pPr>
        <w:spacing w:after="120"/>
        <w:jc w:val="both"/>
        <w:rPr>
          <w:rFonts w:ascii="Arial" w:hAnsi="Arial" w:cs="Arial"/>
          <w:sz w:val="24"/>
          <w:szCs w:val="24"/>
        </w:rPr>
      </w:pPr>
      <w:r w:rsidRPr="00AE360E">
        <w:rPr>
          <w:rFonts w:ascii="Arial" w:hAnsi="Arial" w:cs="Arial"/>
          <w:sz w:val="24"/>
          <w:szCs w:val="24"/>
        </w:rPr>
        <w:t xml:space="preserve">Le VPI sera administré dans le cadre de la vaccination de routine, aux enfants (0-11 mois), </w:t>
      </w:r>
      <w:r w:rsidRPr="00AE360E">
        <w:rPr>
          <w:rFonts w:ascii="Arial" w:hAnsi="Arial" w:cs="Arial"/>
          <w:sz w:val="24"/>
          <w:szCs w:val="24"/>
          <w:u w:val="single"/>
        </w:rPr>
        <w:t>en même temps que la troisième dose du VPO et du vaccin pentavalent (DTC-</w:t>
      </w:r>
      <w:r w:rsidR="004D5878" w:rsidRPr="00AE360E">
        <w:rPr>
          <w:rFonts w:ascii="Arial" w:hAnsi="Arial" w:cs="Arial"/>
          <w:sz w:val="24"/>
          <w:szCs w:val="24"/>
          <w:u w:val="single"/>
        </w:rPr>
        <w:t>HepB</w:t>
      </w:r>
      <w:r w:rsidRPr="00AE360E">
        <w:rPr>
          <w:rFonts w:ascii="Arial" w:hAnsi="Arial" w:cs="Arial"/>
          <w:sz w:val="24"/>
          <w:szCs w:val="24"/>
          <w:u w:val="single"/>
        </w:rPr>
        <w:t>-Hib), à la 14eme semaine</w:t>
      </w:r>
      <w:r w:rsidRPr="00AE360E">
        <w:rPr>
          <w:rFonts w:ascii="Arial" w:hAnsi="Arial" w:cs="Arial"/>
          <w:sz w:val="24"/>
          <w:szCs w:val="24"/>
        </w:rPr>
        <w:t>, comme indiqué ci-dessous :</w:t>
      </w:r>
    </w:p>
    <w:p w:rsidR="00745FEB" w:rsidRPr="00AE360E" w:rsidRDefault="00745FEB" w:rsidP="00AE360E">
      <w:pPr>
        <w:spacing w:after="120"/>
        <w:jc w:val="both"/>
        <w:rPr>
          <w:rFonts w:ascii="Arial" w:hAnsi="Arial" w:cs="Arial"/>
          <w:sz w:val="24"/>
          <w:szCs w:val="24"/>
        </w:rPr>
      </w:pPr>
      <w:r w:rsidRPr="007535AE">
        <w:rPr>
          <w:rFonts w:ascii="Arial" w:hAnsi="Arial" w:cs="Arial"/>
          <w:sz w:val="24"/>
          <w:szCs w:val="24"/>
        </w:rPr>
        <w:t xml:space="preserve">Le VPI sera administré par voie intramusculaire au niveau de la </w:t>
      </w:r>
      <w:r w:rsidR="00AE7811">
        <w:rPr>
          <w:rFonts w:ascii="Arial" w:hAnsi="Arial" w:cs="Arial"/>
          <w:sz w:val="24"/>
          <w:szCs w:val="24"/>
        </w:rPr>
        <w:t>face anté</w:t>
      </w:r>
      <w:r w:rsidR="004D5878">
        <w:rPr>
          <w:rFonts w:ascii="Arial" w:hAnsi="Arial" w:cs="Arial"/>
          <w:sz w:val="24"/>
          <w:szCs w:val="24"/>
        </w:rPr>
        <w:t>ro-</w:t>
      </w:r>
      <w:r w:rsidR="00B26D54" w:rsidRPr="007535AE">
        <w:rPr>
          <w:rFonts w:ascii="Arial" w:hAnsi="Arial" w:cs="Arial"/>
          <w:sz w:val="24"/>
          <w:szCs w:val="24"/>
        </w:rPr>
        <w:t xml:space="preserve">externe </w:t>
      </w:r>
      <w:r w:rsidRPr="007535AE">
        <w:rPr>
          <w:rFonts w:ascii="Arial" w:hAnsi="Arial" w:cs="Arial"/>
          <w:sz w:val="24"/>
          <w:szCs w:val="24"/>
        </w:rPr>
        <w:t>cuissegauche</w:t>
      </w:r>
      <w:r w:rsidRPr="00AE360E">
        <w:rPr>
          <w:rFonts w:ascii="Arial" w:hAnsi="Arial" w:cs="Arial"/>
          <w:sz w:val="24"/>
          <w:szCs w:val="24"/>
        </w:rPr>
        <w:t>.Tenant compte des informations ci-dessus, le nouveau calendrier vaccinal se présentera comme suit </w:t>
      </w:r>
    </w:p>
    <w:p w:rsidR="003326A2" w:rsidRPr="00AE360E" w:rsidRDefault="003326A2" w:rsidP="00AE360E">
      <w:pPr>
        <w:jc w:val="both"/>
        <w:rPr>
          <w:rFonts w:ascii="Arial" w:hAnsi="Arial" w:cs="Arial"/>
          <w:sz w:val="24"/>
          <w:szCs w:val="24"/>
        </w:rPr>
      </w:pPr>
      <w:r w:rsidRPr="00AE360E">
        <w:rPr>
          <w:rFonts w:ascii="Arial" w:hAnsi="Arial" w:cs="Arial"/>
          <w:sz w:val="24"/>
          <w:szCs w:val="24"/>
        </w:rPr>
        <w:br w:type="page"/>
      </w:r>
    </w:p>
    <w:p w:rsidR="00745FEB" w:rsidRPr="00AE360E" w:rsidRDefault="0053487D" w:rsidP="00AE360E">
      <w:pPr>
        <w:spacing w:after="120"/>
        <w:jc w:val="both"/>
        <w:rPr>
          <w:rFonts w:ascii="Arial" w:hAnsi="Arial" w:cs="Arial"/>
          <w:sz w:val="24"/>
          <w:szCs w:val="24"/>
        </w:rPr>
      </w:pPr>
      <w:r w:rsidRPr="0053487D">
        <w:rPr>
          <w:rFonts w:ascii="Arial" w:eastAsia="SimSun" w:hAnsi="Arial" w:cs="Arial"/>
          <w:b/>
          <w:color w:val="000000"/>
          <w:sz w:val="24"/>
          <w:szCs w:val="24"/>
          <w:u w:val="single"/>
          <w:lang w:eastAsia="en-GB"/>
        </w:rPr>
        <w:lastRenderedPageBreak/>
        <w:t>Tableau III</w:t>
      </w:r>
      <w:r w:rsidRPr="00AE360E">
        <w:rPr>
          <w:rFonts w:ascii="Arial" w:eastAsia="SimSun" w:hAnsi="Arial" w:cs="Arial"/>
          <w:b/>
          <w:color w:val="000000"/>
          <w:sz w:val="24"/>
          <w:szCs w:val="24"/>
          <w:lang w:eastAsia="en-GB"/>
        </w:rPr>
        <w:t xml:space="preserve">. </w:t>
      </w:r>
      <w:r>
        <w:rPr>
          <w:rFonts w:ascii="Arial" w:eastAsia="SimSun" w:hAnsi="Arial" w:cs="Arial"/>
          <w:b/>
          <w:color w:val="000000"/>
          <w:sz w:val="24"/>
          <w:szCs w:val="24"/>
          <w:lang w:eastAsia="en-GB"/>
        </w:rPr>
        <w:t>Calendrier vaccinal et site d’administration des vaccins</w:t>
      </w:r>
    </w:p>
    <w:tbl>
      <w:tblPr>
        <w:tblpPr w:leftFromText="141" w:rightFromText="141" w:vertAnchor="text" w:horzAnchor="margin" w:tblpXSpec="center" w:tblpY="230"/>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2682"/>
        <w:gridCol w:w="2427"/>
        <w:gridCol w:w="2369"/>
      </w:tblGrid>
      <w:tr w:rsidR="00745FEB" w:rsidRPr="0062486E" w:rsidTr="004D5878">
        <w:trPr>
          <w:trHeight w:val="320"/>
        </w:trPr>
        <w:tc>
          <w:tcPr>
            <w:tcW w:w="1962" w:type="dxa"/>
            <w:shd w:val="clear" w:color="auto" w:fill="auto"/>
          </w:tcPr>
          <w:p w:rsidR="00745FEB" w:rsidRPr="0062486E" w:rsidRDefault="00745FEB" w:rsidP="00AE360E">
            <w:pPr>
              <w:spacing w:after="0"/>
              <w:ind w:right="235"/>
              <w:contextualSpacing/>
              <w:jc w:val="both"/>
              <w:rPr>
                <w:rFonts w:ascii="Arial" w:eastAsia="Calibri" w:hAnsi="Arial" w:cs="Arial"/>
                <w:b/>
                <w:sz w:val="24"/>
                <w:szCs w:val="24"/>
              </w:rPr>
            </w:pPr>
            <w:r w:rsidRPr="0062486E">
              <w:rPr>
                <w:rFonts w:ascii="Arial" w:eastAsia="Calibri" w:hAnsi="Arial" w:cs="Arial"/>
                <w:b/>
                <w:sz w:val="24"/>
                <w:szCs w:val="24"/>
              </w:rPr>
              <w:t>Age</w:t>
            </w:r>
          </w:p>
        </w:tc>
        <w:tc>
          <w:tcPr>
            <w:tcW w:w="2682" w:type="dxa"/>
            <w:shd w:val="clear" w:color="auto" w:fill="auto"/>
          </w:tcPr>
          <w:p w:rsidR="00745FEB" w:rsidRPr="0062486E" w:rsidRDefault="00745FEB" w:rsidP="00AE360E">
            <w:pPr>
              <w:spacing w:after="0"/>
              <w:ind w:right="235"/>
              <w:contextualSpacing/>
              <w:jc w:val="both"/>
              <w:rPr>
                <w:rFonts w:ascii="Arial" w:eastAsia="Calibri" w:hAnsi="Arial" w:cs="Arial"/>
                <w:b/>
                <w:sz w:val="24"/>
                <w:szCs w:val="24"/>
              </w:rPr>
            </w:pPr>
            <w:r w:rsidRPr="0062486E">
              <w:rPr>
                <w:rFonts w:ascii="Arial" w:eastAsia="Calibri" w:hAnsi="Arial" w:cs="Arial"/>
                <w:b/>
                <w:sz w:val="24"/>
                <w:szCs w:val="24"/>
              </w:rPr>
              <w:t>Vaccins</w:t>
            </w:r>
          </w:p>
          <w:p w:rsidR="00745FEB" w:rsidRPr="0062486E" w:rsidRDefault="00745FEB" w:rsidP="00AE360E">
            <w:pPr>
              <w:spacing w:after="0"/>
              <w:ind w:right="235"/>
              <w:contextualSpacing/>
              <w:jc w:val="both"/>
              <w:rPr>
                <w:rFonts w:ascii="Arial" w:eastAsia="Calibri" w:hAnsi="Arial" w:cs="Arial"/>
                <w:b/>
                <w:sz w:val="24"/>
                <w:szCs w:val="24"/>
              </w:rPr>
            </w:pPr>
          </w:p>
        </w:tc>
        <w:tc>
          <w:tcPr>
            <w:tcW w:w="2427" w:type="dxa"/>
          </w:tcPr>
          <w:p w:rsidR="00745FEB" w:rsidRPr="0062486E" w:rsidRDefault="00745FEB" w:rsidP="00AE360E">
            <w:pPr>
              <w:spacing w:after="0"/>
              <w:ind w:right="235"/>
              <w:contextualSpacing/>
              <w:jc w:val="both"/>
              <w:rPr>
                <w:rFonts w:ascii="Arial" w:eastAsia="Calibri" w:hAnsi="Arial" w:cs="Arial"/>
                <w:b/>
                <w:sz w:val="24"/>
                <w:szCs w:val="24"/>
              </w:rPr>
            </w:pPr>
            <w:r w:rsidRPr="0062486E">
              <w:rPr>
                <w:rFonts w:ascii="Arial" w:eastAsia="Calibri" w:hAnsi="Arial" w:cs="Arial"/>
                <w:b/>
                <w:sz w:val="24"/>
                <w:szCs w:val="24"/>
              </w:rPr>
              <w:t>Voie d’administration</w:t>
            </w:r>
          </w:p>
        </w:tc>
        <w:tc>
          <w:tcPr>
            <w:tcW w:w="2369" w:type="dxa"/>
          </w:tcPr>
          <w:p w:rsidR="00745FEB" w:rsidRPr="0062486E" w:rsidRDefault="00745FEB" w:rsidP="00AE360E">
            <w:pPr>
              <w:spacing w:after="0"/>
              <w:ind w:right="235"/>
              <w:contextualSpacing/>
              <w:jc w:val="both"/>
              <w:rPr>
                <w:rFonts w:ascii="Arial" w:eastAsia="Calibri" w:hAnsi="Arial" w:cs="Arial"/>
                <w:b/>
                <w:sz w:val="24"/>
                <w:szCs w:val="24"/>
              </w:rPr>
            </w:pPr>
            <w:r w:rsidRPr="0062486E">
              <w:rPr>
                <w:rFonts w:ascii="Arial" w:eastAsia="Calibri" w:hAnsi="Arial" w:cs="Arial"/>
                <w:b/>
                <w:sz w:val="24"/>
                <w:szCs w:val="24"/>
              </w:rPr>
              <w:t>Sites d’administration</w:t>
            </w:r>
          </w:p>
        </w:tc>
      </w:tr>
      <w:tr w:rsidR="00745FEB" w:rsidRPr="0062486E" w:rsidTr="004D5878">
        <w:trPr>
          <w:trHeight w:val="312"/>
        </w:trPr>
        <w:tc>
          <w:tcPr>
            <w:tcW w:w="1962" w:type="dxa"/>
            <w:vMerge w:val="restart"/>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r w:rsidRPr="0062486E">
              <w:rPr>
                <w:rFonts w:ascii="Arial" w:eastAsia="Calibri" w:hAnsi="Arial" w:cs="Arial"/>
                <w:b/>
                <w:sz w:val="24"/>
                <w:szCs w:val="24"/>
              </w:rPr>
              <w:t>Naissance</w:t>
            </w: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VPO zéro</w:t>
            </w:r>
          </w:p>
          <w:p w:rsidR="00745FEB" w:rsidRPr="0062486E" w:rsidRDefault="00745FEB" w:rsidP="004D5878">
            <w:pPr>
              <w:spacing w:after="0"/>
              <w:ind w:right="235"/>
              <w:contextualSpacing/>
              <w:rPr>
                <w:rFonts w:ascii="Arial" w:eastAsia="Calibri" w:hAnsi="Arial" w:cs="Arial"/>
                <w:sz w:val="24"/>
                <w:szCs w:val="24"/>
              </w:rPr>
            </w:pPr>
          </w:p>
        </w:tc>
        <w:tc>
          <w:tcPr>
            <w:tcW w:w="2427"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oral</w:t>
            </w:r>
          </w:p>
        </w:tc>
        <w:tc>
          <w:tcPr>
            <w:tcW w:w="2369" w:type="dxa"/>
            <w:vAlign w:val="center"/>
          </w:tcPr>
          <w:p w:rsidR="00745FEB" w:rsidRPr="0062486E" w:rsidRDefault="00745FEB" w:rsidP="004D5878">
            <w:pPr>
              <w:spacing w:after="0"/>
              <w:ind w:right="235"/>
              <w:contextualSpacing/>
              <w:rPr>
                <w:rFonts w:ascii="Arial" w:eastAsia="Calibri" w:hAnsi="Arial" w:cs="Arial"/>
                <w:sz w:val="24"/>
                <w:szCs w:val="24"/>
              </w:rPr>
            </w:pPr>
          </w:p>
          <w:p w:rsidR="00745FEB" w:rsidRPr="0062486E" w:rsidRDefault="00745FEB" w:rsidP="004D5878">
            <w:pPr>
              <w:spacing w:after="0"/>
              <w:ind w:right="235"/>
              <w:contextualSpacing/>
              <w:rPr>
                <w:rFonts w:ascii="Arial" w:eastAsia="Calibri" w:hAnsi="Arial" w:cs="Arial"/>
                <w:sz w:val="24"/>
                <w:szCs w:val="24"/>
              </w:rPr>
            </w:pPr>
          </w:p>
        </w:tc>
      </w:tr>
      <w:tr w:rsidR="00745FEB" w:rsidRPr="0062486E" w:rsidTr="004D5878">
        <w:trPr>
          <w:trHeight w:val="133"/>
        </w:trPr>
        <w:tc>
          <w:tcPr>
            <w:tcW w:w="1962" w:type="dxa"/>
            <w:vMerge/>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BCG</w:t>
            </w:r>
          </w:p>
        </w:tc>
        <w:tc>
          <w:tcPr>
            <w:tcW w:w="2427"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Intradermique</w:t>
            </w:r>
          </w:p>
          <w:p w:rsidR="00745FEB" w:rsidRPr="0062486E" w:rsidRDefault="00745FEB" w:rsidP="004D5878">
            <w:pPr>
              <w:spacing w:after="0"/>
              <w:ind w:right="235"/>
              <w:contextualSpacing/>
              <w:rPr>
                <w:rFonts w:ascii="Arial" w:eastAsia="Calibri" w:hAnsi="Arial" w:cs="Arial"/>
                <w:sz w:val="24"/>
                <w:szCs w:val="24"/>
              </w:rPr>
            </w:pPr>
          </w:p>
        </w:tc>
        <w:tc>
          <w:tcPr>
            <w:tcW w:w="2369"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Face interne avant-bras Gauche</w:t>
            </w:r>
          </w:p>
        </w:tc>
      </w:tr>
      <w:tr w:rsidR="00745FEB" w:rsidRPr="0062486E" w:rsidTr="004D5878">
        <w:trPr>
          <w:trHeight w:val="312"/>
        </w:trPr>
        <w:tc>
          <w:tcPr>
            <w:tcW w:w="1962" w:type="dxa"/>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r w:rsidRPr="0062486E">
              <w:rPr>
                <w:rFonts w:ascii="Arial" w:eastAsia="Calibri" w:hAnsi="Arial" w:cs="Arial"/>
                <w:b/>
                <w:sz w:val="24"/>
                <w:szCs w:val="24"/>
              </w:rPr>
              <w:t>6 semaines</w:t>
            </w:r>
          </w:p>
          <w:p w:rsidR="00745FEB" w:rsidRPr="0062486E" w:rsidRDefault="00745FEB" w:rsidP="004D5878">
            <w:pPr>
              <w:spacing w:after="0"/>
              <w:ind w:right="235"/>
              <w:contextualSpacing/>
              <w:rPr>
                <w:rFonts w:ascii="Arial" w:eastAsia="Calibri" w:hAnsi="Arial" w:cs="Arial"/>
                <w:b/>
                <w:sz w:val="24"/>
                <w:szCs w:val="24"/>
              </w:rPr>
            </w:pP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DTC-Hepb-Hib1 + VPO1</w:t>
            </w:r>
          </w:p>
        </w:tc>
        <w:tc>
          <w:tcPr>
            <w:tcW w:w="2427"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intramusculaire</w:t>
            </w:r>
          </w:p>
        </w:tc>
        <w:tc>
          <w:tcPr>
            <w:tcW w:w="2369"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Face antéro-externe de la cuisse droite</w:t>
            </w:r>
          </w:p>
        </w:tc>
      </w:tr>
      <w:tr w:rsidR="00745FEB" w:rsidRPr="0062486E" w:rsidTr="004D5878">
        <w:trPr>
          <w:trHeight w:val="502"/>
        </w:trPr>
        <w:tc>
          <w:tcPr>
            <w:tcW w:w="1962" w:type="dxa"/>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r w:rsidRPr="0062486E">
              <w:rPr>
                <w:rFonts w:ascii="Arial" w:eastAsia="Calibri" w:hAnsi="Arial" w:cs="Arial"/>
                <w:b/>
                <w:sz w:val="24"/>
                <w:szCs w:val="24"/>
              </w:rPr>
              <w:t>10 semaines</w:t>
            </w:r>
          </w:p>
          <w:p w:rsidR="00745FEB" w:rsidRPr="0062486E" w:rsidRDefault="00745FEB" w:rsidP="004D5878">
            <w:pPr>
              <w:spacing w:after="0"/>
              <w:ind w:right="235"/>
              <w:contextualSpacing/>
              <w:rPr>
                <w:rFonts w:ascii="Arial" w:eastAsia="Calibri" w:hAnsi="Arial" w:cs="Arial"/>
                <w:b/>
                <w:sz w:val="24"/>
                <w:szCs w:val="24"/>
              </w:rPr>
            </w:pP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DTC-Hepb-Hib2 + VPO2</w:t>
            </w:r>
          </w:p>
        </w:tc>
        <w:tc>
          <w:tcPr>
            <w:tcW w:w="2427" w:type="dxa"/>
            <w:vAlign w:val="center"/>
          </w:tcPr>
          <w:p w:rsidR="00745FEB" w:rsidRPr="0062486E" w:rsidRDefault="00745FEB" w:rsidP="004D5878">
            <w:pPr>
              <w:rPr>
                <w:rFonts w:ascii="Arial" w:hAnsi="Arial" w:cs="Arial"/>
                <w:sz w:val="24"/>
                <w:szCs w:val="24"/>
              </w:rPr>
            </w:pPr>
            <w:r w:rsidRPr="0062486E">
              <w:rPr>
                <w:rFonts w:ascii="Arial" w:eastAsia="Calibri" w:hAnsi="Arial" w:cs="Arial"/>
                <w:sz w:val="24"/>
                <w:szCs w:val="24"/>
              </w:rPr>
              <w:t>intramusculaire</w:t>
            </w:r>
          </w:p>
        </w:tc>
        <w:tc>
          <w:tcPr>
            <w:tcW w:w="2369" w:type="dxa"/>
            <w:vAlign w:val="center"/>
          </w:tcPr>
          <w:p w:rsidR="00745FEB" w:rsidRPr="0062486E" w:rsidRDefault="00745FEB" w:rsidP="004D5878">
            <w:pPr>
              <w:rPr>
                <w:rFonts w:ascii="Arial" w:hAnsi="Arial" w:cs="Arial"/>
                <w:sz w:val="24"/>
                <w:szCs w:val="24"/>
              </w:rPr>
            </w:pPr>
            <w:r w:rsidRPr="0062486E">
              <w:rPr>
                <w:rFonts w:ascii="Arial" w:eastAsia="Calibri" w:hAnsi="Arial" w:cs="Arial"/>
                <w:sz w:val="24"/>
                <w:szCs w:val="24"/>
              </w:rPr>
              <w:t>Face antéro-externe de la cuisse droite</w:t>
            </w:r>
          </w:p>
        </w:tc>
      </w:tr>
      <w:tr w:rsidR="00745FEB" w:rsidRPr="0062486E" w:rsidTr="004D5878">
        <w:trPr>
          <w:trHeight w:val="494"/>
        </w:trPr>
        <w:tc>
          <w:tcPr>
            <w:tcW w:w="1962" w:type="dxa"/>
            <w:vMerge w:val="restart"/>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u w:val="single"/>
              </w:rPr>
            </w:pPr>
            <w:r w:rsidRPr="0062486E">
              <w:rPr>
                <w:rFonts w:ascii="Arial" w:eastAsia="Calibri" w:hAnsi="Arial" w:cs="Arial"/>
                <w:b/>
                <w:sz w:val="24"/>
                <w:szCs w:val="24"/>
                <w:u w:val="single"/>
              </w:rPr>
              <w:t>14 semaines</w:t>
            </w: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r w:rsidRPr="0062486E">
              <w:rPr>
                <w:rFonts w:ascii="Arial" w:eastAsia="Calibri" w:hAnsi="Arial" w:cs="Arial"/>
                <w:sz w:val="24"/>
                <w:szCs w:val="24"/>
              </w:rPr>
              <w:t>DTC-Hepb-Hib3 + VPO3</w:t>
            </w:r>
          </w:p>
        </w:tc>
        <w:tc>
          <w:tcPr>
            <w:tcW w:w="2427" w:type="dxa"/>
            <w:vAlign w:val="center"/>
          </w:tcPr>
          <w:p w:rsidR="00745FEB" w:rsidRPr="0062486E" w:rsidRDefault="00745FEB" w:rsidP="004D5878">
            <w:pPr>
              <w:rPr>
                <w:rFonts w:ascii="Arial" w:hAnsi="Arial" w:cs="Arial"/>
                <w:sz w:val="24"/>
                <w:szCs w:val="24"/>
              </w:rPr>
            </w:pPr>
            <w:r w:rsidRPr="0062486E">
              <w:rPr>
                <w:rFonts w:ascii="Arial" w:eastAsia="Calibri" w:hAnsi="Arial" w:cs="Arial"/>
                <w:sz w:val="24"/>
                <w:szCs w:val="24"/>
              </w:rPr>
              <w:t>intramusculaire</w:t>
            </w:r>
          </w:p>
        </w:tc>
        <w:tc>
          <w:tcPr>
            <w:tcW w:w="2369" w:type="dxa"/>
            <w:vAlign w:val="center"/>
          </w:tcPr>
          <w:p w:rsidR="00745FEB" w:rsidRPr="0062486E" w:rsidRDefault="00745FEB" w:rsidP="004D5878">
            <w:pPr>
              <w:rPr>
                <w:rFonts w:ascii="Arial" w:hAnsi="Arial" w:cs="Arial"/>
                <w:sz w:val="24"/>
                <w:szCs w:val="24"/>
              </w:rPr>
            </w:pPr>
            <w:r w:rsidRPr="0062486E">
              <w:rPr>
                <w:rFonts w:ascii="Arial" w:eastAsia="Calibri" w:hAnsi="Arial" w:cs="Arial"/>
                <w:sz w:val="24"/>
                <w:szCs w:val="24"/>
              </w:rPr>
              <w:t>Face antéro-externe de la cuisse droite</w:t>
            </w:r>
          </w:p>
        </w:tc>
      </w:tr>
      <w:tr w:rsidR="00745FEB" w:rsidRPr="0062486E" w:rsidTr="004D5878">
        <w:trPr>
          <w:trHeight w:val="494"/>
        </w:trPr>
        <w:tc>
          <w:tcPr>
            <w:tcW w:w="1962" w:type="dxa"/>
            <w:vMerge/>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b/>
                <w:sz w:val="24"/>
                <w:szCs w:val="24"/>
              </w:rPr>
              <w:t>VPI</w:t>
            </w:r>
          </w:p>
        </w:tc>
        <w:tc>
          <w:tcPr>
            <w:tcW w:w="2427" w:type="dxa"/>
            <w:vAlign w:val="center"/>
          </w:tcPr>
          <w:p w:rsidR="00745FEB" w:rsidRPr="0062486E" w:rsidRDefault="00745FEB" w:rsidP="004D5878">
            <w:pPr>
              <w:rPr>
                <w:rFonts w:ascii="Arial" w:eastAsia="Calibri" w:hAnsi="Arial" w:cs="Arial"/>
                <w:b/>
                <w:sz w:val="24"/>
                <w:szCs w:val="24"/>
              </w:rPr>
            </w:pPr>
            <w:r w:rsidRPr="0062486E">
              <w:rPr>
                <w:rFonts w:ascii="Arial" w:eastAsia="Calibri" w:hAnsi="Arial" w:cs="Arial"/>
                <w:b/>
                <w:sz w:val="24"/>
                <w:szCs w:val="24"/>
              </w:rPr>
              <w:t>intramusculaire</w:t>
            </w:r>
          </w:p>
        </w:tc>
        <w:tc>
          <w:tcPr>
            <w:tcW w:w="2369" w:type="dxa"/>
            <w:vAlign w:val="center"/>
          </w:tcPr>
          <w:p w:rsidR="00745FEB" w:rsidRPr="0062486E" w:rsidRDefault="00745FEB" w:rsidP="004D5878">
            <w:pPr>
              <w:rPr>
                <w:rFonts w:ascii="Arial" w:eastAsia="Calibri" w:hAnsi="Arial" w:cs="Arial"/>
                <w:b/>
                <w:sz w:val="24"/>
                <w:szCs w:val="24"/>
              </w:rPr>
            </w:pPr>
            <w:r w:rsidRPr="0062486E">
              <w:rPr>
                <w:rFonts w:ascii="Arial" w:eastAsia="Calibri" w:hAnsi="Arial" w:cs="Arial"/>
                <w:b/>
                <w:sz w:val="24"/>
                <w:szCs w:val="24"/>
              </w:rPr>
              <w:t>Face antéro-externe de la cuisse Gauche.</w:t>
            </w:r>
          </w:p>
        </w:tc>
      </w:tr>
      <w:tr w:rsidR="00745FEB" w:rsidRPr="0062486E" w:rsidTr="004D5878">
        <w:trPr>
          <w:trHeight w:val="393"/>
        </w:trPr>
        <w:tc>
          <w:tcPr>
            <w:tcW w:w="1962" w:type="dxa"/>
            <w:vMerge w:val="restart"/>
            <w:shd w:val="clear" w:color="auto" w:fill="auto"/>
            <w:vAlign w:val="center"/>
          </w:tcPr>
          <w:p w:rsidR="00745FEB" w:rsidRPr="0062486E" w:rsidRDefault="00745FEB" w:rsidP="004D5878">
            <w:pPr>
              <w:spacing w:after="0"/>
              <w:ind w:right="235"/>
              <w:contextualSpacing/>
              <w:rPr>
                <w:rFonts w:ascii="Arial" w:eastAsia="Calibri" w:hAnsi="Arial" w:cs="Arial"/>
                <w:b/>
                <w:sz w:val="24"/>
                <w:szCs w:val="24"/>
              </w:rPr>
            </w:pPr>
            <w:r w:rsidRPr="0062486E">
              <w:rPr>
                <w:rFonts w:ascii="Arial" w:eastAsia="Calibri" w:hAnsi="Arial" w:cs="Arial"/>
                <w:b/>
                <w:sz w:val="24"/>
                <w:szCs w:val="24"/>
              </w:rPr>
              <w:t>9 mois</w:t>
            </w: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VAR</w:t>
            </w:r>
          </w:p>
        </w:tc>
        <w:tc>
          <w:tcPr>
            <w:tcW w:w="2427"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Sous-cutané</w:t>
            </w:r>
          </w:p>
        </w:tc>
        <w:tc>
          <w:tcPr>
            <w:tcW w:w="2369"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Bras gauche</w:t>
            </w:r>
          </w:p>
        </w:tc>
      </w:tr>
      <w:tr w:rsidR="00745FEB" w:rsidRPr="0062486E" w:rsidTr="004D5878">
        <w:trPr>
          <w:trHeight w:val="393"/>
        </w:trPr>
        <w:tc>
          <w:tcPr>
            <w:tcW w:w="1962" w:type="dxa"/>
            <w:vMerge/>
            <w:shd w:val="clear" w:color="auto" w:fill="auto"/>
          </w:tcPr>
          <w:p w:rsidR="00745FEB" w:rsidRPr="0062486E" w:rsidRDefault="00745FEB" w:rsidP="00AE360E">
            <w:pPr>
              <w:spacing w:after="0"/>
              <w:ind w:right="235"/>
              <w:contextualSpacing/>
              <w:jc w:val="both"/>
              <w:rPr>
                <w:rFonts w:ascii="Arial" w:eastAsia="Calibri" w:hAnsi="Arial" w:cs="Arial"/>
                <w:b/>
                <w:sz w:val="24"/>
                <w:szCs w:val="24"/>
              </w:rPr>
            </w:pPr>
          </w:p>
        </w:tc>
        <w:tc>
          <w:tcPr>
            <w:tcW w:w="2682" w:type="dxa"/>
            <w:shd w:val="clear" w:color="auto" w:fill="auto"/>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VAA</w:t>
            </w:r>
          </w:p>
        </w:tc>
        <w:tc>
          <w:tcPr>
            <w:tcW w:w="2427"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Sous-cutané</w:t>
            </w:r>
          </w:p>
        </w:tc>
        <w:tc>
          <w:tcPr>
            <w:tcW w:w="2369" w:type="dxa"/>
            <w:vAlign w:val="center"/>
          </w:tcPr>
          <w:p w:rsidR="00745FEB" w:rsidRPr="0062486E" w:rsidRDefault="00745FEB" w:rsidP="004D5878">
            <w:pPr>
              <w:spacing w:after="0"/>
              <w:ind w:right="235"/>
              <w:contextualSpacing/>
              <w:rPr>
                <w:rFonts w:ascii="Arial" w:eastAsia="Calibri" w:hAnsi="Arial" w:cs="Arial"/>
                <w:sz w:val="24"/>
                <w:szCs w:val="24"/>
              </w:rPr>
            </w:pPr>
            <w:r w:rsidRPr="0062486E">
              <w:rPr>
                <w:rFonts w:ascii="Arial" w:eastAsia="Calibri" w:hAnsi="Arial" w:cs="Arial"/>
                <w:sz w:val="24"/>
                <w:szCs w:val="24"/>
              </w:rPr>
              <w:t>Bras droit</w:t>
            </w:r>
          </w:p>
        </w:tc>
      </w:tr>
    </w:tbl>
    <w:p w:rsidR="009B6C53" w:rsidRPr="00AE360E" w:rsidRDefault="009B6C53" w:rsidP="00AE360E">
      <w:pPr>
        <w:spacing w:after="120"/>
        <w:jc w:val="both"/>
        <w:rPr>
          <w:rFonts w:ascii="Arial" w:hAnsi="Arial" w:cs="Arial"/>
          <w:sz w:val="24"/>
          <w:szCs w:val="24"/>
        </w:rPr>
      </w:pPr>
    </w:p>
    <w:p w:rsidR="00FD1F2D" w:rsidRPr="00AE360E" w:rsidRDefault="00FD1F2D" w:rsidP="00AE360E">
      <w:pPr>
        <w:spacing w:after="120"/>
        <w:jc w:val="both"/>
        <w:rPr>
          <w:rFonts w:ascii="Arial" w:hAnsi="Arial" w:cs="Arial"/>
          <w:b/>
          <w:sz w:val="24"/>
          <w:szCs w:val="24"/>
          <w:highlight w:val="yellow"/>
        </w:rPr>
      </w:pPr>
      <w:r w:rsidRPr="00AE360E">
        <w:rPr>
          <w:rFonts w:ascii="Arial" w:hAnsi="Arial" w:cs="Arial"/>
          <w:sz w:val="24"/>
          <w:szCs w:val="24"/>
        </w:rPr>
        <w:t>Les enfants, reçus à leur 14</w:t>
      </w:r>
      <w:r w:rsidR="009938CD" w:rsidRPr="00AE360E">
        <w:rPr>
          <w:rFonts w:ascii="Arial" w:hAnsi="Arial" w:cs="Arial"/>
          <w:sz w:val="24"/>
          <w:szCs w:val="24"/>
          <w:vertAlign w:val="superscript"/>
        </w:rPr>
        <w:t>ème</w:t>
      </w:r>
      <w:r w:rsidRPr="00AE360E">
        <w:rPr>
          <w:rFonts w:ascii="Arial" w:hAnsi="Arial" w:cs="Arial"/>
          <w:sz w:val="24"/>
          <w:szCs w:val="24"/>
        </w:rPr>
        <w:t>semaine d’âge</w:t>
      </w:r>
      <w:r w:rsidR="00A21F42" w:rsidRPr="00AE360E">
        <w:rPr>
          <w:rFonts w:ascii="Arial" w:hAnsi="Arial" w:cs="Arial"/>
          <w:sz w:val="24"/>
          <w:szCs w:val="24"/>
        </w:rPr>
        <w:t xml:space="preserve"> et </w:t>
      </w:r>
      <w:r w:rsidR="00AE7811" w:rsidRPr="00AE360E">
        <w:rPr>
          <w:rFonts w:ascii="Arial" w:hAnsi="Arial" w:cs="Arial"/>
          <w:sz w:val="24"/>
          <w:szCs w:val="24"/>
        </w:rPr>
        <w:t>au-delà</w:t>
      </w:r>
      <w:r w:rsidRPr="00AE360E">
        <w:rPr>
          <w:rFonts w:ascii="Arial" w:hAnsi="Arial" w:cs="Arial"/>
          <w:sz w:val="24"/>
          <w:szCs w:val="24"/>
        </w:rPr>
        <w:t>, devront recevoir le vaccin VPI, même si ils sont à leur première dose de VPO (VPO1) ou à leur deuxième dose de VPO (VPO2), ceci pour éviter les occasions manquées de vaccination et un impact négatif sur la couverture vaccinale au VPI</w:t>
      </w:r>
      <w:r w:rsidRPr="00AE360E">
        <w:rPr>
          <w:rFonts w:ascii="Arial" w:hAnsi="Arial" w:cs="Arial"/>
          <w:b/>
          <w:sz w:val="24"/>
          <w:szCs w:val="24"/>
        </w:rPr>
        <w:t>.</w:t>
      </w:r>
    </w:p>
    <w:p w:rsidR="00745FEB" w:rsidRPr="00AE360E" w:rsidRDefault="00FD1F2D" w:rsidP="00AE360E">
      <w:pPr>
        <w:spacing w:after="120"/>
        <w:jc w:val="both"/>
        <w:rPr>
          <w:rFonts w:ascii="Arial" w:hAnsi="Arial" w:cs="Arial"/>
          <w:sz w:val="24"/>
          <w:szCs w:val="24"/>
        </w:rPr>
      </w:pPr>
      <w:r w:rsidRPr="00AE360E">
        <w:rPr>
          <w:rFonts w:ascii="Arial" w:hAnsi="Arial" w:cs="Arial"/>
          <w:b/>
          <w:sz w:val="24"/>
          <w:szCs w:val="24"/>
        </w:rPr>
        <w:t xml:space="preserve">Il est à noter que chaque enfant de la cible ne recevra </w:t>
      </w:r>
      <w:r w:rsidRPr="00AE360E">
        <w:rPr>
          <w:rFonts w:ascii="Arial" w:hAnsi="Arial" w:cs="Arial"/>
          <w:b/>
          <w:sz w:val="24"/>
          <w:szCs w:val="24"/>
          <w:u w:val="single"/>
        </w:rPr>
        <w:t>qu’une seule dose de VPI</w:t>
      </w:r>
      <w:r w:rsidRPr="00AE360E">
        <w:rPr>
          <w:rFonts w:ascii="Arial" w:hAnsi="Arial" w:cs="Arial"/>
          <w:b/>
          <w:sz w:val="24"/>
          <w:szCs w:val="24"/>
        </w:rPr>
        <w:t>. Ces aspects programmatiques et opérationnels  seront pris en compte pendant la formation du personnel de santé.</w:t>
      </w:r>
    </w:p>
    <w:p w:rsidR="004C5AF3" w:rsidRPr="00AE360E" w:rsidRDefault="004C5AF3" w:rsidP="00AE360E">
      <w:pPr>
        <w:pStyle w:val="Paragraphedeliste"/>
        <w:numPr>
          <w:ilvl w:val="0"/>
          <w:numId w:val="24"/>
        </w:numPr>
        <w:spacing w:before="240" w:after="240"/>
        <w:jc w:val="both"/>
        <w:rPr>
          <w:rFonts w:ascii="Arial" w:hAnsi="Arial" w:cs="Arial"/>
          <w:b/>
          <w:sz w:val="24"/>
          <w:szCs w:val="24"/>
          <w:u w:val="single"/>
        </w:rPr>
      </w:pPr>
      <w:r w:rsidRPr="00AE360E">
        <w:rPr>
          <w:rFonts w:ascii="Arial" w:hAnsi="Arial" w:cs="Arial"/>
          <w:b/>
          <w:sz w:val="24"/>
          <w:szCs w:val="24"/>
          <w:u w:val="single"/>
        </w:rPr>
        <w:t>prestation intégrée ou d’autres interventions de santé.</w:t>
      </w:r>
    </w:p>
    <w:p w:rsidR="004C5AF3" w:rsidRPr="00AE360E" w:rsidRDefault="004C5AF3" w:rsidP="00AE360E">
      <w:pPr>
        <w:spacing w:after="120"/>
        <w:jc w:val="both"/>
        <w:rPr>
          <w:rFonts w:ascii="Arial" w:hAnsi="Arial" w:cs="Arial"/>
          <w:sz w:val="24"/>
          <w:szCs w:val="24"/>
        </w:rPr>
      </w:pPr>
      <w:r w:rsidRPr="00AE360E">
        <w:rPr>
          <w:rFonts w:ascii="Arial" w:hAnsi="Arial" w:cs="Arial"/>
          <w:sz w:val="24"/>
          <w:szCs w:val="24"/>
        </w:rPr>
        <w:t>L’administration du VPI sera intégrée à ces interventions en vue d’augmenter la couverture vaccinale chez les enfants de 0 à 11 mois</w:t>
      </w:r>
      <w:r w:rsidR="00360255" w:rsidRPr="00AE360E">
        <w:rPr>
          <w:rFonts w:ascii="Arial" w:hAnsi="Arial" w:cs="Arial"/>
          <w:sz w:val="24"/>
          <w:szCs w:val="24"/>
        </w:rPr>
        <w:t xml:space="preserve"> notamment </w:t>
      </w:r>
      <w:r w:rsidR="009004AA" w:rsidRPr="00AE360E">
        <w:rPr>
          <w:rFonts w:ascii="Arial" w:hAnsi="Arial" w:cs="Arial"/>
          <w:sz w:val="24"/>
          <w:szCs w:val="24"/>
        </w:rPr>
        <w:t xml:space="preserve">lors des campagnes de vaccination intégrées aux enfants </w:t>
      </w:r>
      <w:r w:rsidR="00360255" w:rsidRPr="00AE360E">
        <w:rPr>
          <w:rFonts w:ascii="Arial" w:hAnsi="Arial" w:cs="Arial"/>
          <w:sz w:val="24"/>
          <w:szCs w:val="24"/>
        </w:rPr>
        <w:t xml:space="preserve">et femmes enceintes </w:t>
      </w:r>
      <w:r w:rsidR="009004AA" w:rsidRPr="00AE360E">
        <w:rPr>
          <w:rFonts w:ascii="Arial" w:hAnsi="Arial" w:cs="Arial"/>
          <w:sz w:val="24"/>
          <w:szCs w:val="24"/>
        </w:rPr>
        <w:t>des populations nomades</w:t>
      </w:r>
      <w:r w:rsidR="00360255" w:rsidRPr="00AE360E">
        <w:rPr>
          <w:rFonts w:ascii="Arial" w:hAnsi="Arial" w:cs="Arial"/>
          <w:sz w:val="24"/>
          <w:szCs w:val="24"/>
        </w:rPr>
        <w:t xml:space="preserve"> couplées à l’administration de Vitamine A, au déparasitage, la distribution de moustiquaires.</w:t>
      </w:r>
    </w:p>
    <w:p w:rsidR="0039339B" w:rsidRPr="00AE360E" w:rsidRDefault="00221C98" w:rsidP="00AE360E">
      <w:pPr>
        <w:pStyle w:val="Style3"/>
        <w:spacing w:after="120" w:line="276" w:lineRule="auto"/>
        <w:jc w:val="both"/>
        <w:rPr>
          <w:rFonts w:ascii="Arial" w:hAnsi="Arial" w:cs="Arial"/>
          <w:color w:val="auto"/>
          <w:lang w:val="fr-FR"/>
        </w:rPr>
      </w:pPr>
      <w:bookmarkStart w:id="7" w:name="_Toc397522414"/>
      <w:r w:rsidRPr="00AE360E">
        <w:rPr>
          <w:rFonts w:ascii="Arial" w:hAnsi="Arial" w:cs="Arial"/>
          <w:color w:val="auto"/>
          <w:lang w:val="fr-FR"/>
        </w:rPr>
        <w:lastRenderedPageBreak/>
        <w:t>Mécanisme de coordination national pour faciliter l’introduction du vaccin</w:t>
      </w:r>
      <w:bookmarkEnd w:id="7"/>
    </w:p>
    <w:p w:rsidR="00771A7A" w:rsidRPr="00AE360E" w:rsidRDefault="00771A7A" w:rsidP="00AE360E">
      <w:pPr>
        <w:spacing w:before="360" w:after="120"/>
        <w:ind w:right="120"/>
        <w:contextualSpacing/>
        <w:jc w:val="both"/>
        <w:rPr>
          <w:rFonts w:ascii="Arial" w:eastAsia="Times New Roman" w:hAnsi="Arial" w:cs="Arial"/>
          <w:b/>
          <w:bCs/>
          <w:sz w:val="28"/>
          <w:szCs w:val="28"/>
          <w:u w:val="single"/>
          <w:lang w:eastAsia="en-GB"/>
        </w:rPr>
      </w:pPr>
      <w:r w:rsidRPr="00AE360E">
        <w:rPr>
          <w:rFonts w:ascii="Arial" w:eastAsia="Times New Roman" w:hAnsi="Arial" w:cs="Arial"/>
          <w:b/>
          <w:bCs/>
          <w:sz w:val="28"/>
          <w:szCs w:val="28"/>
          <w:u w:val="single"/>
          <w:lang w:eastAsia="en-GB"/>
        </w:rPr>
        <w:t>Résumé des principales activités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 xml:space="preserve">Validation du plan </w:t>
      </w:r>
      <w:r w:rsidR="0085659D" w:rsidRPr="007535AE">
        <w:rPr>
          <w:rFonts w:ascii="Arial" w:eastAsia="Times New Roman" w:hAnsi="Arial" w:cs="Arial"/>
          <w:bCs/>
          <w:sz w:val="24"/>
          <w:szCs w:val="28"/>
          <w:lang w:eastAsia="en-GB"/>
        </w:rPr>
        <w:t>d’introduction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 xml:space="preserve">Transmission du plan d’introduction et des documents  requis à GAVI en </w:t>
      </w:r>
      <w:r w:rsidR="008418A8" w:rsidRPr="007535AE">
        <w:rPr>
          <w:rFonts w:ascii="Arial" w:eastAsia="Times New Roman" w:hAnsi="Arial" w:cs="Arial"/>
          <w:bCs/>
          <w:sz w:val="24"/>
          <w:szCs w:val="28"/>
          <w:lang w:eastAsia="en-GB"/>
        </w:rPr>
        <w:t>septembre</w:t>
      </w:r>
      <w:r w:rsidR="00F43155" w:rsidRPr="007535AE">
        <w:rPr>
          <w:rFonts w:ascii="Arial" w:eastAsia="Times New Roman" w:hAnsi="Arial" w:cs="Arial"/>
          <w:bCs/>
          <w:sz w:val="24"/>
          <w:szCs w:val="28"/>
          <w:lang w:eastAsia="en-GB"/>
        </w:rPr>
        <w:t>2014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Mise à jour du PPAC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 xml:space="preserve">Elaboration du plan détaillé de mise en œuvre des activités des commissions technique logistique et </w:t>
      </w:r>
      <w:r w:rsidR="00495368" w:rsidRPr="007535AE">
        <w:rPr>
          <w:rFonts w:ascii="Arial" w:eastAsia="Times New Roman" w:hAnsi="Arial" w:cs="Arial"/>
          <w:bCs/>
          <w:sz w:val="24"/>
          <w:szCs w:val="28"/>
          <w:lang w:eastAsia="en-GB"/>
        </w:rPr>
        <w:t>communication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 xml:space="preserve">Information officielle  des ECR et ECD  et partage avec elles des activités liées à l’introduction du </w:t>
      </w:r>
      <w:r w:rsidR="00495368" w:rsidRPr="007535AE">
        <w:rPr>
          <w:rFonts w:ascii="Arial" w:eastAsia="Times New Roman" w:hAnsi="Arial" w:cs="Arial"/>
          <w:bCs/>
          <w:sz w:val="24"/>
          <w:szCs w:val="28"/>
          <w:lang w:eastAsia="en-GB"/>
        </w:rPr>
        <w:t>VPI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Révision du Guide National, révision des modules, production des supports et  élaboration du plan de formation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Reproduction des outils de gestion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Reproduction des supports et matériels IEC</w:t>
      </w:r>
      <w:r w:rsidR="008418A8" w:rsidRPr="007535AE">
        <w:rPr>
          <w:rFonts w:ascii="Arial" w:eastAsia="Times New Roman" w:hAnsi="Arial" w:cs="Arial"/>
          <w:bCs/>
          <w:sz w:val="24"/>
          <w:szCs w:val="28"/>
          <w:lang w:eastAsia="en-GB"/>
        </w:rPr>
        <w:t>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 xml:space="preserve">Homologation et enregistrement du </w:t>
      </w:r>
      <w:r w:rsidR="0085659D" w:rsidRPr="007535AE">
        <w:rPr>
          <w:rFonts w:ascii="Arial" w:eastAsia="Times New Roman" w:hAnsi="Arial" w:cs="Arial"/>
          <w:bCs/>
          <w:sz w:val="24"/>
          <w:szCs w:val="28"/>
          <w:lang w:eastAsia="en-GB"/>
        </w:rPr>
        <w:t>VPI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Acquisition du VPI en Janvier 2015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Distribution des vaccins et outils de gestion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Organisation des sessions de formation intégrées (techniq</w:t>
      </w:r>
      <w:r w:rsidR="007535AE">
        <w:rPr>
          <w:rFonts w:ascii="Arial" w:eastAsia="Times New Roman" w:hAnsi="Arial" w:cs="Arial"/>
          <w:bCs/>
          <w:sz w:val="24"/>
          <w:szCs w:val="28"/>
          <w:lang w:eastAsia="en-GB"/>
        </w:rPr>
        <w:t>ue-logistique et communication)</w:t>
      </w:r>
      <w:r w:rsidRPr="007535AE">
        <w:rPr>
          <w:rFonts w:ascii="Arial" w:eastAsia="Times New Roman" w:hAnsi="Arial" w:cs="Arial"/>
          <w:bCs/>
          <w:sz w:val="24"/>
          <w:szCs w:val="28"/>
          <w:lang w:eastAsia="en-GB"/>
        </w:rPr>
        <w:t>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Démarrage des activités de communication ;</w:t>
      </w:r>
    </w:p>
    <w:p w:rsidR="00771A7A" w:rsidRPr="007535AE" w:rsidRDefault="00771A7A" w:rsidP="007535AE">
      <w:pPr>
        <w:pStyle w:val="Paragraphedeliste"/>
        <w:numPr>
          <w:ilvl w:val="0"/>
          <w:numId w:val="5"/>
        </w:numPr>
        <w:spacing w:after="120"/>
        <w:ind w:left="0"/>
        <w:jc w:val="both"/>
        <w:rPr>
          <w:rFonts w:ascii="Arial" w:eastAsia="Times New Roman" w:hAnsi="Arial" w:cs="Arial"/>
          <w:bCs/>
          <w:sz w:val="24"/>
          <w:szCs w:val="28"/>
          <w:lang w:eastAsia="en-GB"/>
        </w:rPr>
      </w:pPr>
      <w:r w:rsidRPr="007535AE">
        <w:rPr>
          <w:rFonts w:ascii="Arial" w:eastAsia="Times New Roman" w:hAnsi="Arial" w:cs="Arial"/>
          <w:bCs/>
          <w:sz w:val="24"/>
          <w:szCs w:val="28"/>
          <w:lang w:eastAsia="en-GB"/>
        </w:rPr>
        <w:t>Lancement officiel de l’introduction du VPI ;</w:t>
      </w:r>
    </w:p>
    <w:p w:rsidR="00771A7A" w:rsidRPr="007535AE" w:rsidRDefault="00771A7A" w:rsidP="007535AE">
      <w:pPr>
        <w:pStyle w:val="Paragraphedeliste"/>
        <w:numPr>
          <w:ilvl w:val="0"/>
          <w:numId w:val="5"/>
        </w:numPr>
        <w:spacing w:after="120"/>
        <w:ind w:left="0"/>
        <w:jc w:val="both"/>
        <w:rPr>
          <w:rFonts w:ascii="Arial" w:eastAsia="Times New Roman" w:hAnsi="Arial" w:cs="Arial"/>
          <w:bCs/>
          <w:color w:val="1F497D"/>
          <w:sz w:val="24"/>
          <w:szCs w:val="28"/>
          <w:lang w:eastAsia="en-GB"/>
        </w:rPr>
      </w:pPr>
      <w:r w:rsidRPr="007535AE">
        <w:rPr>
          <w:rFonts w:ascii="Arial" w:eastAsia="Times New Roman" w:hAnsi="Arial" w:cs="Arial"/>
          <w:bCs/>
          <w:sz w:val="24"/>
          <w:szCs w:val="28"/>
          <w:lang w:eastAsia="en-GB"/>
        </w:rPr>
        <w:t xml:space="preserve">Supervision de l’introduction du VPI en </w:t>
      </w:r>
      <w:r w:rsidR="0085659D" w:rsidRPr="007535AE">
        <w:rPr>
          <w:rFonts w:ascii="Arial" w:eastAsia="Times New Roman" w:hAnsi="Arial" w:cs="Arial"/>
          <w:bCs/>
          <w:sz w:val="24"/>
          <w:szCs w:val="28"/>
          <w:lang w:eastAsia="en-GB"/>
        </w:rPr>
        <w:t>Juin</w:t>
      </w:r>
      <w:r w:rsidRPr="007535AE">
        <w:rPr>
          <w:rFonts w:ascii="Arial" w:eastAsia="Times New Roman" w:hAnsi="Arial" w:cs="Arial"/>
          <w:bCs/>
          <w:sz w:val="24"/>
          <w:szCs w:val="28"/>
          <w:lang w:eastAsia="en-GB"/>
        </w:rPr>
        <w:t xml:space="preserve"> 2015</w:t>
      </w:r>
      <w:r w:rsidRPr="007535AE">
        <w:rPr>
          <w:rFonts w:ascii="Arial" w:eastAsia="Times New Roman" w:hAnsi="Arial" w:cs="Arial"/>
          <w:bCs/>
          <w:color w:val="1F497D"/>
          <w:sz w:val="24"/>
          <w:szCs w:val="28"/>
          <w:lang w:eastAsia="en-GB"/>
        </w:rPr>
        <w:t>.</w:t>
      </w:r>
    </w:p>
    <w:p w:rsidR="00771A7A" w:rsidRPr="00AE360E" w:rsidRDefault="00771A7A" w:rsidP="00AE360E">
      <w:pPr>
        <w:pStyle w:val="Paragraphedeliste"/>
        <w:spacing w:after="0"/>
        <w:ind w:left="644" w:right="115"/>
        <w:jc w:val="both"/>
        <w:rPr>
          <w:rFonts w:ascii="Arial" w:hAnsi="Arial" w:cs="Arial"/>
          <w:b/>
          <w:sz w:val="24"/>
          <w:szCs w:val="24"/>
        </w:rPr>
      </w:pPr>
    </w:p>
    <w:p w:rsidR="00771A7A" w:rsidRPr="00AE360E" w:rsidRDefault="0085659D" w:rsidP="00AE360E">
      <w:pPr>
        <w:pStyle w:val="Paragraphedeliste"/>
        <w:spacing w:after="0"/>
        <w:ind w:left="0" w:right="170"/>
        <w:jc w:val="both"/>
        <w:rPr>
          <w:rFonts w:ascii="Arial" w:hAnsi="Arial" w:cs="Arial"/>
          <w:sz w:val="24"/>
          <w:szCs w:val="24"/>
        </w:rPr>
      </w:pPr>
      <w:r w:rsidRPr="00AE360E">
        <w:rPr>
          <w:rFonts w:ascii="Arial" w:eastAsia="Times New Roman" w:hAnsi="Arial" w:cs="Arial"/>
          <w:b/>
          <w:bCs/>
          <w:sz w:val="28"/>
          <w:szCs w:val="28"/>
          <w:u w:val="single"/>
          <w:lang w:eastAsia="en-GB"/>
        </w:rPr>
        <w:t>Organes de coordination et de supervision</w:t>
      </w:r>
      <w:r w:rsidR="00771A7A" w:rsidRPr="00AE360E">
        <w:rPr>
          <w:rFonts w:ascii="Arial" w:eastAsia="Times New Roman" w:hAnsi="Arial" w:cs="Arial"/>
          <w:b/>
          <w:bCs/>
          <w:sz w:val="28"/>
          <w:szCs w:val="28"/>
          <w:u w:val="single"/>
          <w:lang w:eastAsia="en-GB"/>
        </w:rPr>
        <w:t xml:space="preserve"> de l’introduction du VPI</w:t>
      </w:r>
    </w:p>
    <w:p w:rsidR="0085659D" w:rsidRPr="00AE360E" w:rsidRDefault="0085659D" w:rsidP="00AE360E">
      <w:pPr>
        <w:pStyle w:val="Paragraphedeliste"/>
        <w:spacing w:after="0"/>
        <w:ind w:left="1080" w:right="115"/>
        <w:jc w:val="both"/>
        <w:rPr>
          <w:rFonts w:ascii="Arial" w:hAnsi="Arial" w:cs="Arial"/>
        </w:rPr>
      </w:pPr>
    </w:p>
    <w:p w:rsidR="0039339B" w:rsidRPr="00AE360E" w:rsidRDefault="0085659D" w:rsidP="00AE360E">
      <w:pPr>
        <w:spacing w:after="120"/>
        <w:jc w:val="both"/>
        <w:rPr>
          <w:rFonts w:ascii="Arial" w:hAnsi="Arial" w:cs="Arial"/>
          <w:sz w:val="24"/>
          <w:szCs w:val="24"/>
        </w:rPr>
      </w:pPr>
      <w:r w:rsidRPr="00AE360E">
        <w:rPr>
          <w:rFonts w:ascii="Arial" w:hAnsi="Arial" w:cs="Arial"/>
          <w:sz w:val="24"/>
          <w:szCs w:val="24"/>
        </w:rPr>
        <w:t>La gestion</w:t>
      </w:r>
      <w:r w:rsidR="0039339B" w:rsidRPr="00AE360E">
        <w:rPr>
          <w:rFonts w:ascii="Arial" w:hAnsi="Arial" w:cs="Arial"/>
          <w:sz w:val="24"/>
          <w:szCs w:val="24"/>
        </w:rPr>
        <w:t xml:space="preserve"> de l’introduction du VPI sera assurée par le Comité technique d’appui au PEV (CTA/PEV).  Ce </w:t>
      </w:r>
      <w:r w:rsidR="003B37E7" w:rsidRPr="00AE360E">
        <w:rPr>
          <w:rFonts w:ascii="Arial" w:hAnsi="Arial" w:cs="Arial"/>
          <w:sz w:val="24"/>
          <w:szCs w:val="24"/>
        </w:rPr>
        <w:t>C</w:t>
      </w:r>
      <w:r w:rsidR="0039339B" w:rsidRPr="00AE360E">
        <w:rPr>
          <w:rFonts w:ascii="Arial" w:hAnsi="Arial" w:cs="Arial"/>
          <w:sz w:val="24"/>
          <w:szCs w:val="24"/>
        </w:rPr>
        <w:t>omité</w:t>
      </w:r>
      <w:r w:rsidR="00EC0DA3" w:rsidRPr="00AE360E">
        <w:rPr>
          <w:rFonts w:ascii="Arial" w:hAnsi="Arial" w:cs="Arial"/>
          <w:sz w:val="24"/>
          <w:szCs w:val="24"/>
        </w:rPr>
        <w:t>, présidé  par la Direction Générale des Activités Sanitaires (DGAS) du MSP</w:t>
      </w:r>
      <w:r w:rsidR="00F72FDA" w:rsidRPr="00AE360E">
        <w:rPr>
          <w:rFonts w:ascii="Arial" w:hAnsi="Arial" w:cs="Arial"/>
          <w:sz w:val="24"/>
          <w:szCs w:val="24"/>
        </w:rPr>
        <w:t xml:space="preserve">, </w:t>
      </w:r>
      <w:r w:rsidR="0039339B" w:rsidRPr="00AE360E">
        <w:rPr>
          <w:rFonts w:ascii="Arial" w:hAnsi="Arial" w:cs="Arial"/>
          <w:sz w:val="24"/>
          <w:szCs w:val="24"/>
        </w:rPr>
        <w:t>sera chargé de la validation technique de tous les documents et guides actualisés, les activités et leurs plans de mise en œuvre relatifs à l’introduction du VPI.</w:t>
      </w:r>
    </w:p>
    <w:p w:rsidR="0039339B" w:rsidRDefault="0039339B" w:rsidP="00AE360E">
      <w:pPr>
        <w:spacing w:after="120"/>
        <w:jc w:val="both"/>
        <w:rPr>
          <w:rFonts w:ascii="Arial" w:hAnsi="Arial" w:cs="Arial"/>
          <w:sz w:val="24"/>
          <w:szCs w:val="24"/>
        </w:rPr>
      </w:pPr>
      <w:r w:rsidRPr="00AE360E">
        <w:rPr>
          <w:rFonts w:ascii="Arial" w:hAnsi="Arial" w:cs="Arial"/>
          <w:sz w:val="24"/>
          <w:szCs w:val="24"/>
        </w:rPr>
        <w:t xml:space="preserve">Le CTA/PEV comporte en son sein trois commissions : technique, logistique et </w:t>
      </w:r>
      <w:r w:rsidR="003B37E7" w:rsidRPr="00AE360E">
        <w:rPr>
          <w:rFonts w:ascii="Arial" w:hAnsi="Arial" w:cs="Arial"/>
          <w:sz w:val="24"/>
          <w:szCs w:val="24"/>
        </w:rPr>
        <w:t>communication /</w:t>
      </w:r>
      <w:r w:rsidRPr="00AE360E">
        <w:rPr>
          <w:rFonts w:ascii="Arial" w:hAnsi="Arial" w:cs="Arial"/>
          <w:sz w:val="24"/>
          <w:szCs w:val="24"/>
        </w:rPr>
        <w:t>mobilisation sociale.</w:t>
      </w:r>
    </w:p>
    <w:p w:rsidR="00056D08" w:rsidRDefault="00056D08" w:rsidP="00AE360E">
      <w:pPr>
        <w:spacing w:after="120"/>
        <w:jc w:val="both"/>
        <w:rPr>
          <w:rFonts w:ascii="Arial" w:hAnsi="Arial" w:cs="Arial"/>
          <w:sz w:val="24"/>
          <w:szCs w:val="24"/>
        </w:rPr>
      </w:pPr>
    </w:p>
    <w:p w:rsidR="00056D08" w:rsidRDefault="00056D08" w:rsidP="00AE360E">
      <w:pPr>
        <w:spacing w:after="120"/>
        <w:jc w:val="both"/>
        <w:rPr>
          <w:rFonts w:ascii="Arial" w:hAnsi="Arial" w:cs="Arial"/>
          <w:sz w:val="24"/>
          <w:szCs w:val="24"/>
        </w:rPr>
      </w:pPr>
    </w:p>
    <w:p w:rsidR="007042CF" w:rsidRDefault="007042CF" w:rsidP="00AE360E">
      <w:pPr>
        <w:spacing w:after="120"/>
        <w:jc w:val="both"/>
        <w:rPr>
          <w:rFonts w:ascii="Arial" w:hAnsi="Arial" w:cs="Arial"/>
          <w:sz w:val="24"/>
          <w:szCs w:val="24"/>
        </w:rPr>
      </w:pPr>
    </w:p>
    <w:p w:rsidR="007042CF" w:rsidRDefault="007042CF" w:rsidP="00AE360E">
      <w:pPr>
        <w:spacing w:after="120"/>
        <w:jc w:val="both"/>
        <w:rPr>
          <w:rFonts w:ascii="Arial" w:hAnsi="Arial" w:cs="Arial"/>
          <w:sz w:val="24"/>
          <w:szCs w:val="24"/>
        </w:rPr>
      </w:pPr>
    </w:p>
    <w:p w:rsidR="00056D08" w:rsidRPr="00AE360E" w:rsidRDefault="00056D08" w:rsidP="00AE360E">
      <w:pPr>
        <w:spacing w:after="120"/>
        <w:jc w:val="both"/>
        <w:rPr>
          <w:rFonts w:ascii="Arial" w:hAnsi="Arial" w:cs="Arial"/>
          <w:sz w:val="24"/>
          <w:szCs w:val="24"/>
        </w:rPr>
      </w:pPr>
    </w:p>
    <w:p w:rsidR="001C1A50" w:rsidRPr="00AE360E" w:rsidRDefault="0039339B" w:rsidP="00AE360E">
      <w:pPr>
        <w:spacing w:after="120"/>
        <w:jc w:val="both"/>
        <w:rPr>
          <w:rFonts w:ascii="Arial" w:hAnsi="Arial" w:cs="Arial"/>
          <w:sz w:val="24"/>
          <w:szCs w:val="24"/>
        </w:rPr>
      </w:pPr>
      <w:r w:rsidRPr="00AE360E">
        <w:rPr>
          <w:rFonts w:ascii="Arial" w:hAnsi="Arial" w:cs="Arial"/>
          <w:sz w:val="24"/>
          <w:szCs w:val="24"/>
          <w:u w:val="single"/>
        </w:rPr>
        <w:lastRenderedPageBreak/>
        <w:t>La commission technique sera chargée</w:t>
      </w:r>
      <w:r w:rsidR="001C1A50" w:rsidRPr="00AE360E">
        <w:rPr>
          <w:rFonts w:ascii="Arial" w:hAnsi="Arial" w:cs="Arial"/>
          <w:sz w:val="24"/>
          <w:szCs w:val="24"/>
          <w:u w:val="single"/>
        </w:rPr>
        <w:t xml:space="preserve"> de</w:t>
      </w:r>
      <w:r w:rsidR="001C1A50" w:rsidRPr="00AE360E">
        <w:rPr>
          <w:rFonts w:ascii="Arial" w:hAnsi="Arial" w:cs="Arial"/>
          <w:sz w:val="24"/>
          <w:szCs w:val="24"/>
        </w:rPr>
        <w:t> :</w:t>
      </w:r>
    </w:p>
    <w:p w:rsidR="001C1A50" w:rsidRPr="00AE360E" w:rsidRDefault="001C1A50"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 de réviser</w:t>
      </w:r>
      <w:r w:rsidR="0039339B" w:rsidRPr="00AE360E">
        <w:rPr>
          <w:rFonts w:ascii="Arial" w:hAnsi="Arial" w:cs="Arial"/>
          <w:sz w:val="24"/>
          <w:szCs w:val="24"/>
        </w:rPr>
        <w:t xml:space="preserve"> les guides techniques et les modules de formation du personnel de santé ;</w:t>
      </w:r>
    </w:p>
    <w:p w:rsidR="0039339B" w:rsidRPr="00AE360E" w:rsidRDefault="001C1A50"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d’</w:t>
      </w:r>
      <w:r w:rsidR="0039339B" w:rsidRPr="00AE360E">
        <w:rPr>
          <w:rFonts w:ascii="Arial" w:hAnsi="Arial" w:cs="Arial"/>
          <w:sz w:val="24"/>
          <w:szCs w:val="24"/>
        </w:rPr>
        <w:t>élaborer le plan de formation et le calendrier de mise en œuvre ;</w:t>
      </w:r>
    </w:p>
    <w:p w:rsidR="001C1A50" w:rsidRDefault="001C1A50"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 actualiser les grilles de supervision, les  indicateurs et le mécanisme  de suivi de la couverture vaccinale du VPI, la  base de données informatisée aux niveaux central et opérationnel le cas échéant ;</w:t>
      </w:r>
    </w:p>
    <w:p w:rsidR="001C1A50" w:rsidRPr="00AE360E" w:rsidRDefault="00E60672" w:rsidP="00AE360E">
      <w:pPr>
        <w:spacing w:after="120"/>
        <w:jc w:val="both"/>
        <w:rPr>
          <w:rFonts w:ascii="Arial" w:hAnsi="Arial" w:cs="Arial"/>
          <w:sz w:val="24"/>
          <w:szCs w:val="24"/>
        </w:rPr>
      </w:pPr>
      <w:r w:rsidRPr="00AE360E">
        <w:rPr>
          <w:rFonts w:ascii="Arial" w:hAnsi="Arial" w:cs="Arial"/>
          <w:sz w:val="24"/>
          <w:szCs w:val="24"/>
          <w:u w:val="single"/>
        </w:rPr>
        <w:t>La comm</w:t>
      </w:r>
      <w:r w:rsidR="00BF5F54" w:rsidRPr="00AE360E">
        <w:rPr>
          <w:rFonts w:ascii="Arial" w:hAnsi="Arial" w:cs="Arial"/>
          <w:sz w:val="24"/>
          <w:szCs w:val="24"/>
          <w:u w:val="single"/>
        </w:rPr>
        <w:t xml:space="preserve">ission logistique </w:t>
      </w:r>
      <w:r w:rsidR="001C1A50" w:rsidRPr="00AE360E">
        <w:rPr>
          <w:rFonts w:ascii="Arial" w:hAnsi="Arial" w:cs="Arial"/>
          <w:sz w:val="24"/>
          <w:szCs w:val="24"/>
          <w:u w:val="single"/>
        </w:rPr>
        <w:t xml:space="preserve"> sera chargée de</w:t>
      </w:r>
      <w:r w:rsidR="001C1A50" w:rsidRPr="00AE360E">
        <w:rPr>
          <w:rFonts w:ascii="Arial" w:hAnsi="Arial" w:cs="Arial"/>
          <w:sz w:val="24"/>
          <w:szCs w:val="24"/>
        </w:rPr>
        <w:t> :</w:t>
      </w:r>
    </w:p>
    <w:p w:rsidR="000D5298" w:rsidRPr="00AE360E" w:rsidRDefault="000D5298"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Estimer tous les besoins nécessaires pour la vaccination ;</w:t>
      </w:r>
    </w:p>
    <w:p w:rsidR="000D5298" w:rsidRPr="00AE360E" w:rsidRDefault="000D5298"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élaborer : le plan d’acquisition et de distribution du VPI, des intrants et des outils de gestion à tous les niveaux</w:t>
      </w:r>
      <w:r w:rsidR="00290B3B" w:rsidRPr="00AE360E">
        <w:rPr>
          <w:rFonts w:ascii="Arial" w:hAnsi="Arial" w:cs="Arial"/>
          <w:sz w:val="24"/>
          <w:szCs w:val="24"/>
        </w:rPr>
        <w:t> ;</w:t>
      </w:r>
    </w:p>
    <w:p w:rsidR="000D5298" w:rsidRPr="00AE360E" w:rsidRDefault="000D5298"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assurer la reproduction de tous les outils et supports</w:t>
      </w:r>
    </w:p>
    <w:p w:rsidR="0039339B" w:rsidRPr="00AE360E" w:rsidRDefault="000D5298" w:rsidP="00AE360E">
      <w:pPr>
        <w:pStyle w:val="Paragraphedeliste"/>
        <w:numPr>
          <w:ilvl w:val="0"/>
          <w:numId w:val="5"/>
        </w:numPr>
        <w:spacing w:after="120"/>
        <w:jc w:val="both"/>
        <w:rPr>
          <w:rFonts w:ascii="Arial" w:hAnsi="Arial" w:cs="Arial"/>
          <w:sz w:val="24"/>
          <w:szCs w:val="24"/>
        </w:rPr>
      </w:pPr>
      <w:r w:rsidRPr="00AE360E">
        <w:rPr>
          <w:rFonts w:ascii="Arial" w:hAnsi="Arial" w:cs="Arial"/>
          <w:sz w:val="24"/>
          <w:szCs w:val="24"/>
        </w:rPr>
        <w:t xml:space="preserve">mettre en place  les </w:t>
      </w:r>
      <w:r w:rsidR="00290B3B" w:rsidRPr="00AE360E">
        <w:rPr>
          <w:rFonts w:ascii="Arial" w:hAnsi="Arial" w:cs="Arial"/>
          <w:sz w:val="24"/>
          <w:szCs w:val="24"/>
        </w:rPr>
        <w:t>vaccins,</w:t>
      </w:r>
      <w:r w:rsidRPr="00AE360E">
        <w:rPr>
          <w:rFonts w:ascii="Arial" w:hAnsi="Arial" w:cs="Arial"/>
          <w:sz w:val="24"/>
          <w:szCs w:val="24"/>
        </w:rPr>
        <w:t xml:space="preserve"> intrants et  supports </w:t>
      </w:r>
      <w:r w:rsidR="00290B3B" w:rsidRPr="00AE360E">
        <w:rPr>
          <w:rFonts w:ascii="Arial" w:hAnsi="Arial" w:cs="Arial"/>
          <w:sz w:val="24"/>
          <w:szCs w:val="24"/>
        </w:rPr>
        <w:t>au niveau opérationnel dans les délais impartis.</w:t>
      </w:r>
    </w:p>
    <w:p w:rsidR="009B6C53" w:rsidRPr="00AE360E" w:rsidRDefault="002B245C" w:rsidP="00AE360E">
      <w:pPr>
        <w:spacing w:after="120"/>
        <w:jc w:val="both"/>
        <w:rPr>
          <w:rFonts w:ascii="Arial" w:hAnsi="Arial" w:cs="Arial"/>
          <w:sz w:val="24"/>
          <w:szCs w:val="24"/>
        </w:rPr>
      </w:pPr>
      <w:r w:rsidRPr="00AE360E">
        <w:rPr>
          <w:rFonts w:ascii="Arial" w:hAnsi="Arial" w:cs="Arial"/>
          <w:sz w:val="24"/>
          <w:szCs w:val="24"/>
        </w:rPr>
        <w:t xml:space="preserve">La commission </w:t>
      </w:r>
      <w:r w:rsidR="003B37E7" w:rsidRPr="00AE360E">
        <w:rPr>
          <w:rFonts w:ascii="Arial" w:hAnsi="Arial" w:cs="Arial"/>
          <w:sz w:val="24"/>
          <w:szCs w:val="24"/>
        </w:rPr>
        <w:t>communication /</w:t>
      </w:r>
      <w:r w:rsidRPr="00AE360E">
        <w:rPr>
          <w:rFonts w:ascii="Arial" w:hAnsi="Arial" w:cs="Arial"/>
          <w:sz w:val="24"/>
          <w:szCs w:val="24"/>
        </w:rPr>
        <w:t>mobilisation sociale</w:t>
      </w:r>
      <w:r w:rsidR="009800FB" w:rsidRPr="00AE360E">
        <w:rPr>
          <w:rFonts w:ascii="Arial" w:hAnsi="Arial" w:cs="Arial"/>
          <w:sz w:val="24"/>
          <w:szCs w:val="24"/>
        </w:rPr>
        <w:t xml:space="preserve"> va développer tous les supports promotionnels et éducatifs destinés au personnel de santé et à la communauté sur l’introduction du VPI. Elle aura à développer le plan de mise en œuvre</w:t>
      </w:r>
      <w:r w:rsidR="00290B3B" w:rsidRPr="00AE360E">
        <w:rPr>
          <w:rFonts w:ascii="Arial" w:hAnsi="Arial" w:cs="Arial"/>
          <w:sz w:val="24"/>
          <w:szCs w:val="24"/>
        </w:rPr>
        <w:t xml:space="preserve"> des activités de communication.</w:t>
      </w:r>
    </w:p>
    <w:p w:rsidR="00F807F8" w:rsidRPr="00AE360E" w:rsidRDefault="00221C98" w:rsidP="00AE360E">
      <w:pPr>
        <w:pStyle w:val="Style3"/>
        <w:spacing w:after="120" w:line="276" w:lineRule="auto"/>
        <w:jc w:val="both"/>
        <w:rPr>
          <w:rFonts w:ascii="Arial" w:hAnsi="Arial" w:cs="Arial"/>
          <w:color w:val="auto"/>
          <w:sz w:val="28"/>
          <w:lang w:val="fr-FR"/>
        </w:rPr>
      </w:pPr>
      <w:bookmarkStart w:id="8" w:name="_Toc397522415"/>
      <w:r w:rsidRPr="00AE360E">
        <w:rPr>
          <w:rFonts w:ascii="Arial" w:hAnsi="Arial" w:cs="Arial"/>
          <w:color w:val="auto"/>
          <w:sz w:val="28"/>
          <w:lang w:val="fr-FR"/>
        </w:rPr>
        <w:t xml:space="preserve">Accessibilité économique et </w:t>
      </w:r>
      <w:r w:rsidR="000B029C" w:rsidRPr="00AE360E">
        <w:rPr>
          <w:rFonts w:ascii="Arial" w:hAnsi="Arial" w:cs="Arial"/>
          <w:color w:val="auto"/>
          <w:sz w:val="28"/>
          <w:lang w:val="fr-FR"/>
        </w:rPr>
        <w:t>pérennité</w:t>
      </w:r>
      <w:r w:rsidRPr="00AE360E">
        <w:rPr>
          <w:rFonts w:ascii="Arial" w:hAnsi="Arial" w:cs="Arial"/>
          <w:color w:val="auto"/>
          <w:sz w:val="28"/>
          <w:lang w:val="fr-FR"/>
        </w:rPr>
        <w:t xml:space="preserve"> financière du vaccin</w:t>
      </w:r>
      <w:bookmarkEnd w:id="8"/>
    </w:p>
    <w:p w:rsidR="00DE4998" w:rsidRPr="00AE360E" w:rsidRDefault="00DE4998" w:rsidP="00AE360E">
      <w:pPr>
        <w:pStyle w:val="Paragraphedeliste"/>
        <w:numPr>
          <w:ilvl w:val="0"/>
          <w:numId w:val="17"/>
        </w:numPr>
        <w:spacing w:before="240" w:after="0"/>
        <w:ind w:left="1361" w:right="170"/>
        <w:jc w:val="both"/>
        <w:rPr>
          <w:rFonts w:ascii="Arial" w:hAnsi="Arial" w:cs="Arial"/>
          <w:b/>
          <w:sz w:val="24"/>
          <w:szCs w:val="24"/>
        </w:rPr>
      </w:pPr>
      <w:r w:rsidRPr="00AE360E">
        <w:rPr>
          <w:rFonts w:ascii="Arial" w:hAnsi="Arial" w:cs="Arial"/>
          <w:b/>
          <w:sz w:val="24"/>
          <w:szCs w:val="24"/>
        </w:rPr>
        <w:t>Préciser la méthode utilisée pour estimer ces coûts</w:t>
      </w:r>
    </w:p>
    <w:p w:rsidR="00DE4998" w:rsidRPr="00AE360E" w:rsidRDefault="00DE4998" w:rsidP="00AE360E">
      <w:pPr>
        <w:pStyle w:val="Paragraphedeliste"/>
        <w:spacing w:after="0"/>
        <w:ind w:left="644" w:right="115"/>
        <w:jc w:val="both"/>
        <w:rPr>
          <w:rFonts w:ascii="Arial" w:hAnsi="Arial" w:cs="Arial"/>
          <w:b/>
          <w:sz w:val="24"/>
          <w:szCs w:val="24"/>
        </w:rPr>
      </w:pPr>
    </w:p>
    <w:p w:rsidR="0091676F" w:rsidRPr="00AE360E" w:rsidRDefault="00871D03" w:rsidP="00AE360E">
      <w:pPr>
        <w:spacing w:before="120" w:after="120"/>
        <w:ind w:right="120"/>
        <w:contextualSpacing/>
        <w:jc w:val="both"/>
        <w:rPr>
          <w:rFonts w:ascii="Arial" w:eastAsia="Times New Roman" w:hAnsi="Arial" w:cs="Arial"/>
          <w:b/>
          <w:bCs/>
          <w:sz w:val="28"/>
          <w:szCs w:val="28"/>
          <w:u w:val="single"/>
          <w:lang w:eastAsia="en-GB"/>
        </w:rPr>
      </w:pPr>
      <w:r w:rsidRPr="00AE360E">
        <w:rPr>
          <w:rFonts w:ascii="Arial" w:eastAsia="Times New Roman" w:hAnsi="Arial" w:cs="Arial"/>
          <w:b/>
          <w:bCs/>
          <w:sz w:val="28"/>
          <w:szCs w:val="28"/>
          <w:u w:val="single"/>
          <w:lang w:eastAsia="en-GB"/>
        </w:rPr>
        <w:t>Soutien financier de GAVI</w:t>
      </w:r>
    </w:p>
    <w:p w:rsidR="00727BC3" w:rsidRDefault="00727BC3" w:rsidP="00AE360E">
      <w:pPr>
        <w:spacing w:before="120" w:after="120"/>
        <w:ind w:right="120"/>
        <w:contextualSpacing/>
        <w:jc w:val="both"/>
        <w:rPr>
          <w:rFonts w:ascii="Arial" w:eastAsia="SimSun" w:hAnsi="Arial" w:cs="Arial"/>
          <w:b/>
          <w:color w:val="000000"/>
          <w:sz w:val="24"/>
          <w:szCs w:val="24"/>
          <w:lang w:eastAsia="en-GB"/>
        </w:rPr>
      </w:pPr>
    </w:p>
    <w:p w:rsidR="00871D03" w:rsidRPr="00762EC2" w:rsidRDefault="00727BC3" w:rsidP="00727BC3">
      <w:pPr>
        <w:spacing w:before="240" w:after="120"/>
        <w:ind w:right="119"/>
        <w:jc w:val="both"/>
        <w:rPr>
          <w:rFonts w:ascii="Arial" w:eastAsia="Times New Roman" w:hAnsi="Arial" w:cs="Arial"/>
          <w:bCs/>
          <w:color w:val="1F497D"/>
          <w:sz w:val="28"/>
          <w:szCs w:val="28"/>
          <w:u w:val="single"/>
          <w:lang w:eastAsia="en-GB"/>
        </w:rPr>
      </w:pPr>
      <w:r w:rsidRPr="00762EC2">
        <w:rPr>
          <w:rFonts w:ascii="Arial" w:eastAsia="SimSun" w:hAnsi="Arial" w:cs="Arial"/>
          <w:b/>
          <w:color w:val="000000"/>
          <w:sz w:val="24"/>
          <w:szCs w:val="24"/>
          <w:u w:val="single"/>
          <w:lang w:eastAsia="en-GB"/>
        </w:rPr>
        <w:t>Tableau I</w:t>
      </w:r>
      <w:r w:rsidR="00C15DF1" w:rsidRPr="00762EC2">
        <w:rPr>
          <w:rFonts w:ascii="Arial" w:eastAsia="SimSun" w:hAnsi="Arial" w:cs="Arial"/>
          <w:b/>
          <w:color w:val="000000"/>
          <w:sz w:val="24"/>
          <w:szCs w:val="24"/>
          <w:u w:val="single"/>
          <w:lang w:eastAsia="en-GB"/>
        </w:rPr>
        <w:t>V</w:t>
      </w:r>
      <w:r w:rsidR="00FF0CFB">
        <w:rPr>
          <w:rFonts w:ascii="Arial" w:eastAsia="SimSun" w:hAnsi="Arial" w:cs="Arial"/>
          <w:b/>
          <w:color w:val="000000"/>
          <w:sz w:val="24"/>
          <w:szCs w:val="24"/>
          <w:u w:val="single"/>
          <w:lang w:eastAsia="en-GB"/>
        </w:rPr>
        <w:t> </w:t>
      </w:r>
      <w:r w:rsidR="00FF0CFB">
        <w:rPr>
          <w:rFonts w:ascii="Arial" w:eastAsia="SimSun" w:hAnsi="Arial" w:cs="Arial"/>
          <w:b/>
          <w:color w:val="000000"/>
          <w:sz w:val="24"/>
          <w:szCs w:val="24"/>
          <w:lang w:eastAsia="en-GB"/>
        </w:rPr>
        <w:t>:</w:t>
      </w:r>
      <w:r w:rsidR="00C15DF1" w:rsidRPr="00762EC2">
        <w:rPr>
          <w:rFonts w:ascii="Arial" w:eastAsia="SimSun" w:hAnsi="Arial" w:cs="Arial"/>
          <w:color w:val="000000"/>
          <w:sz w:val="24"/>
          <w:szCs w:val="24"/>
          <w:lang w:eastAsia="en-GB"/>
        </w:rPr>
        <w:t>Soutien financier GAVI</w:t>
      </w:r>
    </w:p>
    <w:tbl>
      <w:tblPr>
        <w:tblStyle w:val="Grilledutableau"/>
        <w:tblW w:w="9387" w:type="dxa"/>
        <w:tblLook w:val="04A0"/>
      </w:tblPr>
      <w:tblGrid>
        <w:gridCol w:w="4692"/>
        <w:gridCol w:w="4695"/>
      </w:tblGrid>
      <w:tr w:rsidR="00050DD3" w:rsidRPr="00056D08" w:rsidTr="00FF0CFB">
        <w:trPr>
          <w:trHeight w:val="635"/>
        </w:trPr>
        <w:tc>
          <w:tcPr>
            <w:tcW w:w="4692" w:type="dxa"/>
            <w:vAlign w:val="center"/>
          </w:tcPr>
          <w:p w:rsidR="00050DD3" w:rsidRPr="00056D08" w:rsidRDefault="00050DD3" w:rsidP="00FF0CFB">
            <w:pPr>
              <w:spacing w:before="120" w:after="120" w:line="276" w:lineRule="auto"/>
              <w:ind w:right="120"/>
              <w:contextualSpacing/>
              <w:rPr>
                <w:rFonts w:ascii="Arial" w:eastAsia="Times New Roman" w:hAnsi="Arial" w:cs="Arial"/>
                <w:bCs/>
                <w:color w:val="1F497D"/>
                <w:sz w:val="24"/>
                <w:szCs w:val="28"/>
                <w:u w:val="single"/>
                <w:lang w:eastAsia="en-GB"/>
              </w:rPr>
            </w:pPr>
            <w:r w:rsidRPr="00056D08">
              <w:rPr>
                <w:rFonts w:ascii="Arial" w:eastAsia="Times New Roman" w:hAnsi="Arial" w:cs="Arial"/>
                <w:bCs/>
                <w:sz w:val="24"/>
                <w:szCs w:val="28"/>
                <w:lang w:eastAsia="en-GB"/>
              </w:rPr>
              <w:t>Naissances Vivantes en 2015 </w:t>
            </w:r>
          </w:p>
        </w:tc>
        <w:tc>
          <w:tcPr>
            <w:tcW w:w="4695" w:type="dxa"/>
            <w:vAlign w:val="center"/>
          </w:tcPr>
          <w:p w:rsidR="00050DD3" w:rsidRPr="00056D08" w:rsidRDefault="00DC1869" w:rsidP="00FF0CFB">
            <w:pPr>
              <w:spacing w:before="120" w:after="120" w:line="276" w:lineRule="auto"/>
              <w:ind w:right="120"/>
              <w:contextualSpacing/>
              <w:rPr>
                <w:rFonts w:ascii="Arial" w:eastAsia="Times New Roman" w:hAnsi="Arial" w:cs="Arial"/>
                <w:bCs/>
                <w:color w:val="1F497D"/>
                <w:sz w:val="24"/>
                <w:szCs w:val="28"/>
                <w:u w:val="single"/>
                <w:lang w:eastAsia="en-GB"/>
              </w:rPr>
            </w:pPr>
            <w:r w:rsidRPr="00DC1869">
              <w:rPr>
                <w:rFonts w:ascii="Arial" w:eastAsia="Times New Roman" w:hAnsi="Arial" w:cs="Arial"/>
                <w:bCs/>
                <w:sz w:val="24"/>
                <w:szCs w:val="28"/>
                <w:lang w:eastAsia="en-GB"/>
              </w:rPr>
              <w:t>572 063</w:t>
            </w:r>
          </w:p>
        </w:tc>
      </w:tr>
      <w:tr w:rsidR="00050DD3" w:rsidRPr="00056D08" w:rsidTr="00FF0CFB">
        <w:trPr>
          <w:trHeight w:val="669"/>
        </w:trPr>
        <w:tc>
          <w:tcPr>
            <w:tcW w:w="4692" w:type="dxa"/>
            <w:vAlign w:val="center"/>
          </w:tcPr>
          <w:p w:rsidR="00050DD3" w:rsidRPr="00056D08" w:rsidRDefault="00050DD3" w:rsidP="00FF0CFB">
            <w:pPr>
              <w:spacing w:before="120" w:after="120" w:line="276" w:lineRule="auto"/>
              <w:ind w:right="120"/>
              <w:contextualSpacing/>
              <w:rPr>
                <w:rFonts w:ascii="Arial" w:eastAsia="Times New Roman" w:hAnsi="Arial" w:cs="Arial"/>
                <w:bCs/>
                <w:sz w:val="24"/>
                <w:szCs w:val="28"/>
                <w:lang w:eastAsia="en-GB"/>
              </w:rPr>
            </w:pPr>
            <w:r w:rsidRPr="00056D08">
              <w:rPr>
                <w:rFonts w:ascii="Arial" w:eastAsia="Times New Roman" w:hAnsi="Arial" w:cs="Arial"/>
                <w:bCs/>
                <w:sz w:val="24"/>
                <w:szCs w:val="28"/>
                <w:lang w:eastAsia="en-GB"/>
              </w:rPr>
              <w:t>Taux forfaitaire</w:t>
            </w:r>
          </w:p>
        </w:tc>
        <w:tc>
          <w:tcPr>
            <w:tcW w:w="4695" w:type="dxa"/>
            <w:vAlign w:val="center"/>
          </w:tcPr>
          <w:p w:rsidR="00050DD3" w:rsidRPr="00056D08" w:rsidRDefault="00050DD3" w:rsidP="00DC1869">
            <w:pPr>
              <w:spacing w:before="120" w:after="120" w:line="276" w:lineRule="auto"/>
              <w:ind w:right="120"/>
              <w:contextualSpacing/>
              <w:rPr>
                <w:rFonts w:ascii="Arial" w:eastAsia="Times New Roman" w:hAnsi="Arial" w:cs="Arial"/>
                <w:bCs/>
                <w:sz w:val="24"/>
                <w:szCs w:val="28"/>
                <w:lang w:eastAsia="en-GB"/>
              </w:rPr>
            </w:pPr>
            <w:r w:rsidRPr="00056D08">
              <w:rPr>
                <w:rFonts w:ascii="Arial" w:eastAsia="Times New Roman" w:hAnsi="Arial" w:cs="Arial"/>
                <w:bCs/>
                <w:sz w:val="24"/>
                <w:szCs w:val="28"/>
                <w:lang w:eastAsia="en-GB"/>
              </w:rPr>
              <w:t>0.8</w:t>
            </w:r>
            <w:r w:rsidR="00DC1869">
              <w:rPr>
                <w:rFonts w:ascii="Arial" w:eastAsia="Times New Roman" w:hAnsi="Arial" w:cs="Arial"/>
                <w:bCs/>
                <w:sz w:val="24"/>
                <w:szCs w:val="28"/>
                <w:lang w:eastAsia="en-GB"/>
              </w:rPr>
              <w:t>5</w:t>
            </w:r>
            <w:r w:rsidRPr="00056D08">
              <w:rPr>
                <w:rFonts w:ascii="Arial" w:eastAsia="Times New Roman" w:hAnsi="Arial" w:cs="Arial"/>
                <w:bCs/>
                <w:sz w:val="24"/>
                <w:szCs w:val="28"/>
                <w:lang w:eastAsia="en-GB"/>
              </w:rPr>
              <w:t xml:space="preserve"> USD/enfant né.</w:t>
            </w:r>
          </w:p>
        </w:tc>
      </w:tr>
      <w:tr w:rsidR="00050DD3" w:rsidRPr="00056D08" w:rsidTr="00FF0CFB">
        <w:trPr>
          <w:trHeight w:val="543"/>
        </w:trPr>
        <w:tc>
          <w:tcPr>
            <w:tcW w:w="4692" w:type="dxa"/>
            <w:vAlign w:val="center"/>
          </w:tcPr>
          <w:p w:rsidR="00050DD3" w:rsidRPr="00056D08" w:rsidRDefault="00050DD3" w:rsidP="00FF0CFB">
            <w:pPr>
              <w:spacing w:before="120" w:after="120" w:line="276" w:lineRule="auto"/>
              <w:ind w:right="120"/>
              <w:contextualSpacing/>
              <w:rPr>
                <w:rFonts w:ascii="Arial" w:eastAsia="Times New Roman" w:hAnsi="Arial" w:cs="Arial"/>
                <w:bCs/>
                <w:sz w:val="24"/>
                <w:szCs w:val="28"/>
                <w:lang w:eastAsia="en-GB"/>
              </w:rPr>
            </w:pPr>
            <w:r w:rsidRPr="00056D08">
              <w:rPr>
                <w:rFonts w:ascii="Arial" w:eastAsia="Times New Roman" w:hAnsi="Arial" w:cs="Arial"/>
                <w:bCs/>
                <w:sz w:val="24"/>
                <w:szCs w:val="28"/>
                <w:lang w:eastAsia="en-GB"/>
              </w:rPr>
              <w:t>Total en USD</w:t>
            </w:r>
          </w:p>
        </w:tc>
        <w:tc>
          <w:tcPr>
            <w:tcW w:w="4695" w:type="dxa"/>
            <w:vAlign w:val="center"/>
          </w:tcPr>
          <w:p w:rsidR="00050DD3" w:rsidRPr="00056D08" w:rsidRDefault="00DC1869" w:rsidP="00DC1869">
            <w:pPr>
              <w:spacing w:before="120" w:after="120" w:line="276" w:lineRule="auto"/>
              <w:ind w:right="120"/>
              <w:contextualSpacing/>
              <w:rPr>
                <w:rFonts w:ascii="Arial" w:eastAsia="Times New Roman" w:hAnsi="Arial" w:cs="Arial"/>
                <w:bCs/>
                <w:color w:val="1F497D"/>
                <w:sz w:val="24"/>
                <w:szCs w:val="28"/>
                <w:u w:val="single"/>
                <w:lang w:eastAsia="en-GB"/>
              </w:rPr>
            </w:pPr>
            <w:r>
              <w:rPr>
                <w:rFonts w:ascii="Arial" w:eastAsia="Times New Roman" w:hAnsi="Arial" w:cs="Arial"/>
                <w:bCs/>
                <w:sz w:val="24"/>
                <w:szCs w:val="28"/>
                <w:lang w:eastAsia="en-GB"/>
              </w:rPr>
              <w:t>488</w:t>
            </w:r>
            <w:r w:rsidR="00050DD3" w:rsidRPr="00056D08">
              <w:rPr>
                <w:rFonts w:ascii="Arial" w:eastAsia="Times New Roman" w:hAnsi="Arial" w:cs="Arial"/>
                <w:bCs/>
                <w:sz w:val="24"/>
                <w:szCs w:val="28"/>
                <w:lang w:eastAsia="en-GB"/>
              </w:rPr>
              <w:t>.</w:t>
            </w:r>
            <w:r>
              <w:rPr>
                <w:rFonts w:ascii="Arial" w:eastAsia="Times New Roman" w:hAnsi="Arial" w:cs="Arial"/>
                <w:bCs/>
                <w:sz w:val="24"/>
                <w:szCs w:val="28"/>
                <w:lang w:eastAsia="en-GB"/>
              </w:rPr>
              <w:t>891</w:t>
            </w:r>
            <w:r w:rsidR="00050DD3" w:rsidRPr="00056D08">
              <w:rPr>
                <w:rFonts w:ascii="Arial" w:eastAsia="Times New Roman" w:hAnsi="Arial" w:cs="Arial"/>
                <w:bCs/>
                <w:sz w:val="24"/>
                <w:szCs w:val="28"/>
                <w:lang w:eastAsia="en-GB"/>
              </w:rPr>
              <w:t xml:space="preserve"> USD</w:t>
            </w:r>
          </w:p>
        </w:tc>
      </w:tr>
      <w:tr w:rsidR="00050DD3" w:rsidRPr="00056D08" w:rsidTr="00FF0CFB">
        <w:trPr>
          <w:trHeight w:val="621"/>
        </w:trPr>
        <w:tc>
          <w:tcPr>
            <w:tcW w:w="4692" w:type="dxa"/>
            <w:vAlign w:val="center"/>
          </w:tcPr>
          <w:p w:rsidR="00050DD3" w:rsidRPr="00056D08" w:rsidRDefault="00050DD3" w:rsidP="00FF0CFB">
            <w:pPr>
              <w:spacing w:before="120" w:after="120" w:line="276" w:lineRule="auto"/>
              <w:ind w:right="120"/>
              <w:contextualSpacing/>
              <w:rPr>
                <w:rFonts w:ascii="Arial" w:eastAsia="Times New Roman" w:hAnsi="Arial" w:cs="Arial"/>
                <w:bCs/>
                <w:sz w:val="24"/>
                <w:szCs w:val="28"/>
                <w:lang w:eastAsia="en-GB"/>
              </w:rPr>
            </w:pPr>
            <w:r w:rsidRPr="00056D08">
              <w:rPr>
                <w:rFonts w:ascii="Arial" w:eastAsia="Times New Roman" w:hAnsi="Arial" w:cs="Arial"/>
                <w:bCs/>
                <w:sz w:val="24"/>
                <w:szCs w:val="28"/>
                <w:lang w:eastAsia="en-GB"/>
              </w:rPr>
              <w:t>Total en CFA</w:t>
            </w:r>
          </w:p>
        </w:tc>
        <w:tc>
          <w:tcPr>
            <w:tcW w:w="4695" w:type="dxa"/>
            <w:vAlign w:val="center"/>
          </w:tcPr>
          <w:p w:rsidR="00050DD3" w:rsidRPr="00056D08" w:rsidRDefault="000D02DC" w:rsidP="00DC1869">
            <w:pPr>
              <w:spacing w:before="120" w:after="120" w:line="276" w:lineRule="auto"/>
              <w:ind w:right="120"/>
              <w:contextualSpacing/>
              <w:rPr>
                <w:rFonts w:ascii="Arial" w:eastAsia="Times New Roman" w:hAnsi="Arial" w:cs="Arial"/>
                <w:bCs/>
                <w:sz w:val="24"/>
                <w:szCs w:val="28"/>
                <w:lang w:eastAsia="en-GB"/>
              </w:rPr>
            </w:pPr>
            <w:r w:rsidRPr="00056D08">
              <w:rPr>
                <w:rFonts w:ascii="Arial" w:eastAsia="Times New Roman" w:hAnsi="Arial" w:cs="Arial"/>
                <w:bCs/>
                <w:sz w:val="24"/>
                <w:szCs w:val="28"/>
                <w:lang w:eastAsia="en-GB"/>
              </w:rPr>
              <w:t>2</w:t>
            </w:r>
            <w:r w:rsidR="00DC1869">
              <w:rPr>
                <w:rFonts w:ascii="Arial" w:eastAsia="Times New Roman" w:hAnsi="Arial" w:cs="Arial"/>
                <w:bCs/>
                <w:sz w:val="24"/>
                <w:szCs w:val="28"/>
                <w:lang w:eastAsia="en-GB"/>
              </w:rPr>
              <w:t>37 112 300</w:t>
            </w:r>
          </w:p>
        </w:tc>
      </w:tr>
    </w:tbl>
    <w:p w:rsidR="00B731B1" w:rsidRPr="00AE360E" w:rsidRDefault="00B731B1" w:rsidP="00AE360E">
      <w:pPr>
        <w:spacing w:before="120" w:after="120"/>
        <w:ind w:right="120"/>
        <w:contextualSpacing/>
        <w:jc w:val="both"/>
        <w:rPr>
          <w:rFonts w:ascii="Arial" w:eastAsia="Times New Roman" w:hAnsi="Arial" w:cs="Arial"/>
          <w:bCs/>
          <w:sz w:val="28"/>
          <w:szCs w:val="28"/>
          <w:lang w:eastAsia="en-GB"/>
        </w:rPr>
      </w:pPr>
    </w:p>
    <w:p w:rsidR="00722A81" w:rsidRPr="00AE360E" w:rsidRDefault="000D02DC" w:rsidP="00AE360E">
      <w:pPr>
        <w:spacing w:before="120" w:after="120"/>
        <w:ind w:right="120"/>
        <w:contextualSpacing/>
        <w:jc w:val="both"/>
        <w:rPr>
          <w:rFonts w:ascii="Arial" w:eastAsia="Times New Roman" w:hAnsi="Arial" w:cs="Arial"/>
          <w:bCs/>
          <w:sz w:val="28"/>
          <w:szCs w:val="28"/>
          <w:lang w:eastAsia="en-GB"/>
        </w:rPr>
      </w:pPr>
      <w:r w:rsidRPr="00AE360E">
        <w:rPr>
          <w:rFonts w:ascii="Arial" w:eastAsia="Times New Roman" w:hAnsi="Arial" w:cs="Arial"/>
          <w:bCs/>
          <w:sz w:val="28"/>
          <w:szCs w:val="28"/>
          <w:lang w:eastAsia="en-GB"/>
        </w:rPr>
        <w:t xml:space="preserve">NB : 1 USD=485 </w:t>
      </w:r>
      <w:r w:rsidR="00B731B1" w:rsidRPr="00AE360E">
        <w:rPr>
          <w:rFonts w:ascii="Arial" w:eastAsia="Times New Roman" w:hAnsi="Arial" w:cs="Arial"/>
          <w:bCs/>
          <w:sz w:val="28"/>
          <w:szCs w:val="28"/>
          <w:lang w:eastAsia="en-GB"/>
        </w:rPr>
        <w:t>Francs CFA</w:t>
      </w:r>
    </w:p>
    <w:p w:rsidR="0077407B" w:rsidRPr="00AE360E" w:rsidRDefault="00F54E44" w:rsidP="00AE360E">
      <w:pPr>
        <w:spacing w:before="240" w:after="120"/>
        <w:ind w:right="119"/>
        <w:jc w:val="both"/>
        <w:rPr>
          <w:rFonts w:ascii="Arial" w:eastAsia="Times New Roman" w:hAnsi="Arial" w:cs="Arial"/>
          <w:b/>
          <w:bCs/>
          <w:sz w:val="28"/>
          <w:szCs w:val="28"/>
          <w:u w:val="single"/>
          <w:lang w:eastAsia="en-GB"/>
        </w:rPr>
      </w:pPr>
      <w:r w:rsidRPr="00AE360E">
        <w:rPr>
          <w:rFonts w:ascii="Arial" w:eastAsia="Times New Roman" w:hAnsi="Arial" w:cs="Arial"/>
          <w:b/>
          <w:bCs/>
          <w:sz w:val="28"/>
          <w:szCs w:val="28"/>
          <w:u w:val="single"/>
          <w:lang w:eastAsia="en-GB"/>
        </w:rPr>
        <w:t>Autres couts opérationnels</w:t>
      </w:r>
    </w:p>
    <w:p w:rsidR="00F54E44" w:rsidRPr="00AE360E" w:rsidRDefault="00F54E44" w:rsidP="00AE360E">
      <w:pPr>
        <w:spacing w:before="120" w:after="120"/>
        <w:ind w:right="120"/>
        <w:contextualSpacing/>
        <w:jc w:val="both"/>
        <w:rPr>
          <w:rFonts w:ascii="Arial" w:eastAsia="Times New Roman" w:hAnsi="Arial" w:cs="Arial"/>
          <w:bCs/>
          <w:sz w:val="24"/>
          <w:szCs w:val="24"/>
          <w:lang w:eastAsia="en-GB"/>
        </w:rPr>
      </w:pPr>
      <w:r w:rsidRPr="00AE360E">
        <w:rPr>
          <w:rFonts w:ascii="Arial" w:eastAsia="Times New Roman" w:hAnsi="Arial" w:cs="Arial"/>
          <w:bCs/>
          <w:sz w:val="24"/>
          <w:szCs w:val="24"/>
          <w:lang w:eastAsia="en-GB"/>
        </w:rPr>
        <w:t>Le calcul des couts opérationnels a été</w:t>
      </w:r>
      <w:r w:rsidR="004468C1">
        <w:rPr>
          <w:rFonts w:ascii="Arial" w:eastAsia="Times New Roman" w:hAnsi="Arial" w:cs="Arial"/>
          <w:bCs/>
          <w:sz w:val="24"/>
          <w:szCs w:val="24"/>
          <w:lang w:eastAsia="en-GB"/>
        </w:rPr>
        <w:t xml:space="preserve"> fait à partir des expériences </w:t>
      </w:r>
      <w:r w:rsidRPr="00AE360E">
        <w:rPr>
          <w:rFonts w:ascii="Arial" w:eastAsia="Times New Roman" w:hAnsi="Arial" w:cs="Arial"/>
          <w:bCs/>
          <w:sz w:val="24"/>
          <w:szCs w:val="24"/>
          <w:lang w:eastAsia="en-GB"/>
        </w:rPr>
        <w:t>acquises d’introduction de nouveaux vaccins en routine (vaccin pentavalent) et en campagne (MenAfrivac).</w:t>
      </w:r>
    </w:p>
    <w:p w:rsidR="0077407B" w:rsidRPr="00AE360E" w:rsidRDefault="00F54E44" w:rsidP="00AE360E">
      <w:pPr>
        <w:spacing w:after="0"/>
        <w:ind w:right="115"/>
        <w:jc w:val="both"/>
        <w:rPr>
          <w:rFonts w:ascii="Arial" w:hAnsi="Arial" w:cs="Arial"/>
          <w:b/>
          <w:sz w:val="24"/>
          <w:szCs w:val="24"/>
        </w:rPr>
      </w:pPr>
      <w:r w:rsidRPr="00AE360E">
        <w:rPr>
          <w:rFonts w:ascii="Arial" w:eastAsia="Times New Roman" w:hAnsi="Arial" w:cs="Arial"/>
          <w:bCs/>
          <w:sz w:val="24"/>
          <w:szCs w:val="24"/>
          <w:lang w:eastAsia="en-GB"/>
        </w:rPr>
        <w:lastRenderedPageBreak/>
        <w:t>Les détails figurent dans l’annexe D</w:t>
      </w:r>
      <w:r w:rsidRPr="00AE360E">
        <w:rPr>
          <w:rFonts w:ascii="Arial" w:hAnsi="Arial" w:cs="Arial"/>
          <w:b/>
          <w:sz w:val="24"/>
          <w:szCs w:val="24"/>
        </w:rPr>
        <w:t>.</w:t>
      </w:r>
    </w:p>
    <w:p w:rsidR="00F54E44" w:rsidRPr="00AE360E" w:rsidRDefault="00F54E44" w:rsidP="00AE360E">
      <w:pPr>
        <w:spacing w:after="0"/>
        <w:ind w:right="115"/>
        <w:jc w:val="both"/>
        <w:rPr>
          <w:rFonts w:ascii="Arial" w:hAnsi="Arial" w:cs="Arial"/>
          <w:b/>
          <w:sz w:val="24"/>
          <w:szCs w:val="24"/>
        </w:rPr>
      </w:pPr>
    </w:p>
    <w:p w:rsidR="002B245C" w:rsidRPr="00AE360E" w:rsidRDefault="00D65A02" w:rsidP="00AE360E">
      <w:pPr>
        <w:spacing w:before="120" w:after="120"/>
        <w:ind w:right="120"/>
        <w:contextualSpacing/>
        <w:jc w:val="both"/>
        <w:rPr>
          <w:rFonts w:ascii="Arial" w:eastAsia="Times New Roman" w:hAnsi="Arial" w:cs="Arial"/>
          <w:bCs/>
          <w:color w:val="1F497D"/>
          <w:sz w:val="28"/>
          <w:szCs w:val="28"/>
          <w:u w:val="single"/>
          <w:lang w:eastAsia="en-GB"/>
        </w:rPr>
      </w:pPr>
      <w:r w:rsidRPr="00AE360E">
        <w:rPr>
          <w:rFonts w:ascii="Arial" w:eastAsia="Times New Roman" w:hAnsi="Arial" w:cs="Arial"/>
          <w:b/>
          <w:bCs/>
          <w:sz w:val="28"/>
          <w:szCs w:val="28"/>
          <w:u w:val="single"/>
          <w:lang w:eastAsia="en-GB"/>
        </w:rPr>
        <w:t>Résumé</w:t>
      </w:r>
      <w:r w:rsidR="002F0E7D" w:rsidRPr="00AE360E">
        <w:rPr>
          <w:rFonts w:ascii="Arial" w:eastAsia="Times New Roman" w:hAnsi="Arial" w:cs="Arial"/>
          <w:b/>
          <w:bCs/>
          <w:sz w:val="28"/>
          <w:szCs w:val="28"/>
          <w:u w:val="single"/>
          <w:lang w:eastAsia="en-GB"/>
        </w:rPr>
        <w:t xml:space="preserve"> Budget</w:t>
      </w:r>
      <w:r w:rsidR="00722A81" w:rsidRPr="00AE360E">
        <w:rPr>
          <w:rFonts w:ascii="Arial" w:eastAsia="Times New Roman" w:hAnsi="Arial" w:cs="Arial"/>
          <w:bCs/>
          <w:sz w:val="28"/>
          <w:szCs w:val="28"/>
          <w:u w:val="single"/>
          <w:lang w:eastAsia="en-GB"/>
        </w:rPr>
        <w:t> </w:t>
      </w:r>
      <w:r w:rsidR="00722A81" w:rsidRPr="00AE360E">
        <w:rPr>
          <w:rFonts w:ascii="Arial" w:eastAsia="Times New Roman" w:hAnsi="Arial" w:cs="Arial"/>
          <w:bCs/>
          <w:color w:val="1F497D"/>
          <w:sz w:val="28"/>
          <w:szCs w:val="28"/>
          <w:u w:val="single"/>
          <w:lang w:eastAsia="en-GB"/>
        </w:rPr>
        <w:t>:</w:t>
      </w:r>
    </w:p>
    <w:p w:rsidR="00A72124" w:rsidRPr="004468C1" w:rsidRDefault="00A72124" w:rsidP="00AE360E">
      <w:pPr>
        <w:spacing w:before="120" w:after="120"/>
        <w:ind w:right="120"/>
        <w:contextualSpacing/>
        <w:jc w:val="both"/>
        <w:rPr>
          <w:rFonts w:ascii="Arial" w:eastAsia="Times New Roman" w:hAnsi="Arial" w:cs="Arial"/>
          <w:bCs/>
          <w:sz w:val="28"/>
          <w:szCs w:val="28"/>
          <w:lang w:eastAsia="en-GB"/>
        </w:rPr>
      </w:pPr>
    </w:p>
    <w:p w:rsidR="00A51993" w:rsidRPr="00AE360E" w:rsidRDefault="00A51993" w:rsidP="00AE360E">
      <w:pPr>
        <w:jc w:val="both"/>
        <w:rPr>
          <w:rFonts w:ascii="Arial" w:hAnsi="Arial" w:cs="Arial"/>
          <w:sz w:val="24"/>
          <w:szCs w:val="24"/>
        </w:rPr>
      </w:pPr>
      <w:r w:rsidRPr="00AE360E">
        <w:rPr>
          <w:rFonts w:ascii="Arial" w:hAnsi="Arial" w:cs="Arial"/>
          <w:sz w:val="24"/>
          <w:szCs w:val="24"/>
        </w:rPr>
        <w:t xml:space="preserve">Le budget total lié à l’introduction du VPI est </w:t>
      </w:r>
      <w:r w:rsidR="001424EE">
        <w:rPr>
          <w:rFonts w:ascii="Arial" w:hAnsi="Arial" w:cs="Arial"/>
          <w:b/>
          <w:sz w:val="24"/>
          <w:szCs w:val="24"/>
        </w:rPr>
        <w:t>4</w:t>
      </w:r>
      <w:r w:rsidR="00DC1869">
        <w:rPr>
          <w:rFonts w:ascii="Arial" w:hAnsi="Arial" w:cs="Arial"/>
          <w:b/>
          <w:sz w:val="24"/>
          <w:szCs w:val="24"/>
        </w:rPr>
        <w:t>55 241</w:t>
      </w:r>
      <w:r w:rsidR="00D52687">
        <w:rPr>
          <w:rFonts w:ascii="Arial" w:hAnsi="Arial" w:cs="Arial"/>
          <w:b/>
          <w:sz w:val="24"/>
          <w:szCs w:val="24"/>
        </w:rPr>
        <w:t> </w:t>
      </w:r>
      <w:r w:rsidR="00DC1869">
        <w:rPr>
          <w:rFonts w:ascii="Arial" w:hAnsi="Arial" w:cs="Arial"/>
          <w:b/>
          <w:sz w:val="24"/>
          <w:szCs w:val="24"/>
        </w:rPr>
        <w:t>675</w:t>
      </w:r>
      <w:r w:rsidR="00D52687">
        <w:rPr>
          <w:rFonts w:ascii="Arial" w:hAnsi="Arial" w:cs="Arial"/>
          <w:b/>
          <w:sz w:val="24"/>
          <w:szCs w:val="24"/>
        </w:rPr>
        <w:t xml:space="preserve"> </w:t>
      </w:r>
      <w:r w:rsidRPr="00AE360E">
        <w:rPr>
          <w:rFonts w:ascii="Arial" w:hAnsi="Arial" w:cs="Arial"/>
          <w:b/>
          <w:sz w:val="24"/>
          <w:szCs w:val="24"/>
        </w:rPr>
        <w:t>francs</w:t>
      </w:r>
      <w:r w:rsidRPr="00AE360E">
        <w:rPr>
          <w:rFonts w:ascii="Arial" w:hAnsi="Arial" w:cs="Arial"/>
          <w:sz w:val="24"/>
          <w:szCs w:val="24"/>
        </w:rPr>
        <w:t xml:space="preserve"> CFA soit </w:t>
      </w:r>
      <w:r w:rsidR="00DC1869" w:rsidRPr="00DC1869">
        <w:rPr>
          <w:rFonts w:ascii="Arial" w:hAnsi="Arial" w:cs="Arial"/>
          <w:b/>
          <w:sz w:val="24"/>
          <w:szCs w:val="24"/>
        </w:rPr>
        <w:t>938</w:t>
      </w:r>
      <w:r w:rsidR="00D52687">
        <w:rPr>
          <w:rFonts w:ascii="Arial" w:hAnsi="Arial" w:cs="Arial"/>
          <w:b/>
          <w:sz w:val="24"/>
          <w:szCs w:val="24"/>
        </w:rPr>
        <w:t> </w:t>
      </w:r>
      <w:r w:rsidR="00DC1869" w:rsidRPr="00DC1869">
        <w:rPr>
          <w:rFonts w:ascii="Arial" w:hAnsi="Arial" w:cs="Arial"/>
          <w:b/>
          <w:sz w:val="24"/>
          <w:szCs w:val="24"/>
        </w:rPr>
        <w:t>643</w:t>
      </w:r>
      <w:r w:rsidR="00D52687">
        <w:rPr>
          <w:rFonts w:ascii="Arial" w:hAnsi="Arial" w:cs="Arial"/>
          <w:b/>
          <w:sz w:val="24"/>
          <w:szCs w:val="24"/>
        </w:rPr>
        <w:t xml:space="preserve"> </w:t>
      </w:r>
      <w:r w:rsidRPr="00AE360E">
        <w:rPr>
          <w:rFonts w:ascii="Arial" w:hAnsi="Arial" w:cs="Arial"/>
          <w:b/>
          <w:sz w:val="24"/>
          <w:szCs w:val="24"/>
        </w:rPr>
        <w:t>USD</w:t>
      </w:r>
      <w:r w:rsidRPr="00AE360E">
        <w:rPr>
          <w:rFonts w:ascii="Arial" w:hAnsi="Arial" w:cs="Arial"/>
          <w:sz w:val="24"/>
          <w:szCs w:val="24"/>
        </w:rPr>
        <w:t xml:space="preserve"> dont </w:t>
      </w:r>
      <w:r w:rsidRPr="00AE360E">
        <w:rPr>
          <w:rFonts w:ascii="Arial" w:hAnsi="Arial" w:cs="Arial"/>
          <w:b/>
          <w:sz w:val="24"/>
          <w:szCs w:val="24"/>
        </w:rPr>
        <w:t>4</w:t>
      </w:r>
      <w:r w:rsidR="00DC1869">
        <w:rPr>
          <w:rFonts w:ascii="Arial" w:hAnsi="Arial" w:cs="Arial"/>
          <w:b/>
          <w:sz w:val="24"/>
          <w:szCs w:val="24"/>
        </w:rPr>
        <w:t>88 891</w:t>
      </w:r>
      <w:r w:rsidRPr="00AE360E">
        <w:rPr>
          <w:rFonts w:ascii="Arial" w:hAnsi="Arial" w:cs="Arial"/>
          <w:b/>
          <w:sz w:val="24"/>
          <w:szCs w:val="24"/>
        </w:rPr>
        <w:t xml:space="preserve"> USD</w:t>
      </w:r>
      <w:r w:rsidR="00D52687">
        <w:rPr>
          <w:rFonts w:ascii="Arial" w:hAnsi="Arial" w:cs="Arial"/>
          <w:b/>
          <w:sz w:val="24"/>
          <w:szCs w:val="24"/>
        </w:rPr>
        <w:t xml:space="preserve"> </w:t>
      </w:r>
      <w:r w:rsidR="00A72124" w:rsidRPr="00AE360E">
        <w:rPr>
          <w:rFonts w:ascii="Arial" w:hAnsi="Arial" w:cs="Arial"/>
          <w:sz w:val="24"/>
          <w:szCs w:val="24"/>
        </w:rPr>
        <w:t xml:space="preserve">représentent l’allocation </w:t>
      </w:r>
      <w:r w:rsidRPr="00AE360E">
        <w:rPr>
          <w:rFonts w:ascii="Arial" w:hAnsi="Arial" w:cs="Arial"/>
          <w:sz w:val="24"/>
          <w:szCs w:val="24"/>
        </w:rPr>
        <w:t xml:space="preserve">de GAVI soit </w:t>
      </w:r>
      <w:r w:rsidR="008B0C6B" w:rsidRPr="00AE360E">
        <w:rPr>
          <w:rFonts w:ascii="Arial" w:hAnsi="Arial" w:cs="Arial"/>
          <w:b/>
          <w:sz w:val="24"/>
          <w:szCs w:val="24"/>
        </w:rPr>
        <w:t>5</w:t>
      </w:r>
      <w:r w:rsidR="00DC1869">
        <w:rPr>
          <w:rFonts w:ascii="Arial" w:hAnsi="Arial" w:cs="Arial"/>
          <w:b/>
          <w:sz w:val="24"/>
          <w:szCs w:val="24"/>
        </w:rPr>
        <w:t>2</w:t>
      </w:r>
      <w:r w:rsidRPr="00AE360E">
        <w:rPr>
          <w:rFonts w:ascii="Arial" w:hAnsi="Arial" w:cs="Arial"/>
          <w:b/>
          <w:sz w:val="24"/>
          <w:szCs w:val="24"/>
        </w:rPr>
        <w:t>%</w:t>
      </w:r>
      <w:r w:rsidRPr="00AE360E">
        <w:rPr>
          <w:rFonts w:ascii="Arial" w:hAnsi="Arial" w:cs="Arial"/>
          <w:sz w:val="24"/>
          <w:szCs w:val="24"/>
        </w:rPr>
        <w:t xml:space="preserve"> et </w:t>
      </w:r>
      <w:r w:rsidR="001424EE">
        <w:rPr>
          <w:rFonts w:ascii="Arial" w:hAnsi="Arial" w:cs="Arial"/>
          <w:b/>
          <w:sz w:val="24"/>
          <w:szCs w:val="24"/>
        </w:rPr>
        <w:t>4</w:t>
      </w:r>
      <w:r w:rsidR="00DC1869">
        <w:rPr>
          <w:rFonts w:ascii="Arial" w:hAnsi="Arial" w:cs="Arial"/>
          <w:b/>
          <w:sz w:val="24"/>
          <w:szCs w:val="24"/>
        </w:rPr>
        <w:t xml:space="preserve">49 751 </w:t>
      </w:r>
      <w:r w:rsidRPr="00AE360E">
        <w:rPr>
          <w:rFonts w:ascii="Arial" w:hAnsi="Arial" w:cs="Arial"/>
          <w:b/>
          <w:sz w:val="24"/>
          <w:szCs w:val="24"/>
        </w:rPr>
        <w:t>USD</w:t>
      </w:r>
      <w:r w:rsidRPr="00AE360E">
        <w:rPr>
          <w:rFonts w:ascii="Arial" w:hAnsi="Arial" w:cs="Arial"/>
          <w:sz w:val="24"/>
          <w:szCs w:val="24"/>
        </w:rPr>
        <w:t xml:space="preserve"> seront supportés par l’Etat et ses partenaires, soit </w:t>
      </w:r>
      <w:r w:rsidR="008B0C6B" w:rsidRPr="00AE360E">
        <w:rPr>
          <w:rFonts w:ascii="Arial" w:hAnsi="Arial" w:cs="Arial"/>
          <w:b/>
          <w:sz w:val="24"/>
          <w:szCs w:val="24"/>
        </w:rPr>
        <w:t>4</w:t>
      </w:r>
      <w:r w:rsidR="00DC1869">
        <w:rPr>
          <w:rFonts w:ascii="Arial" w:hAnsi="Arial" w:cs="Arial"/>
          <w:b/>
          <w:sz w:val="24"/>
          <w:szCs w:val="24"/>
        </w:rPr>
        <w:t>8</w:t>
      </w:r>
      <w:r w:rsidRPr="00AE360E">
        <w:rPr>
          <w:rFonts w:ascii="Arial" w:hAnsi="Arial" w:cs="Arial"/>
          <w:b/>
          <w:sz w:val="24"/>
          <w:szCs w:val="24"/>
        </w:rPr>
        <w:t>%</w:t>
      </w:r>
      <w:r w:rsidR="00A72124" w:rsidRPr="00AE360E">
        <w:rPr>
          <w:rFonts w:ascii="Arial" w:hAnsi="Arial" w:cs="Arial"/>
          <w:sz w:val="24"/>
          <w:szCs w:val="24"/>
        </w:rPr>
        <w:t xml:space="preserve"> (Etat : </w:t>
      </w:r>
      <w:r w:rsidR="00DC1869">
        <w:rPr>
          <w:rFonts w:ascii="Arial" w:hAnsi="Arial" w:cs="Arial"/>
          <w:sz w:val="24"/>
          <w:szCs w:val="24"/>
        </w:rPr>
        <w:t>18</w:t>
      </w:r>
      <w:r w:rsidR="00A72124" w:rsidRPr="00AE360E">
        <w:rPr>
          <w:rFonts w:ascii="Arial" w:hAnsi="Arial" w:cs="Arial"/>
          <w:sz w:val="24"/>
          <w:szCs w:val="24"/>
        </w:rPr>
        <w:t xml:space="preserve">% ; OMS : 5% ; UNICEF : </w:t>
      </w:r>
      <w:r w:rsidR="00DC1869">
        <w:rPr>
          <w:rFonts w:ascii="Arial" w:hAnsi="Arial" w:cs="Arial"/>
          <w:sz w:val="24"/>
          <w:szCs w:val="24"/>
        </w:rPr>
        <w:t>7</w:t>
      </w:r>
      <w:r w:rsidR="00A72124" w:rsidRPr="00AE360E">
        <w:rPr>
          <w:rFonts w:ascii="Arial" w:hAnsi="Arial" w:cs="Arial"/>
          <w:sz w:val="24"/>
          <w:szCs w:val="24"/>
        </w:rPr>
        <w:t>%  et autres sources GAVI : 1</w:t>
      </w:r>
      <w:r w:rsidR="00DC1869">
        <w:rPr>
          <w:rFonts w:ascii="Arial" w:hAnsi="Arial" w:cs="Arial"/>
          <w:sz w:val="24"/>
          <w:szCs w:val="24"/>
        </w:rPr>
        <w:t>8</w:t>
      </w:r>
      <w:r w:rsidR="00A72124" w:rsidRPr="00AE360E">
        <w:rPr>
          <w:rFonts w:ascii="Arial" w:hAnsi="Arial" w:cs="Arial"/>
          <w:sz w:val="24"/>
          <w:szCs w:val="24"/>
        </w:rPr>
        <w:t>%).</w:t>
      </w:r>
    </w:p>
    <w:p w:rsidR="00A72124" w:rsidRPr="00AE360E" w:rsidRDefault="00DC1869" w:rsidP="00AE360E">
      <w:pPr>
        <w:jc w:val="both"/>
        <w:rPr>
          <w:rFonts w:ascii="Arial" w:hAnsi="Arial" w:cs="Arial"/>
          <w:sz w:val="24"/>
          <w:szCs w:val="24"/>
        </w:rPr>
      </w:pPr>
      <w:r>
        <w:rPr>
          <w:rFonts w:ascii="Arial" w:hAnsi="Arial" w:cs="Arial"/>
          <w:sz w:val="24"/>
          <w:szCs w:val="24"/>
        </w:rPr>
        <w:t>Les 18</w:t>
      </w:r>
      <w:r w:rsidR="009D49E5">
        <w:rPr>
          <w:rFonts w:ascii="Arial" w:hAnsi="Arial" w:cs="Arial"/>
          <w:sz w:val="24"/>
          <w:szCs w:val="24"/>
        </w:rPr>
        <w:t>%</w:t>
      </w:r>
      <w:r w:rsidR="00A72124" w:rsidRPr="00AE360E">
        <w:rPr>
          <w:rFonts w:ascii="Arial" w:hAnsi="Arial" w:cs="Arial"/>
          <w:sz w:val="24"/>
          <w:szCs w:val="24"/>
        </w:rPr>
        <w:t xml:space="preserve"> représ</w:t>
      </w:r>
      <w:r w:rsidR="009D49E5">
        <w:rPr>
          <w:rFonts w:ascii="Arial" w:hAnsi="Arial" w:cs="Arial"/>
          <w:sz w:val="24"/>
          <w:szCs w:val="24"/>
        </w:rPr>
        <w:t>entent le cout d’acquisition de</w:t>
      </w:r>
      <w:r w:rsidR="00A72124" w:rsidRPr="00AE360E">
        <w:rPr>
          <w:rFonts w:ascii="Arial" w:hAnsi="Arial" w:cs="Arial"/>
          <w:sz w:val="24"/>
          <w:szCs w:val="24"/>
        </w:rPr>
        <w:t xml:space="preserve"> 20 réfrigérateurs solaires pour les centres de santé. Ce montant sera mobilisé à travers les autres initiatives GAVI dont bénéficie le Tchad (RSS, Approche Taillée sur Mesure, etc</w:t>
      </w:r>
      <w:r w:rsidR="001441F2" w:rsidRPr="00AE360E">
        <w:rPr>
          <w:rFonts w:ascii="Arial" w:hAnsi="Arial" w:cs="Arial"/>
          <w:sz w:val="24"/>
          <w:szCs w:val="24"/>
        </w:rPr>
        <w:t>.)</w:t>
      </w:r>
    </w:p>
    <w:p w:rsidR="00A51993" w:rsidRDefault="00A51993" w:rsidP="00AE360E">
      <w:pPr>
        <w:jc w:val="both"/>
        <w:rPr>
          <w:rFonts w:ascii="Arial" w:hAnsi="Arial" w:cs="Arial"/>
          <w:sz w:val="24"/>
          <w:szCs w:val="24"/>
        </w:rPr>
      </w:pPr>
      <w:r w:rsidRPr="00AE360E">
        <w:rPr>
          <w:rFonts w:ascii="Arial" w:hAnsi="Arial" w:cs="Arial"/>
          <w:sz w:val="24"/>
          <w:szCs w:val="24"/>
        </w:rPr>
        <w:t>La répartition des couts par rubrique est de :</w:t>
      </w:r>
    </w:p>
    <w:tbl>
      <w:tblPr>
        <w:tblW w:w="10014" w:type="dxa"/>
        <w:tblInd w:w="55" w:type="dxa"/>
        <w:tblCellMar>
          <w:left w:w="70" w:type="dxa"/>
          <w:right w:w="70" w:type="dxa"/>
        </w:tblCellMar>
        <w:tblLook w:val="04A0"/>
      </w:tblPr>
      <w:tblGrid>
        <w:gridCol w:w="1560"/>
        <w:gridCol w:w="1149"/>
        <w:gridCol w:w="851"/>
        <w:gridCol w:w="991"/>
        <w:gridCol w:w="1276"/>
        <w:gridCol w:w="1134"/>
        <w:gridCol w:w="951"/>
        <w:gridCol w:w="1175"/>
        <w:gridCol w:w="927"/>
      </w:tblGrid>
      <w:tr w:rsidR="00B82D34" w:rsidRPr="00B82D34" w:rsidTr="00B82D34">
        <w:trPr>
          <w:trHeight w:val="304"/>
        </w:trPr>
        <w:tc>
          <w:tcPr>
            <w:tcW w:w="1560" w:type="dxa"/>
            <w:vMerge w:val="restart"/>
            <w:tcBorders>
              <w:top w:val="single" w:sz="4" w:space="0" w:color="auto"/>
              <w:left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center"/>
              <w:rPr>
                <w:rFonts w:ascii="Calibri" w:eastAsia="Times New Roman" w:hAnsi="Calibri" w:cs="Times New Roman"/>
                <w:b/>
                <w:bCs/>
                <w:color w:val="000000"/>
                <w:sz w:val="20"/>
                <w:szCs w:val="20"/>
                <w:lang w:eastAsia="fr-FR"/>
              </w:rPr>
            </w:pPr>
            <w:r w:rsidRPr="00B82D34">
              <w:rPr>
                <w:rFonts w:ascii="Calibri" w:eastAsia="Times New Roman" w:hAnsi="Calibri" w:cs="Times New Roman"/>
                <w:b/>
                <w:bCs/>
                <w:color w:val="000000"/>
                <w:sz w:val="20"/>
                <w:szCs w:val="20"/>
                <w:lang w:eastAsia="fr-FR"/>
              </w:rPr>
              <w:t>Activités</w:t>
            </w:r>
          </w:p>
        </w:tc>
        <w:tc>
          <w:tcPr>
            <w:tcW w:w="1149" w:type="dxa"/>
            <w:vMerge w:val="restart"/>
            <w:tcBorders>
              <w:top w:val="single" w:sz="4" w:space="0" w:color="auto"/>
              <w:left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center"/>
              <w:rPr>
                <w:rFonts w:ascii="Calibri" w:eastAsia="Times New Roman" w:hAnsi="Calibri" w:cs="Times New Roman"/>
                <w:b/>
                <w:bCs/>
                <w:color w:val="000000"/>
                <w:sz w:val="20"/>
                <w:szCs w:val="20"/>
                <w:lang w:eastAsia="fr-FR"/>
              </w:rPr>
            </w:pPr>
            <w:r w:rsidRPr="00B82D34">
              <w:rPr>
                <w:rFonts w:ascii="Calibri" w:eastAsia="Times New Roman" w:hAnsi="Calibri" w:cs="Times New Roman"/>
                <w:b/>
                <w:bCs/>
                <w:color w:val="000000"/>
                <w:sz w:val="20"/>
                <w:szCs w:val="20"/>
                <w:lang w:eastAsia="fr-FR"/>
              </w:rPr>
              <w:t>Total CFA</w:t>
            </w:r>
          </w:p>
        </w:tc>
        <w:tc>
          <w:tcPr>
            <w:tcW w:w="851" w:type="dxa"/>
            <w:vMerge w:val="restart"/>
            <w:tcBorders>
              <w:top w:val="single" w:sz="4" w:space="0" w:color="auto"/>
              <w:left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center"/>
              <w:rPr>
                <w:rFonts w:ascii="Calibri" w:eastAsia="Times New Roman" w:hAnsi="Calibri" w:cs="Times New Roman"/>
                <w:b/>
                <w:bCs/>
                <w:color w:val="000000"/>
                <w:sz w:val="20"/>
                <w:szCs w:val="20"/>
                <w:lang w:eastAsia="fr-FR"/>
              </w:rPr>
            </w:pPr>
            <w:r w:rsidRPr="00B82D34">
              <w:rPr>
                <w:rFonts w:ascii="Calibri" w:eastAsia="Times New Roman" w:hAnsi="Calibri" w:cs="Times New Roman"/>
                <w:b/>
                <w:bCs/>
                <w:color w:val="000000"/>
                <w:sz w:val="20"/>
                <w:szCs w:val="20"/>
                <w:lang w:eastAsia="fr-FR"/>
              </w:rPr>
              <w:t>Total US$</w:t>
            </w:r>
          </w:p>
        </w:tc>
        <w:tc>
          <w:tcPr>
            <w:tcW w:w="5527" w:type="dxa"/>
            <w:gridSpan w:val="5"/>
            <w:tcBorders>
              <w:top w:val="single" w:sz="4" w:space="0" w:color="auto"/>
              <w:left w:val="single" w:sz="4" w:space="0" w:color="9BBB59"/>
              <w:bottom w:val="single" w:sz="8"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center"/>
              <w:rPr>
                <w:rFonts w:ascii="Calibri" w:eastAsia="Times New Roman" w:hAnsi="Calibri" w:cs="Times New Roman"/>
                <w:b/>
                <w:bCs/>
                <w:color w:val="000000"/>
                <w:sz w:val="20"/>
                <w:szCs w:val="20"/>
                <w:lang w:eastAsia="fr-FR"/>
              </w:rPr>
            </w:pPr>
            <w:r w:rsidRPr="00B82D34">
              <w:rPr>
                <w:rFonts w:ascii="Calibri" w:eastAsia="Times New Roman" w:hAnsi="Calibri" w:cs="Times New Roman"/>
                <w:b/>
                <w:bCs/>
                <w:color w:val="000000"/>
                <w:sz w:val="20"/>
                <w:szCs w:val="20"/>
                <w:lang w:eastAsia="fr-FR"/>
              </w:rPr>
              <w:t>SOURCE DE FINANCEMENT</w:t>
            </w:r>
          </w:p>
        </w:tc>
        <w:tc>
          <w:tcPr>
            <w:tcW w:w="927" w:type="dxa"/>
            <w:vMerge w:val="restart"/>
            <w:tcBorders>
              <w:top w:val="single" w:sz="4" w:space="0" w:color="auto"/>
              <w:left w:val="single" w:sz="4" w:space="0" w:color="9BBB59"/>
              <w:right w:val="single" w:sz="4" w:space="0" w:color="auto"/>
            </w:tcBorders>
            <w:shd w:val="clear" w:color="auto" w:fill="auto"/>
            <w:noWrap/>
            <w:vAlign w:val="center"/>
            <w:hideMark/>
          </w:tcPr>
          <w:p w:rsidR="00B82D34" w:rsidRPr="00B82D34" w:rsidRDefault="00B82D34" w:rsidP="00B82D34">
            <w:pPr>
              <w:spacing w:after="0" w:line="240" w:lineRule="auto"/>
              <w:jc w:val="center"/>
              <w:rPr>
                <w:rFonts w:ascii="Calibri" w:eastAsia="Times New Roman" w:hAnsi="Calibri" w:cs="Times New Roman"/>
                <w:b/>
                <w:bCs/>
                <w:color w:val="000000"/>
                <w:sz w:val="20"/>
                <w:szCs w:val="20"/>
                <w:lang w:eastAsia="fr-FR"/>
              </w:rPr>
            </w:pPr>
            <w:r w:rsidRPr="00B82D34">
              <w:rPr>
                <w:rFonts w:ascii="Calibri" w:eastAsia="Times New Roman" w:hAnsi="Calibri" w:cs="Times New Roman"/>
                <w:b/>
                <w:color w:val="000000"/>
                <w:sz w:val="20"/>
                <w:szCs w:val="20"/>
                <w:lang w:eastAsia="fr-FR"/>
              </w:rPr>
              <w:t>%</w:t>
            </w:r>
          </w:p>
        </w:tc>
      </w:tr>
      <w:tr w:rsidR="00B82D34" w:rsidRPr="00B82D34" w:rsidTr="00B82D34">
        <w:trPr>
          <w:trHeight w:val="255"/>
        </w:trPr>
        <w:tc>
          <w:tcPr>
            <w:tcW w:w="1560" w:type="dxa"/>
            <w:vMerge/>
            <w:tcBorders>
              <w:left w:val="single" w:sz="4" w:space="0" w:color="auto"/>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p>
        </w:tc>
        <w:tc>
          <w:tcPr>
            <w:tcW w:w="1149" w:type="dxa"/>
            <w:vMerge/>
            <w:tcBorders>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c>
          <w:tcPr>
            <w:tcW w:w="851" w:type="dxa"/>
            <w:vMerge/>
            <w:tcBorders>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c>
          <w:tcPr>
            <w:tcW w:w="99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center"/>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ETAT</w:t>
            </w:r>
          </w:p>
        </w:tc>
        <w:tc>
          <w:tcPr>
            <w:tcW w:w="1276"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center"/>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Allocation GAVI</w:t>
            </w:r>
          </w:p>
        </w:tc>
        <w:tc>
          <w:tcPr>
            <w:tcW w:w="1134"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center"/>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OMS</w:t>
            </w:r>
          </w:p>
        </w:tc>
        <w:tc>
          <w:tcPr>
            <w:tcW w:w="9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center"/>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UNICEF</w:t>
            </w:r>
          </w:p>
        </w:tc>
        <w:tc>
          <w:tcPr>
            <w:tcW w:w="1175"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center"/>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GAVI</w:t>
            </w:r>
            <w:r>
              <w:rPr>
                <w:rFonts w:ascii="Calibri" w:eastAsia="Times New Roman" w:hAnsi="Calibri" w:cs="Times New Roman"/>
                <w:color w:val="000000"/>
                <w:sz w:val="20"/>
                <w:szCs w:val="20"/>
                <w:lang w:eastAsia="fr-FR"/>
              </w:rPr>
              <w:t>- RSS</w:t>
            </w:r>
          </w:p>
        </w:tc>
        <w:tc>
          <w:tcPr>
            <w:tcW w:w="927" w:type="dxa"/>
            <w:vMerge/>
            <w:tcBorders>
              <w:left w:val="single" w:sz="4" w:space="0" w:color="9BBB59"/>
              <w:bottom w:val="single" w:sz="4" w:space="0" w:color="9BBB59"/>
              <w:right w:val="single" w:sz="4" w:space="0" w:color="auto"/>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Techniques</w:t>
            </w:r>
          </w:p>
        </w:tc>
        <w:tc>
          <w:tcPr>
            <w:tcW w:w="1149"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254 294 000</w:t>
            </w:r>
          </w:p>
        </w:tc>
        <w:tc>
          <w:tcPr>
            <w:tcW w:w="8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524 318</w:t>
            </w:r>
          </w:p>
        </w:tc>
        <w:tc>
          <w:tcPr>
            <w:tcW w:w="99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46657500</w:t>
            </w:r>
          </w:p>
        </w:tc>
        <w:tc>
          <w:tcPr>
            <w:tcW w:w="1276"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200 690 500</w:t>
            </w:r>
          </w:p>
        </w:tc>
        <w:tc>
          <w:tcPr>
            <w:tcW w:w="1134"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6 946 000</w:t>
            </w:r>
          </w:p>
        </w:tc>
        <w:tc>
          <w:tcPr>
            <w:tcW w:w="9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1175"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27" w:type="dxa"/>
            <w:tcBorders>
              <w:top w:val="single" w:sz="4" w:space="0" w:color="9BBB59"/>
              <w:left w:val="single" w:sz="4" w:space="0" w:color="9BBB59"/>
              <w:bottom w:val="single" w:sz="4" w:space="0" w:color="9BBB59"/>
              <w:right w:val="single" w:sz="4" w:space="0" w:color="auto"/>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56%</w:t>
            </w: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Logistique</w:t>
            </w:r>
          </w:p>
        </w:tc>
        <w:tc>
          <w:tcPr>
            <w:tcW w:w="1149"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108 025 875</w:t>
            </w:r>
          </w:p>
        </w:tc>
        <w:tc>
          <w:tcPr>
            <w:tcW w:w="8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222 734</w:t>
            </w:r>
          </w:p>
        </w:tc>
        <w:tc>
          <w:tcPr>
            <w:tcW w:w="99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28025875</w:t>
            </w:r>
          </w:p>
        </w:tc>
        <w:tc>
          <w:tcPr>
            <w:tcW w:w="1276"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1134"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1175"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80 000 000</w:t>
            </w:r>
          </w:p>
        </w:tc>
        <w:tc>
          <w:tcPr>
            <w:tcW w:w="927" w:type="dxa"/>
            <w:tcBorders>
              <w:top w:val="single" w:sz="4" w:space="0" w:color="9BBB59"/>
              <w:left w:val="single" w:sz="4" w:space="0" w:color="9BBB59"/>
              <w:bottom w:val="single" w:sz="4" w:space="0" w:color="9BBB59"/>
              <w:right w:val="single" w:sz="4" w:space="0" w:color="auto"/>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24%</w:t>
            </w: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Communication</w:t>
            </w:r>
          </w:p>
        </w:tc>
        <w:tc>
          <w:tcPr>
            <w:tcW w:w="1149"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46 045 000</w:t>
            </w:r>
          </w:p>
        </w:tc>
        <w:tc>
          <w:tcPr>
            <w:tcW w:w="8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94 938</w:t>
            </w:r>
          </w:p>
        </w:tc>
        <w:tc>
          <w:tcPr>
            <w:tcW w:w="99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8000000</w:t>
            </w:r>
          </w:p>
        </w:tc>
        <w:tc>
          <w:tcPr>
            <w:tcW w:w="1276"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15 525 000</w:t>
            </w:r>
          </w:p>
        </w:tc>
        <w:tc>
          <w:tcPr>
            <w:tcW w:w="1134"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22520000</w:t>
            </w:r>
          </w:p>
        </w:tc>
        <w:tc>
          <w:tcPr>
            <w:tcW w:w="1175"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27" w:type="dxa"/>
            <w:tcBorders>
              <w:top w:val="single" w:sz="4" w:space="0" w:color="9BBB59"/>
              <w:left w:val="single" w:sz="4" w:space="0" w:color="9BBB59"/>
              <w:bottom w:val="single" w:sz="4" w:space="0" w:color="9BBB59"/>
              <w:right w:val="single" w:sz="4" w:space="0" w:color="auto"/>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10%</w:t>
            </w: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Evaluation</w:t>
            </w:r>
          </w:p>
        </w:tc>
        <w:tc>
          <w:tcPr>
            <w:tcW w:w="1149"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46 876 800</w:t>
            </w:r>
          </w:p>
        </w:tc>
        <w:tc>
          <w:tcPr>
            <w:tcW w:w="8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96 653</w:t>
            </w:r>
          </w:p>
        </w:tc>
        <w:tc>
          <w:tcPr>
            <w:tcW w:w="99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1050000</w:t>
            </w:r>
          </w:p>
        </w:tc>
        <w:tc>
          <w:tcPr>
            <w:tcW w:w="1276"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20 896 800</w:t>
            </w:r>
          </w:p>
        </w:tc>
        <w:tc>
          <w:tcPr>
            <w:tcW w:w="1134"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15 000 000</w:t>
            </w:r>
          </w:p>
        </w:tc>
        <w:tc>
          <w:tcPr>
            <w:tcW w:w="9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9930000</w:t>
            </w:r>
          </w:p>
        </w:tc>
        <w:tc>
          <w:tcPr>
            <w:tcW w:w="1175"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27" w:type="dxa"/>
            <w:tcBorders>
              <w:top w:val="single" w:sz="4" w:space="0" w:color="9BBB59"/>
              <w:left w:val="single" w:sz="4" w:space="0" w:color="9BBB59"/>
              <w:bottom w:val="single" w:sz="4" w:space="0" w:color="9BBB59"/>
              <w:right w:val="single" w:sz="4" w:space="0" w:color="auto"/>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10%</w:t>
            </w: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Total en CFA</w:t>
            </w:r>
          </w:p>
        </w:tc>
        <w:tc>
          <w:tcPr>
            <w:tcW w:w="1149"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455 241 675</w:t>
            </w:r>
          </w:p>
        </w:tc>
        <w:tc>
          <w:tcPr>
            <w:tcW w:w="8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c>
          <w:tcPr>
            <w:tcW w:w="99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83733375</w:t>
            </w:r>
          </w:p>
        </w:tc>
        <w:tc>
          <w:tcPr>
            <w:tcW w:w="1276"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237 112 300</w:t>
            </w:r>
          </w:p>
        </w:tc>
        <w:tc>
          <w:tcPr>
            <w:tcW w:w="1134"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21 946 000</w:t>
            </w:r>
          </w:p>
        </w:tc>
        <w:tc>
          <w:tcPr>
            <w:tcW w:w="951"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32450000</w:t>
            </w:r>
          </w:p>
        </w:tc>
        <w:tc>
          <w:tcPr>
            <w:tcW w:w="1175" w:type="dxa"/>
            <w:tcBorders>
              <w:top w:val="single" w:sz="4" w:space="0" w:color="9BBB59"/>
              <w:left w:val="single" w:sz="4" w:space="0" w:color="9BBB59"/>
              <w:bottom w:val="single" w:sz="4" w:space="0" w:color="9BBB59"/>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80 000 000</w:t>
            </w:r>
          </w:p>
        </w:tc>
        <w:tc>
          <w:tcPr>
            <w:tcW w:w="927" w:type="dxa"/>
            <w:tcBorders>
              <w:top w:val="single" w:sz="4" w:space="0" w:color="9BBB59"/>
              <w:left w:val="single" w:sz="4" w:space="0" w:color="9BBB59"/>
              <w:bottom w:val="single" w:sz="4" w:space="0" w:color="9BBB59"/>
              <w:right w:val="single" w:sz="4" w:space="0" w:color="auto"/>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r>
      <w:tr w:rsidR="00B82D34" w:rsidRPr="00B82D34" w:rsidTr="00B82D34">
        <w:trPr>
          <w:trHeight w:val="255"/>
        </w:trPr>
        <w:tc>
          <w:tcPr>
            <w:tcW w:w="1560" w:type="dxa"/>
            <w:tcBorders>
              <w:top w:val="single" w:sz="4" w:space="0" w:color="9BBB59"/>
              <w:left w:val="single" w:sz="4" w:space="0" w:color="auto"/>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Total en USD</w:t>
            </w:r>
          </w:p>
        </w:tc>
        <w:tc>
          <w:tcPr>
            <w:tcW w:w="1149"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938 643</w:t>
            </w:r>
          </w:p>
        </w:tc>
        <w:tc>
          <w:tcPr>
            <w:tcW w:w="8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938 643</w:t>
            </w:r>
          </w:p>
        </w:tc>
        <w:tc>
          <w:tcPr>
            <w:tcW w:w="99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172646</w:t>
            </w:r>
          </w:p>
        </w:tc>
        <w:tc>
          <w:tcPr>
            <w:tcW w:w="1276"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488 891</w:t>
            </w:r>
          </w:p>
        </w:tc>
        <w:tc>
          <w:tcPr>
            <w:tcW w:w="1134"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45 249</w:t>
            </w:r>
          </w:p>
        </w:tc>
        <w:tc>
          <w:tcPr>
            <w:tcW w:w="951"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66907</w:t>
            </w:r>
          </w:p>
        </w:tc>
        <w:tc>
          <w:tcPr>
            <w:tcW w:w="1175" w:type="dxa"/>
            <w:tcBorders>
              <w:top w:val="single" w:sz="4" w:space="0" w:color="9BBB59"/>
              <w:left w:val="single" w:sz="4" w:space="0" w:color="9BBB59"/>
              <w:bottom w:val="single" w:sz="4" w:space="0" w:color="9BBB59"/>
              <w:right w:val="single" w:sz="4" w:space="0" w:color="9BBB59"/>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164 948</w:t>
            </w:r>
          </w:p>
        </w:tc>
        <w:tc>
          <w:tcPr>
            <w:tcW w:w="927" w:type="dxa"/>
            <w:tcBorders>
              <w:top w:val="single" w:sz="4" w:space="0" w:color="9BBB59"/>
              <w:left w:val="single" w:sz="4" w:space="0" w:color="9BBB59"/>
              <w:bottom w:val="single" w:sz="4" w:space="0" w:color="9BBB59"/>
              <w:right w:val="single" w:sz="4" w:space="0" w:color="auto"/>
            </w:tcBorders>
            <w:shd w:val="clear" w:color="EBF1DE" w:fill="EBF1DE"/>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r>
      <w:tr w:rsidR="00B82D34" w:rsidRPr="00B82D34" w:rsidTr="00B82D34">
        <w:trPr>
          <w:trHeight w:val="255"/>
        </w:trPr>
        <w:tc>
          <w:tcPr>
            <w:tcW w:w="1560" w:type="dxa"/>
            <w:tcBorders>
              <w:top w:val="single" w:sz="4" w:space="0" w:color="9BBB59"/>
              <w:left w:val="single" w:sz="4" w:space="0" w:color="auto"/>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1149"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c>
          <w:tcPr>
            <w:tcW w:w="851"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w:t>
            </w:r>
          </w:p>
        </w:tc>
        <w:tc>
          <w:tcPr>
            <w:tcW w:w="991"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18</w:t>
            </w:r>
          </w:p>
        </w:tc>
        <w:tc>
          <w:tcPr>
            <w:tcW w:w="1276"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52</w:t>
            </w:r>
          </w:p>
        </w:tc>
        <w:tc>
          <w:tcPr>
            <w:tcW w:w="1134"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5</w:t>
            </w:r>
          </w:p>
        </w:tc>
        <w:tc>
          <w:tcPr>
            <w:tcW w:w="951"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7</w:t>
            </w:r>
          </w:p>
        </w:tc>
        <w:tc>
          <w:tcPr>
            <w:tcW w:w="1175" w:type="dxa"/>
            <w:tcBorders>
              <w:top w:val="single" w:sz="4" w:space="0" w:color="9BBB59"/>
              <w:left w:val="single" w:sz="4" w:space="0" w:color="9BBB59"/>
              <w:bottom w:val="single" w:sz="4" w:space="0" w:color="auto"/>
              <w:right w:val="single" w:sz="4" w:space="0" w:color="9BBB59"/>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r w:rsidRPr="00B82D34">
              <w:rPr>
                <w:rFonts w:ascii="Calibri" w:eastAsia="Times New Roman" w:hAnsi="Calibri" w:cs="Times New Roman"/>
                <w:color w:val="000000"/>
                <w:sz w:val="20"/>
                <w:szCs w:val="20"/>
                <w:lang w:eastAsia="fr-FR"/>
              </w:rPr>
              <w:t>18</w:t>
            </w:r>
          </w:p>
        </w:tc>
        <w:tc>
          <w:tcPr>
            <w:tcW w:w="927" w:type="dxa"/>
            <w:tcBorders>
              <w:top w:val="single" w:sz="4" w:space="0" w:color="9BBB59"/>
              <w:left w:val="single" w:sz="4" w:space="0" w:color="9BBB59"/>
              <w:bottom w:val="single" w:sz="4" w:space="0" w:color="auto"/>
              <w:right w:val="single" w:sz="4" w:space="0" w:color="auto"/>
            </w:tcBorders>
            <w:shd w:val="clear" w:color="auto" w:fill="auto"/>
            <w:noWrap/>
            <w:vAlign w:val="center"/>
            <w:hideMark/>
          </w:tcPr>
          <w:p w:rsidR="00B82D34" w:rsidRPr="00B82D34" w:rsidRDefault="00B82D34" w:rsidP="00B82D34">
            <w:pPr>
              <w:spacing w:after="0" w:line="240" w:lineRule="auto"/>
              <w:jc w:val="right"/>
              <w:rPr>
                <w:rFonts w:ascii="Calibri" w:eastAsia="Times New Roman" w:hAnsi="Calibri" w:cs="Times New Roman"/>
                <w:color w:val="000000"/>
                <w:sz w:val="20"/>
                <w:szCs w:val="20"/>
                <w:lang w:eastAsia="fr-FR"/>
              </w:rPr>
            </w:pPr>
          </w:p>
        </w:tc>
      </w:tr>
    </w:tbl>
    <w:p w:rsidR="00DC1869" w:rsidRPr="00AE360E" w:rsidRDefault="00DC1869" w:rsidP="00AE360E">
      <w:pPr>
        <w:jc w:val="both"/>
        <w:rPr>
          <w:rFonts w:ascii="Arial" w:hAnsi="Arial" w:cs="Arial"/>
          <w:sz w:val="24"/>
          <w:szCs w:val="24"/>
        </w:rPr>
      </w:pPr>
    </w:p>
    <w:p w:rsidR="00A51993" w:rsidRPr="00AE360E" w:rsidRDefault="00173347" w:rsidP="00AE360E">
      <w:pPr>
        <w:pStyle w:val="Paragraphedeliste"/>
        <w:numPr>
          <w:ilvl w:val="0"/>
          <w:numId w:val="42"/>
        </w:numPr>
        <w:jc w:val="both"/>
        <w:rPr>
          <w:rFonts w:ascii="Arial" w:hAnsi="Arial" w:cs="Arial"/>
          <w:sz w:val="24"/>
          <w:szCs w:val="24"/>
        </w:rPr>
      </w:pPr>
      <w:r w:rsidRPr="00AE360E">
        <w:rPr>
          <w:rFonts w:ascii="Arial" w:hAnsi="Arial" w:cs="Arial"/>
          <w:sz w:val="24"/>
          <w:szCs w:val="24"/>
        </w:rPr>
        <w:t>5</w:t>
      </w:r>
      <w:r w:rsidR="00EE079F">
        <w:rPr>
          <w:rFonts w:ascii="Arial" w:hAnsi="Arial" w:cs="Arial"/>
          <w:sz w:val="24"/>
          <w:szCs w:val="24"/>
        </w:rPr>
        <w:t>24</w:t>
      </w:r>
      <w:r w:rsidR="00A51993" w:rsidRPr="00AE360E">
        <w:rPr>
          <w:rFonts w:ascii="Arial" w:hAnsi="Arial" w:cs="Arial"/>
          <w:sz w:val="24"/>
          <w:szCs w:val="24"/>
        </w:rPr>
        <w:t>.</w:t>
      </w:r>
      <w:r w:rsidR="00EE079F">
        <w:rPr>
          <w:rFonts w:ascii="Arial" w:hAnsi="Arial" w:cs="Arial"/>
          <w:sz w:val="24"/>
          <w:szCs w:val="24"/>
        </w:rPr>
        <w:t>318</w:t>
      </w:r>
      <w:r w:rsidR="00A51993" w:rsidRPr="00AE360E">
        <w:rPr>
          <w:rFonts w:ascii="Arial" w:hAnsi="Arial" w:cs="Arial"/>
          <w:sz w:val="24"/>
          <w:szCs w:val="24"/>
        </w:rPr>
        <w:t xml:space="preserve"> USD</w:t>
      </w:r>
      <w:r w:rsidRPr="00AE360E">
        <w:rPr>
          <w:rFonts w:ascii="Arial" w:hAnsi="Arial" w:cs="Arial"/>
          <w:sz w:val="24"/>
          <w:szCs w:val="24"/>
        </w:rPr>
        <w:t xml:space="preserve">  soit </w:t>
      </w:r>
      <w:r w:rsidR="00EE079F">
        <w:rPr>
          <w:rFonts w:ascii="Arial" w:hAnsi="Arial" w:cs="Arial"/>
          <w:sz w:val="24"/>
          <w:szCs w:val="24"/>
        </w:rPr>
        <w:t>56</w:t>
      </w:r>
      <w:r w:rsidR="00A51993" w:rsidRPr="00AE360E">
        <w:rPr>
          <w:rFonts w:ascii="Arial" w:hAnsi="Arial" w:cs="Arial"/>
          <w:sz w:val="24"/>
          <w:szCs w:val="24"/>
        </w:rPr>
        <w:t>% pour les aspects techniques et la coordination;</w:t>
      </w:r>
    </w:p>
    <w:p w:rsidR="00A51993" w:rsidRPr="00AE360E" w:rsidRDefault="00EE079F" w:rsidP="00AE360E">
      <w:pPr>
        <w:pStyle w:val="Paragraphedeliste"/>
        <w:numPr>
          <w:ilvl w:val="0"/>
          <w:numId w:val="42"/>
        </w:numPr>
        <w:jc w:val="both"/>
        <w:rPr>
          <w:rFonts w:ascii="Arial" w:hAnsi="Arial" w:cs="Arial"/>
          <w:sz w:val="24"/>
          <w:szCs w:val="24"/>
        </w:rPr>
      </w:pPr>
      <w:r>
        <w:rPr>
          <w:rFonts w:ascii="Arial" w:hAnsi="Arial" w:cs="Arial"/>
          <w:sz w:val="24"/>
          <w:szCs w:val="24"/>
        </w:rPr>
        <w:t>222 734</w:t>
      </w:r>
      <w:r w:rsidR="00A51993" w:rsidRPr="00AE360E">
        <w:rPr>
          <w:rFonts w:ascii="Arial" w:hAnsi="Arial" w:cs="Arial"/>
          <w:sz w:val="24"/>
          <w:szCs w:val="24"/>
        </w:rPr>
        <w:t xml:space="preserve"> USD</w:t>
      </w:r>
      <w:r w:rsidR="00CC393F" w:rsidRPr="00AE360E">
        <w:rPr>
          <w:rFonts w:ascii="Arial" w:hAnsi="Arial" w:cs="Arial"/>
          <w:sz w:val="24"/>
          <w:szCs w:val="24"/>
        </w:rPr>
        <w:t xml:space="preserve"> soit </w:t>
      </w:r>
      <w:r w:rsidR="00405864" w:rsidRPr="00AE360E">
        <w:rPr>
          <w:rFonts w:ascii="Arial" w:hAnsi="Arial" w:cs="Arial"/>
          <w:sz w:val="24"/>
          <w:szCs w:val="24"/>
        </w:rPr>
        <w:t>2</w:t>
      </w:r>
      <w:r>
        <w:rPr>
          <w:rFonts w:ascii="Arial" w:hAnsi="Arial" w:cs="Arial"/>
          <w:sz w:val="24"/>
          <w:szCs w:val="24"/>
        </w:rPr>
        <w:t>4</w:t>
      </w:r>
      <w:r w:rsidR="00A51993" w:rsidRPr="00AE360E">
        <w:rPr>
          <w:rFonts w:ascii="Arial" w:hAnsi="Arial" w:cs="Arial"/>
          <w:sz w:val="24"/>
          <w:szCs w:val="24"/>
        </w:rPr>
        <w:t>% pour les aspects logistiques ;</w:t>
      </w:r>
    </w:p>
    <w:p w:rsidR="00EE079F" w:rsidRPr="00AE360E" w:rsidRDefault="00EE079F" w:rsidP="00EE079F">
      <w:pPr>
        <w:pStyle w:val="Paragraphedeliste"/>
        <w:numPr>
          <w:ilvl w:val="0"/>
          <w:numId w:val="42"/>
        </w:numPr>
        <w:jc w:val="both"/>
        <w:rPr>
          <w:rFonts w:ascii="Arial" w:hAnsi="Arial" w:cs="Arial"/>
          <w:sz w:val="24"/>
          <w:szCs w:val="24"/>
        </w:rPr>
      </w:pPr>
      <w:r w:rsidRPr="00AE360E">
        <w:rPr>
          <w:rFonts w:ascii="Arial" w:hAnsi="Arial" w:cs="Arial"/>
          <w:sz w:val="24"/>
          <w:szCs w:val="24"/>
        </w:rPr>
        <w:t>94.</w:t>
      </w:r>
      <w:r>
        <w:rPr>
          <w:rFonts w:ascii="Arial" w:hAnsi="Arial" w:cs="Arial"/>
          <w:sz w:val="24"/>
          <w:szCs w:val="24"/>
        </w:rPr>
        <w:t>938</w:t>
      </w:r>
      <w:r w:rsidRPr="00AE360E">
        <w:rPr>
          <w:rFonts w:ascii="Arial" w:hAnsi="Arial" w:cs="Arial"/>
          <w:sz w:val="24"/>
          <w:szCs w:val="24"/>
        </w:rPr>
        <w:t xml:space="preserve"> USD  soit 1</w:t>
      </w:r>
      <w:r>
        <w:rPr>
          <w:rFonts w:ascii="Arial" w:hAnsi="Arial" w:cs="Arial"/>
          <w:sz w:val="24"/>
          <w:szCs w:val="24"/>
        </w:rPr>
        <w:t>0</w:t>
      </w:r>
      <w:r w:rsidRPr="00AE360E">
        <w:rPr>
          <w:rFonts w:ascii="Arial" w:hAnsi="Arial" w:cs="Arial"/>
          <w:sz w:val="24"/>
          <w:szCs w:val="24"/>
        </w:rPr>
        <w:t>% pour la communication.</w:t>
      </w:r>
    </w:p>
    <w:p w:rsidR="00EE079F" w:rsidRPr="00AE360E" w:rsidRDefault="00EE079F" w:rsidP="00EE079F">
      <w:pPr>
        <w:pStyle w:val="Paragraphedeliste"/>
        <w:numPr>
          <w:ilvl w:val="0"/>
          <w:numId w:val="42"/>
        </w:numPr>
        <w:jc w:val="both"/>
        <w:rPr>
          <w:rFonts w:ascii="Arial" w:hAnsi="Arial" w:cs="Arial"/>
          <w:sz w:val="24"/>
          <w:szCs w:val="24"/>
        </w:rPr>
      </w:pPr>
      <w:r w:rsidRPr="00AE360E">
        <w:rPr>
          <w:rFonts w:ascii="Arial" w:hAnsi="Arial" w:cs="Arial"/>
          <w:sz w:val="24"/>
          <w:szCs w:val="24"/>
        </w:rPr>
        <w:t>9</w:t>
      </w:r>
      <w:r w:rsidR="00257107">
        <w:rPr>
          <w:rFonts w:ascii="Arial" w:hAnsi="Arial" w:cs="Arial"/>
          <w:sz w:val="24"/>
          <w:szCs w:val="24"/>
        </w:rPr>
        <w:t>6</w:t>
      </w:r>
      <w:r w:rsidRPr="00AE360E">
        <w:rPr>
          <w:rFonts w:ascii="Arial" w:hAnsi="Arial" w:cs="Arial"/>
          <w:sz w:val="24"/>
          <w:szCs w:val="24"/>
        </w:rPr>
        <w:t>.</w:t>
      </w:r>
      <w:r w:rsidR="00257107">
        <w:rPr>
          <w:rFonts w:ascii="Arial" w:hAnsi="Arial" w:cs="Arial"/>
          <w:sz w:val="24"/>
          <w:szCs w:val="24"/>
        </w:rPr>
        <w:t>653</w:t>
      </w:r>
      <w:r w:rsidRPr="00AE360E">
        <w:rPr>
          <w:rFonts w:ascii="Arial" w:hAnsi="Arial" w:cs="Arial"/>
          <w:sz w:val="24"/>
          <w:szCs w:val="24"/>
        </w:rPr>
        <w:t xml:space="preserve"> USD  soit 1</w:t>
      </w:r>
      <w:r>
        <w:rPr>
          <w:rFonts w:ascii="Arial" w:hAnsi="Arial" w:cs="Arial"/>
          <w:sz w:val="24"/>
          <w:szCs w:val="24"/>
        </w:rPr>
        <w:t>0</w:t>
      </w:r>
      <w:r w:rsidRPr="00AE360E">
        <w:rPr>
          <w:rFonts w:ascii="Arial" w:hAnsi="Arial" w:cs="Arial"/>
          <w:sz w:val="24"/>
          <w:szCs w:val="24"/>
        </w:rPr>
        <w:t>% pour l</w:t>
      </w:r>
      <w:r w:rsidR="00257107">
        <w:rPr>
          <w:rFonts w:ascii="Arial" w:hAnsi="Arial" w:cs="Arial"/>
          <w:sz w:val="24"/>
          <w:szCs w:val="24"/>
        </w:rPr>
        <w:t>’évaluation</w:t>
      </w:r>
      <w:r w:rsidRPr="00AE360E">
        <w:rPr>
          <w:rFonts w:ascii="Arial" w:hAnsi="Arial" w:cs="Arial"/>
          <w:sz w:val="24"/>
          <w:szCs w:val="24"/>
        </w:rPr>
        <w:t>.</w:t>
      </w:r>
      <w:bookmarkStart w:id="9" w:name="_GoBack"/>
      <w:bookmarkEnd w:id="9"/>
    </w:p>
    <w:p w:rsidR="00DE4998" w:rsidRPr="00350B81" w:rsidRDefault="00916E66" w:rsidP="00AE360E">
      <w:pPr>
        <w:spacing w:before="120" w:after="120"/>
        <w:ind w:right="235"/>
        <w:jc w:val="both"/>
        <w:rPr>
          <w:rFonts w:ascii="Arial" w:hAnsi="Arial" w:cs="Arial"/>
          <w:b/>
          <w:sz w:val="24"/>
          <w:szCs w:val="24"/>
        </w:rPr>
      </w:pPr>
      <w:r w:rsidRPr="00350B81">
        <w:rPr>
          <w:rFonts w:ascii="Arial" w:hAnsi="Arial" w:cs="Arial"/>
          <w:b/>
          <w:sz w:val="24"/>
          <w:szCs w:val="24"/>
        </w:rPr>
        <w:t>Le vaccin VPI et le matériel y afférent se</w:t>
      </w:r>
      <w:r w:rsidR="009D49E5" w:rsidRPr="00350B81">
        <w:rPr>
          <w:rFonts w:ascii="Arial" w:hAnsi="Arial" w:cs="Arial"/>
          <w:b/>
          <w:sz w:val="24"/>
          <w:szCs w:val="24"/>
        </w:rPr>
        <w:t xml:space="preserve">ront entièrement financés par </w:t>
      </w:r>
      <w:r w:rsidR="00F54E44" w:rsidRPr="00350B81">
        <w:rPr>
          <w:rFonts w:ascii="Arial" w:hAnsi="Arial" w:cs="Arial"/>
          <w:b/>
          <w:sz w:val="24"/>
          <w:szCs w:val="24"/>
        </w:rPr>
        <w:t>GAVI jusqu’en 2018.</w:t>
      </w:r>
    </w:p>
    <w:p w:rsidR="00DE4998" w:rsidRPr="00350B81" w:rsidRDefault="00BB0A81" w:rsidP="00AE360E">
      <w:pPr>
        <w:spacing w:before="120" w:after="120"/>
        <w:ind w:right="235"/>
        <w:jc w:val="both"/>
        <w:rPr>
          <w:rFonts w:ascii="Arial" w:hAnsi="Arial" w:cs="Arial"/>
          <w:b/>
          <w:sz w:val="24"/>
          <w:szCs w:val="24"/>
        </w:rPr>
      </w:pPr>
      <w:r w:rsidRPr="00350B81">
        <w:rPr>
          <w:rFonts w:ascii="Arial" w:hAnsi="Arial" w:cs="Arial"/>
          <w:b/>
          <w:sz w:val="24"/>
          <w:szCs w:val="24"/>
        </w:rPr>
        <w:t xml:space="preserve">La possibilité du cofinancement du VPI par l’Etat sera </w:t>
      </w:r>
      <w:r w:rsidR="009D49E5" w:rsidRPr="00350B81">
        <w:rPr>
          <w:rFonts w:ascii="Arial" w:hAnsi="Arial" w:cs="Arial"/>
          <w:b/>
          <w:sz w:val="24"/>
          <w:szCs w:val="24"/>
        </w:rPr>
        <w:t>étudiée</w:t>
      </w:r>
      <w:r w:rsidRPr="00350B81">
        <w:rPr>
          <w:rFonts w:ascii="Arial" w:hAnsi="Arial" w:cs="Arial"/>
          <w:b/>
          <w:sz w:val="24"/>
          <w:szCs w:val="24"/>
        </w:rPr>
        <w:t xml:space="preserve"> dans le prochain PPAC.</w:t>
      </w:r>
    </w:p>
    <w:p w:rsidR="00DF6870" w:rsidRPr="00350B81" w:rsidRDefault="00DF6870" w:rsidP="00AE360E">
      <w:pPr>
        <w:pStyle w:val="Paragraphedeliste"/>
        <w:spacing w:before="120" w:after="120"/>
        <w:ind w:left="0" w:right="235"/>
        <w:jc w:val="both"/>
        <w:rPr>
          <w:rFonts w:ascii="Arial" w:eastAsia="Times New Roman" w:hAnsi="Arial" w:cs="Arial"/>
          <w:bCs/>
          <w:sz w:val="28"/>
          <w:szCs w:val="28"/>
          <w:lang w:eastAsia="en-GB"/>
        </w:rPr>
      </w:pPr>
    </w:p>
    <w:p w:rsidR="00DE4998" w:rsidRPr="00AE360E" w:rsidRDefault="009D49E5" w:rsidP="00AE360E">
      <w:pPr>
        <w:pStyle w:val="Paragraphedeliste"/>
        <w:spacing w:before="120" w:after="120"/>
        <w:ind w:left="0" w:right="235"/>
        <w:jc w:val="both"/>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 xml:space="preserve">Tendance de financement </w:t>
      </w:r>
      <w:r w:rsidR="00CC43E2" w:rsidRPr="00AE360E">
        <w:rPr>
          <w:rFonts w:ascii="Arial" w:eastAsia="Times New Roman" w:hAnsi="Arial" w:cs="Arial"/>
          <w:b/>
          <w:bCs/>
          <w:sz w:val="28"/>
          <w:szCs w:val="28"/>
          <w:u w:val="single"/>
          <w:lang w:eastAsia="en-GB"/>
        </w:rPr>
        <w:t>voir PPAC</w:t>
      </w:r>
      <w:r w:rsidR="00916E66" w:rsidRPr="00AE360E">
        <w:rPr>
          <w:rFonts w:ascii="Arial" w:eastAsia="Times New Roman" w:hAnsi="Arial" w:cs="Arial"/>
          <w:b/>
          <w:bCs/>
          <w:sz w:val="28"/>
          <w:szCs w:val="28"/>
          <w:u w:val="single"/>
          <w:lang w:eastAsia="en-GB"/>
        </w:rPr>
        <w:t xml:space="preserve"> (PPAC 2013-2017)</w:t>
      </w:r>
    </w:p>
    <w:p w:rsidR="00916E66" w:rsidRPr="00AE360E" w:rsidRDefault="00916E66" w:rsidP="007042CF">
      <w:pPr>
        <w:autoSpaceDE w:val="0"/>
        <w:autoSpaceDN w:val="0"/>
        <w:adjustRightInd w:val="0"/>
        <w:spacing w:before="240" w:after="0"/>
        <w:jc w:val="both"/>
        <w:rPr>
          <w:rFonts w:ascii="Arial" w:hAnsi="Arial" w:cs="Arial"/>
          <w:sz w:val="24"/>
        </w:rPr>
      </w:pPr>
      <w:r w:rsidRPr="00AE360E">
        <w:rPr>
          <w:rFonts w:ascii="Arial" w:hAnsi="Arial" w:cs="Arial"/>
          <w:sz w:val="24"/>
        </w:rPr>
        <w:t>En effet depuis quelques années le pays achète le vaccin traditionnel du PEVde routine et honore ces engagements dans le cofinancement des nouveaux vaccins et vaccins sous- utilisés. Malgré les progrès réalisés dans l’augmentation des financements du PEV parle Gouvernement, la maîtrise des coûts actuels et des tendances futures, le PEV demeure en partie dépendant du financement extérieur (GAVI, OMS et UNICEF).</w:t>
      </w:r>
    </w:p>
    <w:p w:rsidR="00916E66" w:rsidRPr="00AE360E" w:rsidRDefault="00916E66" w:rsidP="00AE360E">
      <w:pPr>
        <w:autoSpaceDE w:val="0"/>
        <w:autoSpaceDN w:val="0"/>
        <w:adjustRightInd w:val="0"/>
        <w:spacing w:before="120" w:after="0"/>
        <w:jc w:val="both"/>
        <w:rPr>
          <w:rFonts w:ascii="Arial" w:hAnsi="Arial" w:cs="Arial"/>
          <w:sz w:val="24"/>
        </w:rPr>
      </w:pPr>
      <w:r w:rsidRPr="00AE360E">
        <w:rPr>
          <w:rFonts w:ascii="Arial" w:hAnsi="Arial" w:cs="Arial"/>
          <w:sz w:val="24"/>
        </w:rPr>
        <w:lastRenderedPageBreak/>
        <w:t>Pour l’année 2011, le coût total du programme s’est élevé à 51 365 180 $USDdont 40 670 626 $ USD (79%) pour les coûts récurrents de routine, 572 573 USD (1%) pourles coûts en capital, 5 198 250 USD (10%) pour les coûts partagés et 4 923 732 $ USD (9%)pour les coûts des activités de vaccination supplémentaires (AVS).</w:t>
      </w:r>
    </w:p>
    <w:p w:rsidR="00DE4998" w:rsidRPr="00AE360E" w:rsidRDefault="00916E66" w:rsidP="00AE360E">
      <w:pPr>
        <w:autoSpaceDE w:val="0"/>
        <w:autoSpaceDN w:val="0"/>
        <w:adjustRightInd w:val="0"/>
        <w:spacing w:before="120" w:after="0"/>
        <w:jc w:val="both"/>
        <w:rPr>
          <w:rFonts w:ascii="Arial" w:hAnsi="Arial" w:cs="Arial"/>
          <w:sz w:val="24"/>
        </w:rPr>
      </w:pPr>
      <w:r w:rsidRPr="00AE360E">
        <w:rPr>
          <w:rFonts w:ascii="Arial" w:hAnsi="Arial" w:cs="Arial"/>
          <w:sz w:val="24"/>
        </w:rPr>
        <w:t>Pour la période du PPAC 2013-2017, le budget global est estimé à 558 154 824 $USD. Lecoût d’un enfant complètement vacciné s’élèvera en moyenne à 250 $ USD. Le financementdu PEV augmente progressivement pour toute la période de projection en fonction notamment de l’introduction des nouveaux vaccins</w:t>
      </w:r>
    </w:p>
    <w:p w:rsidR="00DE4998" w:rsidRPr="00AE360E" w:rsidRDefault="00DE4998" w:rsidP="00AE360E">
      <w:pPr>
        <w:jc w:val="both"/>
        <w:rPr>
          <w:rFonts w:ascii="Arial" w:hAnsi="Arial" w:cs="Arial"/>
          <w:sz w:val="24"/>
        </w:rPr>
      </w:pPr>
    </w:p>
    <w:p w:rsidR="00B96900" w:rsidRPr="00AE360E" w:rsidRDefault="00F807F8" w:rsidP="00AE360E">
      <w:pPr>
        <w:pStyle w:val="Style3"/>
        <w:spacing w:after="120" w:line="276" w:lineRule="auto"/>
        <w:jc w:val="both"/>
        <w:rPr>
          <w:rFonts w:ascii="Arial" w:hAnsi="Arial" w:cs="Arial"/>
          <w:color w:val="auto"/>
          <w:sz w:val="28"/>
          <w:lang w:val="fr-FR"/>
        </w:rPr>
      </w:pPr>
      <w:bookmarkStart w:id="10" w:name="_Toc397522416"/>
      <w:r w:rsidRPr="00AE360E">
        <w:rPr>
          <w:rFonts w:ascii="Arial" w:hAnsi="Arial" w:cs="Arial"/>
          <w:color w:val="auto"/>
          <w:sz w:val="28"/>
          <w:lang w:val="fr-FR"/>
        </w:rPr>
        <w:t>Aperçu de la capacité de la chaîne du froid au niveau des districts et aux niveaux régional et national  -Identification et résorption des gaps.</w:t>
      </w:r>
      <w:bookmarkEnd w:id="10"/>
    </w:p>
    <w:p w:rsidR="00CC116D" w:rsidRPr="00AE360E" w:rsidRDefault="00CC116D" w:rsidP="00AE360E">
      <w:pPr>
        <w:pStyle w:val="ColorfulList-Accent11"/>
        <w:ind w:left="0"/>
        <w:jc w:val="both"/>
        <w:rPr>
          <w:rFonts w:ascii="Arial" w:hAnsi="Arial" w:cs="Arial"/>
          <w:b/>
          <w:sz w:val="24"/>
          <w:szCs w:val="24"/>
          <w:lang w:val="fr-FR"/>
        </w:rPr>
      </w:pPr>
    </w:p>
    <w:p w:rsidR="0064079B" w:rsidRPr="00AE360E" w:rsidRDefault="0064079B" w:rsidP="00AE360E">
      <w:pPr>
        <w:pStyle w:val="ColorfulList-Accent11"/>
        <w:numPr>
          <w:ilvl w:val="0"/>
          <w:numId w:val="4"/>
        </w:numPr>
        <w:jc w:val="both"/>
        <w:rPr>
          <w:rFonts w:ascii="Arial" w:hAnsi="Arial" w:cs="Arial"/>
          <w:b/>
          <w:sz w:val="24"/>
          <w:szCs w:val="24"/>
          <w:u w:val="single"/>
          <w:lang w:val="fr-FR"/>
        </w:rPr>
      </w:pPr>
      <w:r w:rsidRPr="00AE360E">
        <w:rPr>
          <w:rFonts w:ascii="Arial" w:hAnsi="Arial" w:cs="Arial"/>
          <w:b/>
          <w:sz w:val="24"/>
          <w:szCs w:val="24"/>
          <w:u w:val="single"/>
          <w:lang w:val="fr-FR"/>
        </w:rPr>
        <w:t>Capacités de stockage</w:t>
      </w:r>
    </w:p>
    <w:p w:rsidR="00B96900" w:rsidRPr="00AE360E" w:rsidRDefault="000748EE"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L</w:t>
      </w:r>
      <w:r w:rsidR="008233B4" w:rsidRPr="00AE360E">
        <w:rPr>
          <w:rFonts w:ascii="Arial" w:hAnsi="Arial" w:cs="Arial"/>
          <w:sz w:val="24"/>
          <w:szCs w:val="24"/>
          <w:lang w:val="fr-FR"/>
        </w:rPr>
        <w:t>e</w:t>
      </w:r>
      <w:r w:rsidRPr="00AE360E">
        <w:rPr>
          <w:rFonts w:ascii="Arial" w:hAnsi="Arial" w:cs="Arial"/>
          <w:sz w:val="24"/>
          <w:szCs w:val="24"/>
          <w:lang w:val="fr-FR"/>
        </w:rPr>
        <w:t xml:space="preserve">s capacités de stockage en </w:t>
      </w:r>
      <w:r w:rsidR="0084798E" w:rsidRPr="00AE360E">
        <w:rPr>
          <w:rFonts w:ascii="Arial" w:hAnsi="Arial" w:cs="Arial"/>
          <w:sz w:val="24"/>
          <w:szCs w:val="24"/>
          <w:lang w:val="fr-FR"/>
        </w:rPr>
        <w:t>termes</w:t>
      </w:r>
      <w:r w:rsidRPr="00AE360E">
        <w:rPr>
          <w:rFonts w:ascii="Arial" w:hAnsi="Arial" w:cs="Arial"/>
          <w:sz w:val="24"/>
          <w:szCs w:val="24"/>
          <w:lang w:val="fr-FR"/>
        </w:rPr>
        <w:t xml:space="preserve"> de volume brut disponible à chaque niveau sont fourni</w:t>
      </w:r>
      <w:r w:rsidR="00CC116D" w:rsidRPr="00AE360E">
        <w:rPr>
          <w:rFonts w:ascii="Arial" w:hAnsi="Arial" w:cs="Arial"/>
          <w:sz w:val="24"/>
          <w:szCs w:val="24"/>
          <w:lang w:val="fr-FR"/>
        </w:rPr>
        <w:t>e</w:t>
      </w:r>
      <w:r w:rsidRPr="00AE360E">
        <w:rPr>
          <w:rFonts w:ascii="Arial" w:hAnsi="Arial" w:cs="Arial"/>
          <w:sz w:val="24"/>
          <w:szCs w:val="24"/>
          <w:lang w:val="fr-FR"/>
        </w:rPr>
        <w:t>s ci-dessous.</w:t>
      </w:r>
    </w:p>
    <w:p w:rsidR="00762EA6" w:rsidRPr="00AE360E" w:rsidRDefault="00762EA6" w:rsidP="00AE360E">
      <w:pPr>
        <w:pStyle w:val="ColorfulList-Accent11"/>
        <w:ind w:left="0"/>
        <w:jc w:val="both"/>
        <w:rPr>
          <w:rFonts w:ascii="Arial" w:hAnsi="Arial" w:cs="Arial"/>
          <w:b/>
          <w:sz w:val="24"/>
          <w:szCs w:val="24"/>
          <w:u w:val="single"/>
          <w:lang w:val="fr-FR"/>
        </w:rPr>
      </w:pPr>
    </w:p>
    <w:p w:rsidR="000748EE" w:rsidRPr="00AE360E" w:rsidRDefault="00E43642" w:rsidP="00AE360E">
      <w:pPr>
        <w:pStyle w:val="ColorfulList-Accent11"/>
        <w:ind w:left="0"/>
        <w:jc w:val="both"/>
        <w:rPr>
          <w:rFonts w:ascii="Arial" w:hAnsi="Arial" w:cs="Arial"/>
          <w:b/>
          <w:sz w:val="24"/>
          <w:szCs w:val="24"/>
          <w:u w:val="single"/>
          <w:lang w:val="fr-FR"/>
        </w:rPr>
      </w:pPr>
      <w:r w:rsidRPr="00AE360E">
        <w:rPr>
          <w:rFonts w:ascii="Arial" w:hAnsi="Arial" w:cs="Arial"/>
          <w:b/>
          <w:sz w:val="24"/>
          <w:szCs w:val="24"/>
          <w:u w:val="single"/>
          <w:lang w:val="fr-FR"/>
        </w:rPr>
        <w:t>Niveau Central</w:t>
      </w:r>
    </w:p>
    <w:p w:rsidR="00E43642" w:rsidRPr="003D1004" w:rsidRDefault="00B73BC1" w:rsidP="003D1004">
      <w:pPr>
        <w:pStyle w:val="ColorfulList-Accent11"/>
        <w:spacing w:before="480" w:after="120"/>
        <w:contextualSpacing w:val="0"/>
        <w:jc w:val="both"/>
        <w:rPr>
          <w:rFonts w:ascii="Arial" w:hAnsi="Arial" w:cs="Arial"/>
          <w:sz w:val="24"/>
          <w:szCs w:val="24"/>
          <w:u w:val="single"/>
          <w:lang w:val="fr-FR"/>
        </w:rPr>
      </w:pPr>
      <w:r w:rsidRPr="003D1004">
        <w:rPr>
          <w:rFonts w:ascii="Arial" w:eastAsia="SimSun" w:hAnsi="Arial" w:cs="Arial"/>
          <w:b/>
          <w:color w:val="000000"/>
          <w:sz w:val="24"/>
          <w:szCs w:val="24"/>
          <w:u w:val="single"/>
          <w:lang w:val="fr-FR" w:eastAsia="en-GB"/>
        </w:rPr>
        <w:t>Tableau V</w:t>
      </w:r>
      <w:r w:rsidRPr="003D1004">
        <w:rPr>
          <w:rFonts w:ascii="Arial" w:eastAsia="SimSun" w:hAnsi="Arial" w:cs="Arial"/>
          <w:color w:val="000000"/>
          <w:sz w:val="24"/>
          <w:szCs w:val="24"/>
          <w:lang w:val="fr-FR" w:eastAsia="en-GB"/>
        </w:rPr>
        <w:t xml:space="preserve">. </w:t>
      </w:r>
      <w:r w:rsidR="003D1004" w:rsidRPr="003D1004">
        <w:rPr>
          <w:rFonts w:ascii="Arial" w:eastAsia="SimSun" w:hAnsi="Arial" w:cs="Arial"/>
          <w:color w:val="000000"/>
          <w:sz w:val="24"/>
          <w:szCs w:val="24"/>
          <w:lang w:val="fr-FR" w:eastAsia="en-GB"/>
        </w:rPr>
        <w:t>Capacité</w:t>
      </w:r>
      <w:r w:rsidRPr="003D1004">
        <w:rPr>
          <w:rFonts w:ascii="Arial" w:eastAsia="SimSun" w:hAnsi="Arial" w:cs="Arial"/>
          <w:color w:val="000000"/>
          <w:sz w:val="24"/>
          <w:szCs w:val="24"/>
          <w:lang w:val="fr-FR" w:eastAsia="en-GB"/>
        </w:rPr>
        <w:t xml:space="preserve"> de stockage au niveau central</w:t>
      </w:r>
    </w:p>
    <w:tbl>
      <w:tblPr>
        <w:tblStyle w:val="Grilledutableau"/>
        <w:tblW w:w="0" w:type="auto"/>
        <w:jc w:val="center"/>
        <w:tblInd w:w="-477" w:type="dxa"/>
        <w:tblLook w:val="04A0"/>
      </w:tblPr>
      <w:tblGrid>
        <w:gridCol w:w="1988"/>
        <w:gridCol w:w="1294"/>
        <w:gridCol w:w="1617"/>
        <w:gridCol w:w="1709"/>
        <w:gridCol w:w="1709"/>
        <w:gridCol w:w="1448"/>
      </w:tblGrid>
      <w:tr w:rsidR="00E43642" w:rsidRPr="00AE360E" w:rsidTr="00FA3D12">
        <w:trPr>
          <w:jc w:val="center"/>
        </w:trPr>
        <w:tc>
          <w:tcPr>
            <w:tcW w:w="1988"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Capacité actuelle</w:t>
            </w:r>
          </w:p>
        </w:tc>
        <w:tc>
          <w:tcPr>
            <w:tcW w:w="1294"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Capacité à acquérir</w:t>
            </w:r>
          </w:p>
        </w:tc>
        <w:tc>
          <w:tcPr>
            <w:tcW w:w="1617"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Total après toutes les acquisitions</w:t>
            </w:r>
          </w:p>
        </w:tc>
        <w:tc>
          <w:tcPr>
            <w:tcW w:w="1709"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Capacité requise PEV de routine et AVS</w:t>
            </w:r>
          </w:p>
        </w:tc>
        <w:tc>
          <w:tcPr>
            <w:tcW w:w="1709"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Capacité requis pour le VPI</w:t>
            </w:r>
          </w:p>
        </w:tc>
        <w:tc>
          <w:tcPr>
            <w:tcW w:w="1448" w:type="dxa"/>
          </w:tcPr>
          <w:p w:rsidR="00E43642" w:rsidRPr="00AE360E" w:rsidRDefault="00E43642" w:rsidP="00AE360E">
            <w:pPr>
              <w:pStyle w:val="ColorfulList-Accent11"/>
              <w:spacing w:after="200" w:line="276" w:lineRule="auto"/>
              <w:ind w:left="0"/>
              <w:jc w:val="both"/>
              <w:rPr>
                <w:rFonts w:ascii="Arial" w:hAnsi="Arial" w:cs="Arial"/>
                <w:b/>
                <w:sz w:val="24"/>
                <w:szCs w:val="24"/>
                <w:lang w:val="fr-FR"/>
              </w:rPr>
            </w:pPr>
            <w:r w:rsidRPr="00AE360E">
              <w:rPr>
                <w:rFonts w:ascii="Arial" w:hAnsi="Arial" w:cs="Arial"/>
                <w:b/>
                <w:sz w:val="24"/>
                <w:szCs w:val="24"/>
                <w:lang w:val="fr-FR"/>
              </w:rPr>
              <w:t>Préciser le gap en volume</w:t>
            </w:r>
          </w:p>
        </w:tc>
      </w:tr>
      <w:tr w:rsidR="00E43642" w:rsidRPr="00AE360E" w:rsidTr="00FA3D12">
        <w:trPr>
          <w:jc w:val="center"/>
        </w:trPr>
        <w:tc>
          <w:tcPr>
            <w:tcW w:w="1988"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40 000 litres</w:t>
            </w:r>
          </w:p>
        </w:tc>
        <w:tc>
          <w:tcPr>
            <w:tcW w:w="1294"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0 litre</w:t>
            </w:r>
          </w:p>
        </w:tc>
        <w:tc>
          <w:tcPr>
            <w:tcW w:w="1617"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40 000 litres</w:t>
            </w:r>
          </w:p>
        </w:tc>
        <w:tc>
          <w:tcPr>
            <w:tcW w:w="1709"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31 811 litres</w:t>
            </w:r>
          </w:p>
        </w:tc>
        <w:tc>
          <w:tcPr>
            <w:tcW w:w="1709"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6 278 litres</w:t>
            </w:r>
          </w:p>
        </w:tc>
        <w:tc>
          <w:tcPr>
            <w:tcW w:w="1448" w:type="dxa"/>
          </w:tcPr>
          <w:p w:rsidR="00E43642" w:rsidRPr="00AE360E" w:rsidRDefault="00E43642" w:rsidP="00AE360E">
            <w:pPr>
              <w:pStyle w:val="ColorfulList-Accent11"/>
              <w:spacing w:after="200" w:line="276" w:lineRule="auto"/>
              <w:ind w:left="0"/>
              <w:jc w:val="both"/>
              <w:rPr>
                <w:rFonts w:ascii="Arial" w:hAnsi="Arial" w:cs="Arial"/>
                <w:sz w:val="24"/>
                <w:szCs w:val="24"/>
                <w:lang w:val="fr-FR"/>
              </w:rPr>
            </w:pPr>
            <w:r w:rsidRPr="00AE360E">
              <w:rPr>
                <w:rFonts w:ascii="Arial" w:hAnsi="Arial" w:cs="Arial"/>
                <w:sz w:val="24"/>
                <w:szCs w:val="24"/>
                <w:lang w:val="fr-FR"/>
              </w:rPr>
              <w:t>0 litre</w:t>
            </w:r>
          </w:p>
        </w:tc>
      </w:tr>
    </w:tbl>
    <w:p w:rsidR="00BE2684" w:rsidRPr="00AE360E" w:rsidRDefault="00BE2684" w:rsidP="00AE360E">
      <w:pPr>
        <w:pStyle w:val="ColorfulList-Accent11"/>
        <w:ind w:left="0"/>
        <w:jc w:val="both"/>
        <w:rPr>
          <w:rFonts w:ascii="Arial" w:hAnsi="Arial" w:cs="Arial"/>
          <w:b/>
          <w:sz w:val="24"/>
          <w:szCs w:val="24"/>
          <w:u w:val="single"/>
          <w:lang w:val="fr-FR"/>
        </w:rPr>
      </w:pPr>
    </w:p>
    <w:p w:rsidR="00CC116D" w:rsidRPr="00AE360E" w:rsidRDefault="00E43642" w:rsidP="00AE360E">
      <w:pPr>
        <w:pStyle w:val="ColorfulList-Accent11"/>
        <w:ind w:left="0"/>
        <w:jc w:val="both"/>
        <w:rPr>
          <w:rFonts w:ascii="Arial" w:hAnsi="Arial" w:cs="Arial"/>
          <w:b/>
          <w:sz w:val="24"/>
          <w:szCs w:val="24"/>
          <w:u w:val="single"/>
          <w:lang w:val="fr-FR"/>
        </w:rPr>
      </w:pPr>
      <w:r w:rsidRPr="00AE360E">
        <w:rPr>
          <w:rFonts w:ascii="Arial" w:hAnsi="Arial" w:cs="Arial"/>
          <w:b/>
          <w:sz w:val="24"/>
          <w:szCs w:val="24"/>
          <w:u w:val="single"/>
          <w:lang w:val="fr-FR"/>
        </w:rPr>
        <w:t>Niveau dépôt sub-national</w:t>
      </w:r>
    </w:p>
    <w:p w:rsidR="00E43642" w:rsidRDefault="00E43642" w:rsidP="00762EA6">
      <w:pPr>
        <w:pStyle w:val="ColorfulList-Accent11"/>
        <w:ind w:left="0"/>
        <w:jc w:val="both"/>
        <w:rPr>
          <w:rFonts w:ascii="Arial" w:hAnsi="Arial" w:cs="Arial"/>
          <w:b/>
          <w:sz w:val="24"/>
          <w:szCs w:val="24"/>
          <w:u w:val="single"/>
          <w:lang w:val="fr-FR"/>
        </w:rPr>
      </w:pPr>
    </w:p>
    <w:p w:rsidR="003D1004" w:rsidRPr="00AE360E" w:rsidRDefault="003D1004" w:rsidP="00762EA6">
      <w:pPr>
        <w:pStyle w:val="ColorfulList-Accent11"/>
        <w:ind w:left="0"/>
        <w:jc w:val="both"/>
        <w:rPr>
          <w:rFonts w:ascii="Arial" w:hAnsi="Arial" w:cs="Arial"/>
          <w:b/>
          <w:sz w:val="24"/>
          <w:szCs w:val="24"/>
          <w:u w:val="single"/>
          <w:lang w:val="fr-FR"/>
        </w:rPr>
      </w:pPr>
      <w:r w:rsidRPr="003D1004">
        <w:rPr>
          <w:rFonts w:ascii="Arial" w:eastAsia="SimSun" w:hAnsi="Arial" w:cs="Arial"/>
          <w:b/>
          <w:color w:val="000000"/>
          <w:sz w:val="24"/>
          <w:szCs w:val="24"/>
          <w:u w:val="single"/>
          <w:lang w:val="fr-FR" w:eastAsia="en-GB"/>
        </w:rPr>
        <w:t>Tableau V</w:t>
      </w:r>
      <w:r>
        <w:rPr>
          <w:rFonts w:ascii="Arial" w:eastAsia="SimSun" w:hAnsi="Arial" w:cs="Arial"/>
          <w:b/>
          <w:color w:val="000000"/>
          <w:sz w:val="24"/>
          <w:szCs w:val="24"/>
          <w:u w:val="single"/>
          <w:lang w:val="fr-FR" w:eastAsia="en-GB"/>
        </w:rPr>
        <w:t>I</w:t>
      </w:r>
      <w:r w:rsidRPr="003D1004">
        <w:rPr>
          <w:rFonts w:ascii="Arial" w:eastAsia="SimSun" w:hAnsi="Arial" w:cs="Arial"/>
          <w:color w:val="000000"/>
          <w:sz w:val="24"/>
          <w:szCs w:val="24"/>
          <w:lang w:val="fr-FR" w:eastAsia="en-GB"/>
        </w:rPr>
        <w:t xml:space="preserve">. Capacité de stockage </w:t>
      </w:r>
      <w:r>
        <w:rPr>
          <w:rFonts w:ascii="Arial" w:eastAsia="SimSun" w:hAnsi="Arial" w:cs="Arial"/>
          <w:color w:val="000000"/>
          <w:sz w:val="24"/>
          <w:szCs w:val="24"/>
          <w:lang w:val="fr-FR" w:eastAsia="en-GB"/>
        </w:rPr>
        <w:t>des dépôts subnationaux</w:t>
      </w:r>
    </w:p>
    <w:tbl>
      <w:tblPr>
        <w:tblStyle w:val="Grilledutableau"/>
        <w:tblW w:w="10017" w:type="dxa"/>
        <w:jc w:val="center"/>
        <w:tblLayout w:type="fixed"/>
        <w:tblLook w:val="04A0"/>
      </w:tblPr>
      <w:tblGrid>
        <w:gridCol w:w="2079"/>
        <w:gridCol w:w="1486"/>
        <w:gridCol w:w="1633"/>
        <w:gridCol w:w="1559"/>
        <w:gridCol w:w="1559"/>
        <w:gridCol w:w="1701"/>
      </w:tblGrid>
      <w:tr w:rsidR="00E43642" w:rsidRPr="00AE360E" w:rsidTr="007576B4">
        <w:trPr>
          <w:trHeight w:val="1585"/>
          <w:jc w:val="center"/>
        </w:trPr>
        <w:tc>
          <w:tcPr>
            <w:tcW w:w="2079" w:type="dxa"/>
          </w:tcPr>
          <w:p w:rsidR="00E43642" w:rsidRPr="00AE360E" w:rsidRDefault="00E43642" w:rsidP="00AE360E">
            <w:pPr>
              <w:pStyle w:val="ColorfulList-Accent11"/>
              <w:spacing w:line="276" w:lineRule="auto"/>
              <w:ind w:left="0"/>
              <w:jc w:val="both"/>
              <w:rPr>
                <w:rFonts w:ascii="Arial" w:hAnsi="Arial" w:cs="Arial"/>
                <w:b/>
                <w:sz w:val="24"/>
                <w:szCs w:val="24"/>
                <w:lang w:val="fr-FR"/>
              </w:rPr>
            </w:pPr>
            <w:r w:rsidRPr="00AE360E">
              <w:rPr>
                <w:rFonts w:ascii="Arial" w:hAnsi="Arial" w:cs="Arial"/>
                <w:b/>
                <w:sz w:val="24"/>
                <w:szCs w:val="24"/>
                <w:lang w:val="fr-FR"/>
              </w:rPr>
              <w:t>Capacité actuelle</w:t>
            </w:r>
          </w:p>
        </w:tc>
        <w:tc>
          <w:tcPr>
            <w:tcW w:w="1486" w:type="dxa"/>
          </w:tcPr>
          <w:p w:rsidR="00E43642" w:rsidRPr="00AE360E" w:rsidRDefault="00E43642" w:rsidP="00AE360E">
            <w:pPr>
              <w:pStyle w:val="ColorfulList-Accent11"/>
              <w:spacing w:line="276" w:lineRule="auto"/>
              <w:ind w:left="0"/>
              <w:jc w:val="both"/>
              <w:rPr>
                <w:rFonts w:ascii="Arial" w:hAnsi="Arial" w:cs="Arial"/>
                <w:b/>
                <w:sz w:val="24"/>
                <w:szCs w:val="24"/>
                <w:lang w:val="fr-FR"/>
              </w:rPr>
            </w:pPr>
            <w:r w:rsidRPr="00AE360E">
              <w:rPr>
                <w:rFonts w:ascii="Arial" w:hAnsi="Arial" w:cs="Arial"/>
                <w:b/>
                <w:sz w:val="24"/>
                <w:szCs w:val="24"/>
                <w:lang w:val="fr-FR"/>
              </w:rPr>
              <w:t>Capacité à acquérir</w:t>
            </w:r>
          </w:p>
        </w:tc>
        <w:tc>
          <w:tcPr>
            <w:tcW w:w="1633" w:type="dxa"/>
          </w:tcPr>
          <w:p w:rsidR="00E43642" w:rsidRPr="00AE360E" w:rsidRDefault="00E43642" w:rsidP="007576B4">
            <w:pPr>
              <w:pStyle w:val="ColorfulList-Accent11"/>
              <w:spacing w:line="276" w:lineRule="auto"/>
              <w:ind w:left="0"/>
              <w:rPr>
                <w:rFonts w:ascii="Arial" w:hAnsi="Arial" w:cs="Arial"/>
                <w:b/>
                <w:sz w:val="24"/>
                <w:szCs w:val="24"/>
                <w:lang w:val="fr-FR"/>
              </w:rPr>
            </w:pPr>
            <w:r w:rsidRPr="00AE360E">
              <w:rPr>
                <w:rFonts w:ascii="Arial" w:hAnsi="Arial" w:cs="Arial"/>
                <w:b/>
                <w:sz w:val="24"/>
                <w:szCs w:val="24"/>
                <w:lang w:val="fr-FR"/>
              </w:rPr>
              <w:t>Total après toutes les acquisitions</w:t>
            </w:r>
          </w:p>
        </w:tc>
        <w:tc>
          <w:tcPr>
            <w:tcW w:w="1559" w:type="dxa"/>
          </w:tcPr>
          <w:p w:rsidR="00E43642" w:rsidRPr="00AE360E" w:rsidRDefault="00E43642" w:rsidP="007576B4">
            <w:pPr>
              <w:pStyle w:val="ColorfulList-Accent11"/>
              <w:spacing w:line="276" w:lineRule="auto"/>
              <w:ind w:left="0"/>
              <w:rPr>
                <w:rFonts w:ascii="Arial" w:hAnsi="Arial" w:cs="Arial"/>
                <w:b/>
                <w:sz w:val="24"/>
                <w:szCs w:val="24"/>
                <w:lang w:val="fr-FR"/>
              </w:rPr>
            </w:pPr>
            <w:r w:rsidRPr="00AE360E">
              <w:rPr>
                <w:rFonts w:ascii="Arial" w:hAnsi="Arial" w:cs="Arial"/>
                <w:b/>
                <w:sz w:val="24"/>
                <w:szCs w:val="24"/>
                <w:lang w:val="fr-FR"/>
              </w:rPr>
              <w:t>Capacité requise PEV de routine et AVS</w:t>
            </w:r>
          </w:p>
        </w:tc>
        <w:tc>
          <w:tcPr>
            <w:tcW w:w="1559" w:type="dxa"/>
          </w:tcPr>
          <w:p w:rsidR="00E43642" w:rsidRPr="00AE360E" w:rsidRDefault="00E43642" w:rsidP="007576B4">
            <w:pPr>
              <w:pStyle w:val="ColorfulList-Accent11"/>
              <w:spacing w:line="276" w:lineRule="auto"/>
              <w:ind w:left="0"/>
              <w:rPr>
                <w:rFonts w:ascii="Arial" w:hAnsi="Arial" w:cs="Arial"/>
                <w:b/>
                <w:sz w:val="24"/>
                <w:szCs w:val="24"/>
                <w:lang w:val="fr-FR"/>
              </w:rPr>
            </w:pPr>
            <w:r w:rsidRPr="00AE360E">
              <w:rPr>
                <w:rFonts w:ascii="Arial" w:hAnsi="Arial" w:cs="Arial"/>
                <w:b/>
                <w:sz w:val="24"/>
                <w:szCs w:val="24"/>
                <w:lang w:val="fr-FR"/>
              </w:rPr>
              <w:t>Capacité requis pour le VPI</w:t>
            </w:r>
          </w:p>
        </w:tc>
        <w:tc>
          <w:tcPr>
            <w:tcW w:w="1701" w:type="dxa"/>
          </w:tcPr>
          <w:p w:rsidR="00E43642" w:rsidRPr="00AE360E" w:rsidRDefault="00E43642" w:rsidP="007576B4">
            <w:pPr>
              <w:pStyle w:val="ColorfulList-Accent11"/>
              <w:spacing w:line="276" w:lineRule="auto"/>
              <w:ind w:left="0"/>
              <w:rPr>
                <w:rFonts w:ascii="Arial" w:hAnsi="Arial" w:cs="Arial"/>
                <w:b/>
                <w:sz w:val="24"/>
                <w:szCs w:val="24"/>
                <w:lang w:val="fr-FR"/>
              </w:rPr>
            </w:pPr>
            <w:r w:rsidRPr="00AE360E">
              <w:rPr>
                <w:rFonts w:ascii="Arial" w:hAnsi="Arial" w:cs="Arial"/>
                <w:b/>
                <w:sz w:val="24"/>
                <w:szCs w:val="24"/>
                <w:lang w:val="fr-FR"/>
              </w:rPr>
              <w:t>Préciser le gap en volume</w:t>
            </w:r>
          </w:p>
        </w:tc>
      </w:tr>
      <w:tr w:rsidR="00E43642" w:rsidRPr="00AE360E" w:rsidTr="007576B4">
        <w:trPr>
          <w:trHeight w:val="624"/>
          <w:jc w:val="center"/>
        </w:trPr>
        <w:tc>
          <w:tcPr>
            <w:tcW w:w="207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Abéché 16 000 litres</w:t>
            </w:r>
          </w:p>
        </w:tc>
        <w:tc>
          <w:tcPr>
            <w:tcW w:w="1486"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0 litre</w:t>
            </w:r>
          </w:p>
        </w:tc>
        <w:tc>
          <w:tcPr>
            <w:tcW w:w="1633"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16 000 litres</w:t>
            </w:r>
          </w:p>
        </w:tc>
        <w:tc>
          <w:tcPr>
            <w:tcW w:w="1559" w:type="dxa"/>
            <w:vAlign w:val="center"/>
          </w:tcPr>
          <w:p w:rsidR="00E43642" w:rsidRPr="00AE360E" w:rsidRDefault="00762EA6" w:rsidP="00D26CFD">
            <w:pPr>
              <w:pStyle w:val="ColorfulList-Accent11"/>
              <w:spacing w:line="276" w:lineRule="auto"/>
              <w:ind w:left="0"/>
              <w:rPr>
                <w:rFonts w:ascii="Arial" w:hAnsi="Arial" w:cs="Arial"/>
                <w:sz w:val="24"/>
                <w:szCs w:val="24"/>
                <w:lang w:val="fr-FR"/>
              </w:rPr>
            </w:pPr>
            <w:r>
              <w:rPr>
                <w:rFonts w:ascii="Arial" w:hAnsi="Arial" w:cs="Arial"/>
                <w:sz w:val="24"/>
                <w:szCs w:val="24"/>
                <w:lang w:val="fr-FR"/>
              </w:rPr>
              <w:t>12</w:t>
            </w:r>
            <w:r w:rsidR="00E43642" w:rsidRPr="00AE360E">
              <w:rPr>
                <w:rFonts w:ascii="Arial" w:hAnsi="Arial" w:cs="Arial"/>
                <w:sz w:val="24"/>
                <w:szCs w:val="24"/>
                <w:lang w:val="fr-FR"/>
              </w:rPr>
              <w:t>624 litres</w:t>
            </w:r>
          </w:p>
        </w:tc>
        <w:tc>
          <w:tcPr>
            <w:tcW w:w="155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1 188 litres</w:t>
            </w:r>
          </w:p>
        </w:tc>
        <w:tc>
          <w:tcPr>
            <w:tcW w:w="1701"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0 litre</w:t>
            </w:r>
          </w:p>
        </w:tc>
      </w:tr>
      <w:tr w:rsidR="00E43642" w:rsidRPr="00AE360E" w:rsidTr="007576B4">
        <w:trPr>
          <w:trHeight w:val="637"/>
          <w:jc w:val="center"/>
        </w:trPr>
        <w:tc>
          <w:tcPr>
            <w:tcW w:w="2079"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Moundou 10</w:t>
            </w:r>
            <w:r w:rsidR="0028592D">
              <w:rPr>
                <w:rFonts w:ascii="Arial" w:hAnsi="Arial" w:cs="Arial"/>
                <w:sz w:val="24"/>
                <w:szCs w:val="24"/>
              </w:rPr>
              <w:t> </w:t>
            </w:r>
            <w:r w:rsidRPr="00AE360E">
              <w:rPr>
                <w:rFonts w:ascii="Arial" w:hAnsi="Arial" w:cs="Arial"/>
                <w:sz w:val="24"/>
                <w:szCs w:val="24"/>
              </w:rPr>
              <w:t>000litres</w:t>
            </w:r>
          </w:p>
        </w:tc>
        <w:tc>
          <w:tcPr>
            <w:tcW w:w="1486"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0 litre</w:t>
            </w:r>
          </w:p>
        </w:tc>
        <w:tc>
          <w:tcPr>
            <w:tcW w:w="1633"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10 000 litres</w:t>
            </w:r>
          </w:p>
        </w:tc>
        <w:tc>
          <w:tcPr>
            <w:tcW w:w="155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10 907 litres</w:t>
            </w:r>
          </w:p>
        </w:tc>
        <w:tc>
          <w:tcPr>
            <w:tcW w:w="155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1 544 litres</w:t>
            </w:r>
          </w:p>
        </w:tc>
        <w:tc>
          <w:tcPr>
            <w:tcW w:w="1701"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2 451 litres</w:t>
            </w:r>
          </w:p>
        </w:tc>
      </w:tr>
      <w:tr w:rsidR="00E43642" w:rsidRPr="00AE360E" w:rsidTr="007576B4">
        <w:trPr>
          <w:trHeight w:val="637"/>
          <w:jc w:val="center"/>
        </w:trPr>
        <w:tc>
          <w:tcPr>
            <w:tcW w:w="2079"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Sarh10</w:t>
            </w:r>
            <w:r w:rsidR="0028592D">
              <w:rPr>
                <w:rFonts w:ascii="Arial" w:hAnsi="Arial" w:cs="Arial"/>
                <w:sz w:val="24"/>
                <w:szCs w:val="24"/>
              </w:rPr>
              <w:t> </w:t>
            </w:r>
            <w:r w:rsidRPr="00AE360E">
              <w:rPr>
                <w:rFonts w:ascii="Arial" w:hAnsi="Arial" w:cs="Arial"/>
                <w:sz w:val="24"/>
                <w:szCs w:val="24"/>
              </w:rPr>
              <w:t>000litres</w:t>
            </w:r>
          </w:p>
        </w:tc>
        <w:tc>
          <w:tcPr>
            <w:tcW w:w="1486"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0 litre</w:t>
            </w:r>
          </w:p>
        </w:tc>
        <w:tc>
          <w:tcPr>
            <w:tcW w:w="1633" w:type="dxa"/>
            <w:vAlign w:val="center"/>
          </w:tcPr>
          <w:p w:rsidR="00E43642" w:rsidRPr="00AE360E" w:rsidRDefault="00E43642" w:rsidP="00D26CFD">
            <w:pPr>
              <w:spacing w:line="276" w:lineRule="auto"/>
              <w:rPr>
                <w:rFonts w:ascii="Arial" w:hAnsi="Arial" w:cs="Arial"/>
              </w:rPr>
            </w:pPr>
            <w:r w:rsidRPr="00AE360E">
              <w:rPr>
                <w:rFonts w:ascii="Arial" w:hAnsi="Arial" w:cs="Arial"/>
                <w:sz w:val="24"/>
                <w:szCs w:val="24"/>
              </w:rPr>
              <w:t>10 000 litres</w:t>
            </w:r>
          </w:p>
        </w:tc>
        <w:tc>
          <w:tcPr>
            <w:tcW w:w="155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 xml:space="preserve">8 094 litres </w:t>
            </w:r>
          </w:p>
        </w:tc>
        <w:tc>
          <w:tcPr>
            <w:tcW w:w="1559"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1 158 litres</w:t>
            </w:r>
          </w:p>
        </w:tc>
        <w:tc>
          <w:tcPr>
            <w:tcW w:w="1701" w:type="dxa"/>
            <w:vAlign w:val="center"/>
          </w:tcPr>
          <w:p w:rsidR="00E43642" w:rsidRPr="00AE360E" w:rsidRDefault="00E43642" w:rsidP="00D26CFD">
            <w:pPr>
              <w:pStyle w:val="ColorfulList-Accent11"/>
              <w:spacing w:line="276" w:lineRule="auto"/>
              <w:ind w:left="0"/>
              <w:rPr>
                <w:rFonts w:ascii="Arial" w:hAnsi="Arial" w:cs="Arial"/>
                <w:sz w:val="24"/>
                <w:szCs w:val="24"/>
                <w:lang w:val="fr-FR"/>
              </w:rPr>
            </w:pPr>
            <w:r w:rsidRPr="00AE360E">
              <w:rPr>
                <w:rFonts w:ascii="Arial" w:hAnsi="Arial" w:cs="Arial"/>
                <w:sz w:val="24"/>
                <w:szCs w:val="24"/>
                <w:lang w:val="fr-FR"/>
              </w:rPr>
              <w:t>0 litre</w:t>
            </w:r>
          </w:p>
        </w:tc>
      </w:tr>
    </w:tbl>
    <w:p w:rsidR="00E43642" w:rsidRPr="00AE360E" w:rsidRDefault="00E43642" w:rsidP="00AE360E">
      <w:pPr>
        <w:pStyle w:val="ColorfulList-Accent11"/>
        <w:jc w:val="both"/>
        <w:rPr>
          <w:rFonts w:ascii="Arial" w:hAnsi="Arial" w:cs="Arial"/>
          <w:b/>
          <w:sz w:val="24"/>
          <w:szCs w:val="24"/>
          <w:u w:val="single"/>
          <w:lang w:val="fr-FR"/>
        </w:rPr>
      </w:pPr>
    </w:p>
    <w:p w:rsidR="00E43642" w:rsidRPr="00AE360E" w:rsidRDefault="00E43642" w:rsidP="0028592D">
      <w:pPr>
        <w:pStyle w:val="ColorfulList-Accent11"/>
        <w:ind w:left="0"/>
        <w:jc w:val="both"/>
        <w:rPr>
          <w:rFonts w:ascii="Arial" w:hAnsi="Arial" w:cs="Arial"/>
          <w:sz w:val="24"/>
          <w:szCs w:val="24"/>
          <w:lang w:val="fr-FR"/>
        </w:rPr>
      </w:pPr>
      <w:r w:rsidRPr="00AE360E">
        <w:rPr>
          <w:rFonts w:ascii="Arial" w:hAnsi="Arial" w:cs="Arial"/>
          <w:sz w:val="24"/>
          <w:szCs w:val="24"/>
          <w:lang w:val="fr-FR"/>
        </w:rPr>
        <w:lastRenderedPageBreak/>
        <w:t>En lisant le tableau ci-dessus l’on constate qu’il se dégage un g</w:t>
      </w:r>
      <w:r w:rsidR="00E84D87">
        <w:rPr>
          <w:rFonts w:ascii="Arial" w:hAnsi="Arial" w:cs="Arial"/>
          <w:sz w:val="24"/>
          <w:szCs w:val="24"/>
          <w:lang w:val="fr-FR"/>
        </w:rPr>
        <w:t>ap de 2 451 litres au dépôt sub</w:t>
      </w:r>
      <w:r w:rsidRPr="00AE360E">
        <w:rPr>
          <w:rFonts w:ascii="Arial" w:hAnsi="Arial" w:cs="Arial"/>
          <w:sz w:val="24"/>
          <w:szCs w:val="24"/>
          <w:lang w:val="fr-FR"/>
        </w:rPr>
        <w:t xml:space="preserve">national de Moundou. En réalité il n’y a pas de gap à combler car les calculs sont faits sur la base de la réception des vaccins de la routine, ceux des AVS ainsi que le VPI en une seule fois. </w:t>
      </w:r>
      <w:r w:rsidR="00685461" w:rsidRPr="00AE360E">
        <w:rPr>
          <w:rFonts w:ascii="Arial" w:hAnsi="Arial" w:cs="Arial"/>
          <w:sz w:val="24"/>
          <w:szCs w:val="24"/>
          <w:lang w:val="fr-FR"/>
        </w:rPr>
        <w:t xml:space="preserve">Compte tenu que la </w:t>
      </w:r>
      <w:r w:rsidRPr="00AE360E">
        <w:rPr>
          <w:rFonts w:ascii="Arial" w:hAnsi="Arial" w:cs="Arial"/>
          <w:sz w:val="24"/>
          <w:szCs w:val="24"/>
          <w:lang w:val="fr-FR"/>
        </w:rPr>
        <w:t xml:space="preserve"> livraison se </w:t>
      </w:r>
      <w:r w:rsidR="00685461" w:rsidRPr="00AE360E">
        <w:rPr>
          <w:rFonts w:ascii="Arial" w:hAnsi="Arial" w:cs="Arial"/>
          <w:sz w:val="24"/>
          <w:szCs w:val="24"/>
          <w:lang w:val="fr-FR"/>
        </w:rPr>
        <w:t xml:space="preserve">fera trimestriellement aux dépôts </w:t>
      </w:r>
      <w:r w:rsidR="00CC607F" w:rsidRPr="00AE360E">
        <w:rPr>
          <w:rFonts w:ascii="Arial" w:hAnsi="Arial" w:cs="Arial"/>
          <w:sz w:val="24"/>
          <w:szCs w:val="24"/>
          <w:lang w:val="fr-FR"/>
        </w:rPr>
        <w:t>subnationaux</w:t>
      </w:r>
      <w:r w:rsidR="00685461" w:rsidRPr="00AE360E">
        <w:rPr>
          <w:rFonts w:ascii="Arial" w:hAnsi="Arial" w:cs="Arial"/>
          <w:sz w:val="24"/>
          <w:szCs w:val="24"/>
          <w:lang w:val="fr-FR"/>
        </w:rPr>
        <w:t>, il n’y aura pas de gap et les capacités de stockage sont suffisantes pour recevoir le VPI.</w:t>
      </w:r>
    </w:p>
    <w:p w:rsidR="001C52F0" w:rsidRPr="0028592D" w:rsidRDefault="001C52F0" w:rsidP="00AE360E">
      <w:pPr>
        <w:pStyle w:val="ColorfulList-Accent11"/>
        <w:ind w:left="0"/>
        <w:jc w:val="both"/>
        <w:rPr>
          <w:rFonts w:ascii="Arial" w:hAnsi="Arial" w:cs="Arial"/>
          <w:sz w:val="24"/>
          <w:szCs w:val="24"/>
          <w:lang w:val="fr-FR"/>
        </w:rPr>
      </w:pPr>
    </w:p>
    <w:p w:rsidR="0028592D" w:rsidRPr="0028592D" w:rsidRDefault="0028592D" w:rsidP="00AE360E">
      <w:pPr>
        <w:pStyle w:val="ColorfulList-Accent11"/>
        <w:ind w:left="0"/>
        <w:jc w:val="both"/>
        <w:rPr>
          <w:rFonts w:ascii="Arial" w:hAnsi="Arial" w:cs="Arial"/>
          <w:sz w:val="24"/>
          <w:szCs w:val="24"/>
          <w:lang w:val="fr-FR"/>
        </w:rPr>
      </w:pPr>
    </w:p>
    <w:p w:rsidR="0028592D" w:rsidRPr="0028592D" w:rsidRDefault="0028592D" w:rsidP="00AE360E">
      <w:pPr>
        <w:pStyle w:val="ColorfulList-Accent11"/>
        <w:ind w:left="0"/>
        <w:jc w:val="both"/>
        <w:rPr>
          <w:rFonts w:ascii="Arial" w:hAnsi="Arial" w:cs="Arial"/>
          <w:sz w:val="24"/>
          <w:szCs w:val="24"/>
          <w:lang w:val="fr-FR"/>
        </w:rPr>
      </w:pPr>
    </w:p>
    <w:p w:rsidR="0028592D" w:rsidRPr="0028592D" w:rsidRDefault="0028592D" w:rsidP="00AE360E">
      <w:pPr>
        <w:pStyle w:val="ColorfulList-Accent11"/>
        <w:ind w:left="0"/>
        <w:jc w:val="both"/>
        <w:rPr>
          <w:rFonts w:ascii="Arial" w:hAnsi="Arial" w:cs="Arial"/>
          <w:b/>
          <w:sz w:val="24"/>
          <w:szCs w:val="24"/>
          <w:lang w:val="fr-FR"/>
        </w:rPr>
      </w:pPr>
    </w:p>
    <w:p w:rsidR="0064079B" w:rsidRPr="00AE360E" w:rsidRDefault="0064079B" w:rsidP="00AE360E">
      <w:pPr>
        <w:pStyle w:val="ColorfulList-Accent11"/>
        <w:ind w:left="0"/>
        <w:jc w:val="both"/>
        <w:rPr>
          <w:rFonts w:ascii="Arial" w:hAnsi="Arial" w:cs="Arial"/>
          <w:b/>
          <w:sz w:val="24"/>
          <w:szCs w:val="24"/>
          <w:u w:val="single"/>
          <w:lang w:val="fr-FR"/>
        </w:rPr>
      </w:pPr>
      <w:r w:rsidRPr="00AE360E">
        <w:rPr>
          <w:rFonts w:ascii="Arial" w:hAnsi="Arial" w:cs="Arial"/>
          <w:b/>
          <w:sz w:val="24"/>
          <w:szCs w:val="24"/>
          <w:u w:val="single"/>
          <w:lang w:val="fr-FR"/>
        </w:rPr>
        <w:t>Niveau district</w:t>
      </w:r>
    </w:p>
    <w:p w:rsidR="00E43642" w:rsidRPr="0028592D" w:rsidRDefault="00E43642" w:rsidP="000175E8">
      <w:pPr>
        <w:pStyle w:val="ColorfulList-Accent11"/>
        <w:ind w:left="0"/>
        <w:jc w:val="both"/>
        <w:rPr>
          <w:rFonts w:ascii="Arial" w:hAnsi="Arial" w:cs="Arial"/>
          <w:sz w:val="24"/>
          <w:szCs w:val="24"/>
          <w:lang w:val="fr-FR"/>
        </w:rPr>
      </w:pPr>
    </w:p>
    <w:p w:rsidR="0064079B" w:rsidRPr="00AE360E" w:rsidRDefault="0064079B"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Conformant au plan de revitalisation, tous les districts sont passés au solaire et ont été équipés entre fin 2013 et début 2014 de 92 réfrigérateurs solaires sans batterie de 100 litres pour augmenter la capacité de stockage des vaccins pour le PEV de routine.</w:t>
      </w:r>
    </w:p>
    <w:p w:rsidR="0064079B" w:rsidRPr="00AE360E" w:rsidRDefault="0064079B"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 xml:space="preserve">Actuellement, 17 autres réfrigérateurs de même type sont en cours d’installation pour renforcer les capacités de certains districts sanitaires critiques à l’Est, au Sud et les districts ACD du pays. Les capacités de stockage à ce niveau seront portées à 100 litres pour certains districts et 200 litres brut pour d’autres selon la densité de la  population. </w:t>
      </w:r>
    </w:p>
    <w:p w:rsidR="00E43642" w:rsidRPr="00AE360E" w:rsidRDefault="00FD5306" w:rsidP="00AE360E">
      <w:pPr>
        <w:pStyle w:val="ColorfulList-Accent11"/>
        <w:ind w:left="0"/>
        <w:jc w:val="both"/>
        <w:rPr>
          <w:rFonts w:ascii="Arial" w:hAnsi="Arial" w:cs="Arial"/>
          <w:b/>
          <w:sz w:val="24"/>
          <w:szCs w:val="24"/>
          <w:lang w:val="fr-FR"/>
        </w:rPr>
      </w:pPr>
      <w:r w:rsidRPr="00AE360E">
        <w:rPr>
          <w:rFonts w:ascii="Arial" w:hAnsi="Arial" w:cs="Arial"/>
          <w:b/>
          <w:sz w:val="24"/>
          <w:szCs w:val="24"/>
          <w:lang w:val="fr-FR"/>
        </w:rPr>
        <w:t>Les capacités de stockage sero</w:t>
      </w:r>
      <w:r w:rsidR="00432676" w:rsidRPr="00AE360E">
        <w:rPr>
          <w:rFonts w:ascii="Arial" w:hAnsi="Arial" w:cs="Arial"/>
          <w:b/>
          <w:sz w:val="24"/>
          <w:szCs w:val="24"/>
          <w:lang w:val="fr-FR"/>
        </w:rPr>
        <w:t>nt suffisantes dans tous les 77 districts du pays pour recevoir le VPI.</w:t>
      </w:r>
    </w:p>
    <w:p w:rsidR="00432676" w:rsidRPr="00AE360E" w:rsidRDefault="00432676" w:rsidP="0076199E">
      <w:pPr>
        <w:pStyle w:val="ColorfulList-Accent11"/>
        <w:ind w:left="0"/>
        <w:contextualSpacing w:val="0"/>
        <w:jc w:val="both"/>
        <w:rPr>
          <w:rFonts w:ascii="Arial" w:hAnsi="Arial" w:cs="Arial"/>
          <w:b/>
          <w:sz w:val="24"/>
          <w:szCs w:val="24"/>
          <w:u w:val="single"/>
          <w:lang w:val="fr-FR"/>
        </w:rPr>
      </w:pPr>
      <w:r w:rsidRPr="00AE360E">
        <w:rPr>
          <w:rFonts w:ascii="Arial" w:hAnsi="Arial" w:cs="Arial"/>
          <w:b/>
          <w:sz w:val="24"/>
          <w:szCs w:val="24"/>
          <w:u w:val="single"/>
          <w:lang w:val="fr-FR"/>
        </w:rPr>
        <w:t>Niveau centre de santé :</w:t>
      </w:r>
    </w:p>
    <w:p w:rsidR="00432676" w:rsidRPr="00AE360E" w:rsidRDefault="00432676" w:rsidP="000175E8">
      <w:pPr>
        <w:pStyle w:val="ColorfulList-Accent11"/>
        <w:spacing w:before="240"/>
        <w:ind w:left="0"/>
        <w:contextualSpacing w:val="0"/>
        <w:jc w:val="both"/>
        <w:rPr>
          <w:rFonts w:ascii="Arial" w:hAnsi="Arial" w:cs="Arial"/>
          <w:sz w:val="24"/>
          <w:szCs w:val="24"/>
          <w:lang w:val="fr-FR"/>
        </w:rPr>
      </w:pPr>
      <w:r w:rsidRPr="00AE360E">
        <w:rPr>
          <w:rFonts w:ascii="Arial" w:hAnsi="Arial" w:cs="Arial"/>
          <w:sz w:val="24"/>
          <w:szCs w:val="24"/>
          <w:lang w:val="fr-FR"/>
        </w:rPr>
        <w:t>A ce niveau, Tous les réfrigérateurs Sibir présentement utilisés dans les districts sanitaires seront redéployés dans les centres de santé  soit 4 Electrolux et 51 Sibir.</w:t>
      </w:r>
    </w:p>
    <w:p w:rsidR="00432676" w:rsidRPr="00AE360E" w:rsidRDefault="00432676"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32 réfrigérateurs solaires TCW 2000 SDD sont en cours d’installation dans 32 centres de santé dans les districts ACD</w:t>
      </w:r>
    </w:p>
    <w:p w:rsidR="00432676" w:rsidRPr="00AE360E" w:rsidRDefault="00432676"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Ces acquis</w:t>
      </w:r>
      <w:r w:rsidR="00B33CB8">
        <w:rPr>
          <w:rFonts w:ascii="Arial" w:hAnsi="Arial" w:cs="Arial"/>
          <w:sz w:val="24"/>
          <w:szCs w:val="24"/>
          <w:lang w:val="fr-FR"/>
        </w:rPr>
        <w:t xml:space="preserve">itions ajoutées </w:t>
      </w:r>
      <w:r w:rsidRPr="00AE360E">
        <w:rPr>
          <w:rFonts w:ascii="Arial" w:hAnsi="Arial" w:cs="Arial"/>
          <w:sz w:val="24"/>
          <w:szCs w:val="24"/>
          <w:lang w:val="fr-FR"/>
        </w:rPr>
        <w:t>aux 770 réfrigérateurs existantspermet</w:t>
      </w:r>
      <w:r w:rsidR="00B33CB8">
        <w:rPr>
          <w:rFonts w:ascii="Arial" w:hAnsi="Arial" w:cs="Arial"/>
          <w:sz w:val="24"/>
          <w:szCs w:val="24"/>
          <w:lang w:val="fr-FR"/>
        </w:rPr>
        <w:t>tront d’avoir une couverture de 88 %</w:t>
      </w:r>
      <w:r w:rsidRPr="00AE360E">
        <w:rPr>
          <w:rFonts w:ascii="Arial" w:hAnsi="Arial" w:cs="Arial"/>
          <w:sz w:val="24"/>
          <w:szCs w:val="24"/>
          <w:lang w:val="fr-FR"/>
        </w:rPr>
        <w:t xml:space="preserve"> en CDF au niveau des centres de santé.</w:t>
      </w:r>
    </w:p>
    <w:p w:rsidR="00432676" w:rsidRPr="00AE360E" w:rsidRDefault="00432676"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Le gap sera comblé à travers l’acquisition de réfrigérateurs sur les fonds RSS-GAVI de 2015.</w:t>
      </w:r>
    </w:p>
    <w:p w:rsidR="00971327" w:rsidRPr="00AE360E" w:rsidRDefault="00756BA9" w:rsidP="00AE360E">
      <w:pPr>
        <w:pStyle w:val="ColorfulList-Accent11"/>
        <w:ind w:left="0"/>
        <w:jc w:val="both"/>
        <w:rPr>
          <w:rFonts w:ascii="Arial" w:hAnsi="Arial" w:cs="Arial"/>
          <w:b/>
          <w:sz w:val="24"/>
          <w:szCs w:val="24"/>
          <w:u w:val="single"/>
          <w:lang w:val="fr-FR"/>
        </w:rPr>
      </w:pPr>
      <w:r w:rsidRPr="00AE360E">
        <w:rPr>
          <w:rFonts w:ascii="Arial" w:hAnsi="Arial" w:cs="Arial"/>
          <w:sz w:val="24"/>
          <w:szCs w:val="24"/>
          <w:lang w:val="fr-FR"/>
        </w:rPr>
        <w:t xml:space="preserve">En attendant, les centres ne disposant pas de centre vont utiliser la chaine de froid </w:t>
      </w:r>
      <w:r w:rsidR="00722A81" w:rsidRPr="00AE360E">
        <w:rPr>
          <w:rFonts w:ascii="Arial" w:hAnsi="Arial" w:cs="Arial"/>
          <w:sz w:val="24"/>
          <w:szCs w:val="24"/>
          <w:lang w:val="fr-FR"/>
        </w:rPr>
        <w:t>rapide,</w:t>
      </w:r>
      <w:r w:rsidRPr="00AE360E">
        <w:rPr>
          <w:rFonts w:ascii="Arial" w:hAnsi="Arial" w:cs="Arial"/>
          <w:sz w:val="24"/>
          <w:szCs w:val="24"/>
          <w:lang w:val="fr-FR"/>
        </w:rPr>
        <w:t xml:space="preserve"> se ravitailler en vaccins au niveau du centre le plus proche pour mener leurs activités de vaccination.</w:t>
      </w:r>
    </w:p>
    <w:p w:rsidR="00971327" w:rsidRPr="00B33CB8" w:rsidRDefault="00971327" w:rsidP="00B33CB8">
      <w:pPr>
        <w:pStyle w:val="ColorfulList-Accent11"/>
        <w:ind w:left="0"/>
        <w:jc w:val="both"/>
        <w:rPr>
          <w:rFonts w:ascii="Arial" w:hAnsi="Arial" w:cs="Arial"/>
          <w:sz w:val="24"/>
          <w:szCs w:val="24"/>
          <w:lang w:val="fr-FR"/>
        </w:rPr>
      </w:pPr>
    </w:p>
    <w:p w:rsidR="00B96900" w:rsidRDefault="00D01010" w:rsidP="00174241">
      <w:pPr>
        <w:pStyle w:val="ColorfulList-Accent11"/>
        <w:ind w:left="0"/>
        <w:jc w:val="both"/>
        <w:rPr>
          <w:rFonts w:ascii="Arial" w:hAnsi="Arial" w:cs="Arial"/>
          <w:b/>
          <w:sz w:val="24"/>
          <w:szCs w:val="24"/>
          <w:u w:val="single"/>
          <w:lang w:val="fr-FR"/>
        </w:rPr>
      </w:pPr>
      <w:r w:rsidRPr="00AE360E">
        <w:rPr>
          <w:rFonts w:ascii="Arial" w:hAnsi="Arial" w:cs="Arial"/>
          <w:b/>
          <w:sz w:val="24"/>
          <w:szCs w:val="24"/>
          <w:u w:val="single"/>
          <w:lang w:val="fr-FR"/>
        </w:rPr>
        <w:t xml:space="preserve">Acquisitions en cours du niveau </w:t>
      </w:r>
      <w:r w:rsidR="00E43642" w:rsidRPr="00AE360E">
        <w:rPr>
          <w:rFonts w:ascii="Arial" w:hAnsi="Arial" w:cs="Arial"/>
          <w:b/>
          <w:sz w:val="24"/>
          <w:szCs w:val="24"/>
          <w:u w:val="single"/>
          <w:lang w:val="fr-FR"/>
        </w:rPr>
        <w:t>Central</w:t>
      </w:r>
    </w:p>
    <w:p w:rsidR="00391A75" w:rsidRDefault="00391A75" w:rsidP="00174241">
      <w:pPr>
        <w:pStyle w:val="ColorfulList-Accent11"/>
        <w:ind w:left="0"/>
        <w:jc w:val="both"/>
        <w:rPr>
          <w:rFonts w:ascii="Arial" w:hAnsi="Arial" w:cs="Arial"/>
          <w:b/>
          <w:sz w:val="24"/>
          <w:szCs w:val="24"/>
          <w:u w:val="single"/>
          <w:lang w:val="fr-FR"/>
        </w:rPr>
      </w:pPr>
    </w:p>
    <w:p w:rsidR="00391A75" w:rsidRPr="00AE360E" w:rsidRDefault="00391A75" w:rsidP="00174241">
      <w:pPr>
        <w:pStyle w:val="ColorfulList-Accent11"/>
        <w:ind w:left="0"/>
        <w:jc w:val="both"/>
        <w:rPr>
          <w:rFonts w:ascii="Arial" w:hAnsi="Arial" w:cs="Arial"/>
          <w:b/>
          <w:sz w:val="24"/>
          <w:szCs w:val="24"/>
          <w:u w:val="single"/>
          <w:lang w:val="fr-FR"/>
        </w:rPr>
      </w:pPr>
      <w:r w:rsidRPr="003D1004">
        <w:rPr>
          <w:rFonts w:ascii="Arial" w:eastAsia="SimSun" w:hAnsi="Arial" w:cs="Arial"/>
          <w:b/>
          <w:color w:val="000000"/>
          <w:sz w:val="24"/>
          <w:szCs w:val="24"/>
          <w:u w:val="single"/>
          <w:lang w:val="fr-FR" w:eastAsia="en-GB"/>
        </w:rPr>
        <w:t>Tableau V</w:t>
      </w:r>
      <w:r>
        <w:rPr>
          <w:rFonts w:ascii="Arial" w:eastAsia="SimSun" w:hAnsi="Arial" w:cs="Arial"/>
          <w:b/>
          <w:color w:val="000000"/>
          <w:sz w:val="24"/>
          <w:szCs w:val="24"/>
          <w:u w:val="single"/>
          <w:lang w:val="fr-FR" w:eastAsia="en-GB"/>
        </w:rPr>
        <w:t>II </w:t>
      </w:r>
      <w:r>
        <w:rPr>
          <w:rFonts w:ascii="Arial" w:eastAsia="SimSun" w:hAnsi="Arial" w:cs="Arial"/>
          <w:color w:val="000000"/>
          <w:sz w:val="24"/>
          <w:szCs w:val="24"/>
          <w:lang w:val="fr-FR" w:eastAsia="en-GB"/>
        </w:rPr>
        <w:t>: Acquisition en cours au niveau central</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84"/>
        <w:gridCol w:w="1210"/>
        <w:gridCol w:w="1983"/>
      </w:tblGrid>
      <w:tr w:rsidR="00B96900" w:rsidRPr="00AE360E" w:rsidTr="000175E8">
        <w:trPr>
          <w:trHeight w:val="335"/>
        </w:trPr>
        <w:tc>
          <w:tcPr>
            <w:tcW w:w="5884" w:type="dxa"/>
            <w:shd w:val="clear" w:color="auto" w:fill="auto"/>
            <w:noWrap/>
            <w:vAlign w:val="bottom"/>
            <w:hideMark/>
          </w:tcPr>
          <w:p w:rsidR="00B96900" w:rsidRPr="0028592D" w:rsidRDefault="00B96900" w:rsidP="00AE360E">
            <w:pPr>
              <w:jc w:val="both"/>
              <w:rPr>
                <w:rFonts w:ascii="Arial" w:hAnsi="Arial" w:cs="Arial"/>
                <w:sz w:val="24"/>
                <w:u w:val="single"/>
                <w:lang w:eastAsia="zh-CN"/>
              </w:rPr>
            </w:pPr>
          </w:p>
        </w:tc>
        <w:tc>
          <w:tcPr>
            <w:tcW w:w="1210" w:type="dxa"/>
            <w:shd w:val="clear" w:color="auto" w:fill="auto"/>
            <w:noWrap/>
            <w:vAlign w:val="bottom"/>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Quantité</w:t>
            </w:r>
          </w:p>
        </w:tc>
        <w:tc>
          <w:tcPr>
            <w:tcW w:w="1983" w:type="dxa"/>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Volume brut</w:t>
            </w:r>
          </w:p>
        </w:tc>
      </w:tr>
      <w:tr w:rsidR="00B96900" w:rsidRPr="00AE360E" w:rsidTr="000175E8">
        <w:trPr>
          <w:trHeight w:val="335"/>
        </w:trPr>
        <w:tc>
          <w:tcPr>
            <w:tcW w:w="5884" w:type="dxa"/>
            <w:shd w:val="clear" w:color="auto" w:fill="auto"/>
            <w:noWrap/>
            <w:vAlign w:val="bottom"/>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lastRenderedPageBreak/>
              <w:t xml:space="preserve">Chambre froide positive </w:t>
            </w:r>
          </w:p>
        </w:tc>
        <w:tc>
          <w:tcPr>
            <w:tcW w:w="1210" w:type="dxa"/>
            <w:shd w:val="clear" w:color="auto" w:fill="auto"/>
            <w:noWrap/>
            <w:vAlign w:val="bottom"/>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3</w:t>
            </w:r>
          </w:p>
        </w:tc>
        <w:tc>
          <w:tcPr>
            <w:tcW w:w="1983" w:type="dxa"/>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xml:space="preserve">120 m3 </w:t>
            </w:r>
          </w:p>
        </w:tc>
      </w:tr>
      <w:tr w:rsidR="00B96900" w:rsidRPr="00AE360E" w:rsidTr="000175E8">
        <w:trPr>
          <w:trHeight w:val="335"/>
        </w:trPr>
        <w:tc>
          <w:tcPr>
            <w:tcW w:w="5884" w:type="dxa"/>
            <w:shd w:val="clear" w:color="auto" w:fill="auto"/>
            <w:noWrap/>
            <w:vAlign w:val="bottom"/>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Chambre froide négative</w:t>
            </w:r>
          </w:p>
        </w:tc>
        <w:tc>
          <w:tcPr>
            <w:tcW w:w="1210" w:type="dxa"/>
            <w:shd w:val="clear" w:color="auto" w:fill="auto"/>
            <w:noWrap/>
            <w:vAlign w:val="bottom"/>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1</w:t>
            </w:r>
          </w:p>
        </w:tc>
        <w:tc>
          <w:tcPr>
            <w:tcW w:w="1983" w:type="dxa"/>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xml:space="preserve">20 m3 </w:t>
            </w:r>
          </w:p>
        </w:tc>
      </w:tr>
      <w:tr w:rsidR="00B96900" w:rsidRPr="00AE360E" w:rsidTr="000175E8">
        <w:trPr>
          <w:trHeight w:val="335"/>
        </w:trPr>
        <w:tc>
          <w:tcPr>
            <w:tcW w:w="5884" w:type="dxa"/>
            <w:shd w:val="clear" w:color="auto" w:fill="auto"/>
            <w:noWrap/>
            <w:vAlign w:val="bottom"/>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Reprise 1 chambre froide négative (non homologuée) pour la fabrication des accumulateurs</w:t>
            </w:r>
          </w:p>
        </w:tc>
        <w:tc>
          <w:tcPr>
            <w:tcW w:w="1210" w:type="dxa"/>
            <w:shd w:val="clear" w:color="auto" w:fill="auto"/>
            <w:noWrap/>
            <w:vAlign w:val="bottom"/>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1</w:t>
            </w:r>
          </w:p>
        </w:tc>
        <w:tc>
          <w:tcPr>
            <w:tcW w:w="1983" w:type="dxa"/>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xml:space="preserve">10 m3 </w:t>
            </w:r>
          </w:p>
        </w:tc>
      </w:tr>
    </w:tbl>
    <w:p w:rsidR="00B96900" w:rsidRPr="00AE360E" w:rsidRDefault="00B96900" w:rsidP="00AE360E">
      <w:pPr>
        <w:pStyle w:val="ColorfulList-Accent11"/>
        <w:jc w:val="both"/>
        <w:rPr>
          <w:rFonts w:ascii="Arial" w:hAnsi="Arial" w:cs="Arial"/>
          <w:sz w:val="24"/>
          <w:szCs w:val="24"/>
          <w:lang w:val="fr-FR"/>
        </w:rPr>
      </w:pPr>
    </w:p>
    <w:p w:rsidR="0028592D" w:rsidRDefault="0028592D">
      <w:pPr>
        <w:rPr>
          <w:rFonts w:ascii="Arial" w:eastAsia="Calibri" w:hAnsi="Arial" w:cs="Arial"/>
          <w:sz w:val="24"/>
          <w:szCs w:val="24"/>
        </w:rPr>
      </w:pPr>
      <w:r>
        <w:rPr>
          <w:rFonts w:ascii="Arial" w:hAnsi="Arial" w:cs="Arial"/>
          <w:sz w:val="24"/>
          <w:szCs w:val="24"/>
        </w:rPr>
        <w:br w:type="page"/>
      </w:r>
    </w:p>
    <w:p w:rsidR="00971327" w:rsidRPr="00AE360E" w:rsidRDefault="00971327" w:rsidP="00AE360E">
      <w:pPr>
        <w:pStyle w:val="ColorfulList-Accent11"/>
        <w:jc w:val="both"/>
        <w:rPr>
          <w:rFonts w:ascii="Arial" w:hAnsi="Arial" w:cs="Arial"/>
          <w:sz w:val="24"/>
          <w:szCs w:val="24"/>
          <w:lang w:val="fr-FR"/>
        </w:rPr>
      </w:pPr>
    </w:p>
    <w:p w:rsidR="00B96900" w:rsidRDefault="0064079B" w:rsidP="00174241">
      <w:pPr>
        <w:pStyle w:val="ColorfulList-Accent11"/>
        <w:ind w:left="0"/>
        <w:jc w:val="both"/>
        <w:rPr>
          <w:rFonts w:ascii="Arial" w:hAnsi="Arial" w:cs="Arial"/>
          <w:b/>
          <w:sz w:val="24"/>
          <w:szCs w:val="24"/>
          <w:u w:val="single"/>
          <w:lang w:val="fr-FR"/>
        </w:rPr>
      </w:pPr>
      <w:r w:rsidRPr="00AE360E">
        <w:rPr>
          <w:rFonts w:ascii="Arial" w:hAnsi="Arial" w:cs="Arial"/>
          <w:b/>
          <w:sz w:val="24"/>
          <w:szCs w:val="24"/>
          <w:u w:val="single"/>
          <w:lang w:val="fr-FR"/>
        </w:rPr>
        <w:t xml:space="preserve">Acquisitions </w:t>
      </w:r>
      <w:r w:rsidR="00B96900" w:rsidRPr="00AE360E">
        <w:rPr>
          <w:rFonts w:ascii="Arial" w:hAnsi="Arial" w:cs="Arial"/>
          <w:b/>
          <w:sz w:val="24"/>
          <w:szCs w:val="24"/>
          <w:u w:val="single"/>
          <w:lang w:val="fr-FR"/>
        </w:rPr>
        <w:t>Niveau sub national</w:t>
      </w:r>
      <w:r w:rsidRPr="00AE360E">
        <w:rPr>
          <w:rFonts w:ascii="Arial" w:hAnsi="Arial" w:cs="Arial"/>
          <w:b/>
          <w:sz w:val="24"/>
          <w:szCs w:val="24"/>
          <w:u w:val="single"/>
          <w:lang w:val="fr-FR"/>
        </w:rPr>
        <w:t xml:space="preserve"> en cours</w:t>
      </w:r>
      <w:r w:rsidR="00B96900" w:rsidRPr="00AE360E">
        <w:rPr>
          <w:rFonts w:ascii="Arial" w:hAnsi="Arial" w:cs="Arial"/>
          <w:b/>
          <w:sz w:val="24"/>
          <w:szCs w:val="24"/>
          <w:u w:val="single"/>
          <w:lang w:val="fr-FR"/>
        </w:rPr>
        <w:t> :</w:t>
      </w:r>
    </w:p>
    <w:p w:rsidR="00391A75" w:rsidRDefault="00391A75" w:rsidP="00174241">
      <w:pPr>
        <w:pStyle w:val="ColorfulList-Accent11"/>
        <w:ind w:left="0"/>
        <w:jc w:val="both"/>
        <w:rPr>
          <w:rFonts w:ascii="Arial" w:hAnsi="Arial" w:cs="Arial"/>
          <w:b/>
          <w:sz w:val="24"/>
          <w:szCs w:val="24"/>
          <w:u w:val="single"/>
          <w:lang w:val="fr-FR"/>
        </w:rPr>
      </w:pPr>
    </w:p>
    <w:p w:rsidR="00391A75" w:rsidRPr="00AE360E" w:rsidRDefault="00391A75" w:rsidP="00391A75">
      <w:pPr>
        <w:pStyle w:val="ColorfulList-Accent11"/>
        <w:ind w:left="0"/>
        <w:jc w:val="both"/>
        <w:rPr>
          <w:rFonts w:ascii="Arial" w:hAnsi="Arial" w:cs="Arial"/>
          <w:b/>
          <w:sz w:val="24"/>
          <w:szCs w:val="24"/>
          <w:u w:val="single"/>
          <w:lang w:val="fr-FR"/>
        </w:rPr>
      </w:pPr>
      <w:r w:rsidRPr="003D1004">
        <w:rPr>
          <w:rFonts w:ascii="Arial" w:eastAsia="SimSun" w:hAnsi="Arial" w:cs="Arial"/>
          <w:b/>
          <w:color w:val="000000"/>
          <w:sz w:val="24"/>
          <w:szCs w:val="24"/>
          <w:u w:val="single"/>
          <w:lang w:val="fr-FR" w:eastAsia="en-GB"/>
        </w:rPr>
        <w:t>Tableau V</w:t>
      </w:r>
      <w:r>
        <w:rPr>
          <w:rFonts w:ascii="Arial" w:eastAsia="SimSun" w:hAnsi="Arial" w:cs="Arial"/>
          <w:b/>
          <w:color w:val="000000"/>
          <w:sz w:val="24"/>
          <w:szCs w:val="24"/>
          <w:u w:val="single"/>
          <w:lang w:val="fr-FR" w:eastAsia="en-GB"/>
        </w:rPr>
        <w:t>III </w:t>
      </w:r>
      <w:r>
        <w:rPr>
          <w:rFonts w:ascii="Arial" w:eastAsia="SimSun" w:hAnsi="Arial" w:cs="Arial"/>
          <w:color w:val="000000"/>
          <w:sz w:val="24"/>
          <w:szCs w:val="24"/>
          <w:lang w:val="fr-FR" w:eastAsia="en-GB"/>
        </w:rPr>
        <w:t>: Acquisition en cours au niveau subnational</w:t>
      </w:r>
    </w:p>
    <w:tbl>
      <w:tblPr>
        <w:tblW w:w="8963" w:type="dxa"/>
        <w:tblInd w:w="110" w:type="dxa"/>
        <w:tblCellMar>
          <w:left w:w="70" w:type="dxa"/>
          <w:right w:w="70" w:type="dxa"/>
        </w:tblCellMar>
        <w:tblLook w:val="04A0"/>
      </w:tblPr>
      <w:tblGrid>
        <w:gridCol w:w="1328"/>
        <w:gridCol w:w="5280"/>
        <w:gridCol w:w="1048"/>
        <w:gridCol w:w="1307"/>
      </w:tblGrid>
      <w:tr w:rsidR="00B96900" w:rsidRPr="0028592D" w:rsidTr="00391A75">
        <w:trPr>
          <w:trHeight w:val="346"/>
        </w:trPr>
        <w:tc>
          <w:tcPr>
            <w:tcW w:w="6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900" w:rsidRPr="0028592D" w:rsidRDefault="00B96900" w:rsidP="00AE360E">
            <w:pPr>
              <w:jc w:val="both"/>
              <w:rPr>
                <w:rFonts w:ascii="Arial" w:hAnsi="Arial" w:cs="Arial"/>
                <w:sz w:val="24"/>
                <w:u w:val="single"/>
                <w:lang w:eastAsia="zh-CN"/>
              </w:rPr>
            </w:pP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Quantité</w:t>
            </w:r>
          </w:p>
        </w:tc>
        <w:tc>
          <w:tcPr>
            <w:tcW w:w="1347" w:type="dxa"/>
            <w:tcBorders>
              <w:top w:val="single" w:sz="4" w:space="0" w:color="auto"/>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Volume brut</w:t>
            </w:r>
          </w:p>
        </w:tc>
      </w:tr>
      <w:tr w:rsidR="00B96900" w:rsidRPr="0028592D" w:rsidTr="00391A75">
        <w:trPr>
          <w:trHeight w:val="346"/>
        </w:trPr>
        <w:tc>
          <w:tcPr>
            <w:tcW w:w="1288" w:type="dxa"/>
            <w:vMerge w:val="restart"/>
            <w:tcBorders>
              <w:left w:val="single" w:sz="4" w:space="0" w:color="auto"/>
              <w:right w:val="single" w:sz="4" w:space="0" w:color="auto"/>
            </w:tcBorders>
            <w:vAlign w:val="center"/>
          </w:tcPr>
          <w:p w:rsidR="00B96900" w:rsidRPr="0028592D" w:rsidRDefault="00E84D87" w:rsidP="00AE360E">
            <w:pPr>
              <w:jc w:val="both"/>
              <w:rPr>
                <w:rFonts w:ascii="Arial" w:hAnsi="Arial" w:cs="Arial"/>
                <w:sz w:val="24"/>
                <w:lang w:eastAsia="zh-CN"/>
              </w:rPr>
            </w:pPr>
            <w:r w:rsidRPr="0028592D">
              <w:rPr>
                <w:rFonts w:ascii="Arial" w:hAnsi="Arial" w:cs="Arial"/>
                <w:sz w:val="24"/>
                <w:lang w:eastAsia="zh-CN"/>
              </w:rPr>
              <w:t>N</w:t>
            </w:r>
            <w:r>
              <w:rPr>
                <w:rFonts w:ascii="Arial" w:hAnsi="Arial" w:cs="Arial"/>
                <w:sz w:val="24"/>
                <w:lang w:eastAsia="zh-CN"/>
              </w:rPr>
              <w:t>’Djamena</w:t>
            </w:r>
          </w:p>
        </w:tc>
        <w:tc>
          <w:tcPr>
            <w:tcW w:w="5280" w:type="dxa"/>
            <w:tcBorders>
              <w:top w:val="nil"/>
              <w:left w:val="single" w:sz="4" w:space="0" w:color="auto"/>
              <w:bottom w:val="single" w:sz="4" w:space="0" w:color="auto"/>
              <w:right w:val="single" w:sz="4" w:space="0" w:color="auto"/>
            </w:tcBorders>
            <w:shd w:val="clear" w:color="auto" w:fill="auto"/>
            <w:noWrap/>
            <w:vAlign w:val="center"/>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Chambre froide positive</w:t>
            </w:r>
          </w:p>
        </w:tc>
        <w:tc>
          <w:tcPr>
            <w:tcW w:w="1048" w:type="dxa"/>
            <w:tcBorders>
              <w:top w:val="nil"/>
              <w:left w:val="nil"/>
              <w:bottom w:val="single" w:sz="4" w:space="0" w:color="auto"/>
              <w:right w:val="single" w:sz="4" w:space="0" w:color="auto"/>
            </w:tcBorders>
            <w:shd w:val="clear" w:color="auto" w:fill="auto"/>
            <w:noWrap/>
            <w:vAlign w:val="center"/>
            <w:hideMark/>
          </w:tcPr>
          <w:p w:rsidR="00B96900" w:rsidRPr="0028592D" w:rsidRDefault="00B96900" w:rsidP="005136AC">
            <w:pPr>
              <w:jc w:val="center"/>
              <w:rPr>
                <w:rFonts w:ascii="Arial" w:hAnsi="Arial" w:cs="Arial"/>
                <w:sz w:val="24"/>
                <w:lang w:eastAsia="zh-CN"/>
              </w:rPr>
            </w:pPr>
            <w:r w:rsidRPr="0028592D">
              <w:rPr>
                <w:rFonts w:ascii="Arial" w:hAnsi="Arial" w:cs="Arial"/>
                <w:sz w:val="24"/>
                <w:lang w:eastAsia="zh-CN"/>
              </w:rPr>
              <w:t>1</w:t>
            </w:r>
          </w:p>
        </w:tc>
        <w:tc>
          <w:tcPr>
            <w:tcW w:w="1347" w:type="dxa"/>
            <w:tcBorders>
              <w:top w:val="nil"/>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40 m3</w:t>
            </w:r>
          </w:p>
        </w:tc>
      </w:tr>
      <w:tr w:rsidR="00B96900" w:rsidRPr="0028592D" w:rsidTr="00391A75">
        <w:trPr>
          <w:trHeight w:val="346"/>
        </w:trPr>
        <w:tc>
          <w:tcPr>
            <w:tcW w:w="1288" w:type="dxa"/>
            <w:vMerge/>
            <w:tcBorders>
              <w:left w:val="single" w:sz="4" w:space="0" w:color="auto"/>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p>
        </w:tc>
        <w:tc>
          <w:tcPr>
            <w:tcW w:w="5280" w:type="dxa"/>
            <w:tcBorders>
              <w:top w:val="nil"/>
              <w:left w:val="single" w:sz="4" w:space="0" w:color="auto"/>
              <w:bottom w:val="single" w:sz="4" w:space="0" w:color="auto"/>
              <w:right w:val="single" w:sz="4" w:space="0" w:color="auto"/>
            </w:tcBorders>
            <w:shd w:val="clear" w:color="auto" w:fill="auto"/>
            <w:noWrap/>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Reprise 1 chambre froide négative nationale (non homologuée) pour la fabrication des accumulateurs</w:t>
            </w:r>
          </w:p>
        </w:tc>
        <w:tc>
          <w:tcPr>
            <w:tcW w:w="1048" w:type="dxa"/>
            <w:tcBorders>
              <w:top w:val="nil"/>
              <w:left w:val="nil"/>
              <w:bottom w:val="single" w:sz="4" w:space="0" w:color="auto"/>
              <w:right w:val="single" w:sz="4" w:space="0" w:color="auto"/>
            </w:tcBorders>
            <w:shd w:val="clear" w:color="auto" w:fill="auto"/>
            <w:noWrap/>
            <w:vAlign w:val="center"/>
          </w:tcPr>
          <w:p w:rsidR="00B96900" w:rsidRPr="0028592D" w:rsidRDefault="00B96900" w:rsidP="005136AC">
            <w:pPr>
              <w:jc w:val="center"/>
              <w:rPr>
                <w:rFonts w:ascii="Arial" w:hAnsi="Arial" w:cs="Arial"/>
                <w:sz w:val="24"/>
                <w:lang w:eastAsia="zh-CN"/>
              </w:rPr>
            </w:pPr>
            <w:r w:rsidRPr="0028592D">
              <w:rPr>
                <w:rFonts w:ascii="Arial" w:hAnsi="Arial" w:cs="Arial"/>
                <w:sz w:val="24"/>
                <w:lang w:eastAsia="zh-CN"/>
              </w:rPr>
              <w:t>1</w:t>
            </w:r>
          </w:p>
        </w:tc>
        <w:tc>
          <w:tcPr>
            <w:tcW w:w="1347" w:type="dxa"/>
            <w:tcBorders>
              <w:top w:val="nil"/>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10 m3</w:t>
            </w:r>
          </w:p>
        </w:tc>
      </w:tr>
      <w:tr w:rsidR="00B96900" w:rsidRPr="0028592D" w:rsidTr="00391A75">
        <w:trPr>
          <w:trHeight w:val="316"/>
        </w:trPr>
        <w:tc>
          <w:tcPr>
            <w:tcW w:w="1288" w:type="dxa"/>
            <w:tcBorders>
              <w:left w:val="single" w:sz="4" w:space="0" w:color="auto"/>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Abéché</w:t>
            </w:r>
          </w:p>
        </w:tc>
        <w:tc>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Chambre froide positive</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B96900" w:rsidRPr="0028592D" w:rsidRDefault="00B96900" w:rsidP="005136AC">
            <w:pPr>
              <w:jc w:val="center"/>
              <w:rPr>
                <w:rFonts w:ascii="Arial" w:hAnsi="Arial" w:cs="Arial"/>
                <w:sz w:val="24"/>
                <w:lang w:eastAsia="zh-CN"/>
              </w:rPr>
            </w:pPr>
            <w:r w:rsidRPr="0028592D">
              <w:rPr>
                <w:rFonts w:ascii="Arial" w:hAnsi="Arial" w:cs="Arial"/>
                <w:sz w:val="24"/>
                <w:lang w:eastAsia="zh-CN"/>
              </w:rPr>
              <w:t>1</w:t>
            </w:r>
          </w:p>
        </w:tc>
        <w:tc>
          <w:tcPr>
            <w:tcW w:w="1347" w:type="dxa"/>
            <w:tcBorders>
              <w:top w:val="single" w:sz="4" w:space="0" w:color="auto"/>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40 m3</w:t>
            </w:r>
          </w:p>
        </w:tc>
      </w:tr>
      <w:tr w:rsidR="00B96900" w:rsidRPr="0028592D" w:rsidTr="00391A75">
        <w:trPr>
          <w:trHeight w:val="316"/>
        </w:trPr>
        <w:tc>
          <w:tcPr>
            <w:tcW w:w="1288" w:type="dxa"/>
            <w:tcBorders>
              <w:top w:val="single" w:sz="4" w:space="0" w:color="auto"/>
              <w:left w:val="single" w:sz="4" w:space="0" w:color="auto"/>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Moundou</w:t>
            </w:r>
          </w:p>
        </w:tc>
        <w:tc>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Chambre froide positive</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B96900" w:rsidRPr="0028592D" w:rsidRDefault="00B96900" w:rsidP="005136AC">
            <w:pPr>
              <w:jc w:val="center"/>
              <w:rPr>
                <w:rFonts w:ascii="Arial" w:hAnsi="Arial" w:cs="Arial"/>
                <w:sz w:val="24"/>
                <w:lang w:eastAsia="zh-CN"/>
              </w:rPr>
            </w:pPr>
            <w:r w:rsidRPr="0028592D">
              <w:rPr>
                <w:rFonts w:ascii="Arial" w:hAnsi="Arial" w:cs="Arial"/>
                <w:sz w:val="24"/>
                <w:lang w:eastAsia="zh-CN"/>
              </w:rPr>
              <w:t>1</w:t>
            </w:r>
          </w:p>
        </w:tc>
        <w:tc>
          <w:tcPr>
            <w:tcW w:w="1347" w:type="dxa"/>
            <w:tcBorders>
              <w:top w:val="single" w:sz="4" w:space="0" w:color="auto"/>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40 m3</w:t>
            </w:r>
          </w:p>
        </w:tc>
      </w:tr>
      <w:tr w:rsidR="00B96900" w:rsidRPr="0028592D" w:rsidTr="00391A75">
        <w:trPr>
          <w:trHeight w:val="316"/>
        </w:trPr>
        <w:tc>
          <w:tcPr>
            <w:tcW w:w="1288" w:type="dxa"/>
            <w:tcBorders>
              <w:top w:val="single" w:sz="4" w:space="0" w:color="auto"/>
              <w:left w:val="single" w:sz="4" w:space="0" w:color="auto"/>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Sarh</w:t>
            </w:r>
          </w:p>
        </w:tc>
        <w:tc>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 Chambre froide positive</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B96900" w:rsidRPr="0028592D" w:rsidRDefault="00B96900" w:rsidP="005136AC">
            <w:pPr>
              <w:jc w:val="center"/>
              <w:rPr>
                <w:rFonts w:ascii="Arial" w:hAnsi="Arial" w:cs="Arial"/>
                <w:sz w:val="24"/>
                <w:lang w:eastAsia="zh-CN"/>
              </w:rPr>
            </w:pPr>
            <w:r w:rsidRPr="0028592D">
              <w:rPr>
                <w:rFonts w:ascii="Arial" w:hAnsi="Arial" w:cs="Arial"/>
                <w:sz w:val="24"/>
                <w:lang w:eastAsia="zh-CN"/>
              </w:rPr>
              <w:t>1</w:t>
            </w:r>
          </w:p>
        </w:tc>
        <w:tc>
          <w:tcPr>
            <w:tcW w:w="1347" w:type="dxa"/>
            <w:tcBorders>
              <w:top w:val="single" w:sz="4" w:space="0" w:color="auto"/>
              <w:left w:val="nil"/>
              <w:bottom w:val="single" w:sz="4" w:space="0" w:color="auto"/>
              <w:right w:val="single" w:sz="4" w:space="0" w:color="auto"/>
            </w:tcBorders>
            <w:vAlign w:val="center"/>
          </w:tcPr>
          <w:p w:rsidR="00B96900" w:rsidRPr="0028592D" w:rsidRDefault="00B96900" w:rsidP="00AE360E">
            <w:pPr>
              <w:jc w:val="both"/>
              <w:rPr>
                <w:rFonts w:ascii="Arial" w:hAnsi="Arial" w:cs="Arial"/>
                <w:sz w:val="24"/>
                <w:lang w:eastAsia="zh-CN"/>
              </w:rPr>
            </w:pPr>
            <w:r w:rsidRPr="0028592D">
              <w:rPr>
                <w:rFonts w:ascii="Arial" w:hAnsi="Arial" w:cs="Arial"/>
                <w:sz w:val="24"/>
                <w:lang w:eastAsia="zh-CN"/>
              </w:rPr>
              <w:t>40 m3</w:t>
            </w:r>
          </w:p>
        </w:tc>
      </w:tr>
    </w:tbl>
    <w:p w:rsidR="00B96900" w:rsidRDefault="00B96900" w:rsidP="00AE360E">
      <w:pPr>
        <w:jc w:val="both"/>
        <w:rPr>
          <w:rFonts w:ascii="Arial" w:eastAsia="Calibri" w:hAnsi="Arial" w:cs="Arial"/>
          <w:sz w:val="24"/>
          <w:szCs w:val="24"/>
        </w:rPr>
      </w:pPr>
    </w:p>
    <w:p w:rsidR="00B96900" w:rsidRPr="00AE360E" w:rsidRDefault="00B96900" w:rsidP="005A3157">
      <w:pPr>
        <w:pStyle w:val="ColorfulList-Accent11"/>
        <w:ind w:left="0"/>
        <w:jc w:val="both"/>
        <w:rPr>
          <w:rFonts w:ascii="Arial" w:hAnsi="Arial" w:cs="Arial"/>
          <w:b/>
          <w:sz w:val="24"/>
          <w:szCs w:val="24"/>
          <w:lang w:val="fr-FR"/>
        </w:rPr>
      </w:pPr>
      <w:r w:rsidRPr="00AE360E">
        <w:rPr>
          <w:rFonts w:ascii="Arial" w:hAnsi="Arial" w:cs="Arial"/>
          <w:b/>
          <w:sz w:val="24"/>
          <w:szCs w:val="24"/>
          <w:lang w:val="fr-FR"/>
        </w:rPr>
        <w:t>Niveau Districts</w:t>
      </w:r>
    </w:p>
    <w:p w:rsidR="00B96900" w:rsidRPr="00AE360E" w:rsidRDefault="00B96900" w:rsidP="001721D0">
      <w:pPr>
        <w:pStyle w:val="ColorfulList-Accent11"/>
        <w:ind w:left="0"/>
        <w:jc w:val="both"/>
        <w:rPr>
          <w:rFonts w:ascii="Arial" w:hAnsi="Arial" w:cs="Arial"/>
          <w:b/>
          <w:sz w:val="24"/>
          <w:szCs w:val="24"/>
          <w:lang w:val="fr-FR"/>
        </w:rPr>
      </w:pPr>
    </w:p>
    <w:p w:rsidR="00D46906" w:rsidRPr="00AE360E" w:rsidRDefault="00D46906" w:rsidP="00AE360E">
      <w:pPr>
        <w:jc w:val="both"/>
        <w:rPr>
          <w:rFonts w:ascii="Arial" w:hAnsi="Arial" w:cs="Arial"/>
          <w:b/>
          <w:u w:val="single"/>
        </w:rPr>
      </w:pPr>
      <w:r w:rsidRPr="00AE360E">
        <w:rPr>
          <w:rFonts w:ascii="Arial" w:hAnsi="Arial" w:cs="Arial"/>
          <w:b/>
          <w:u w:val="single"/>
        </w:rPr>
        <w:t>Situation actuelle:</w:t>
      </w:r>
    </w:p>
    <w:p w:rsidR="00B96900" w:rsidRPr="00AE360E" w:rsidRDefault="00B96900"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 xml:space="preserve">Conformant au plan de revitalisation, tous les districts sont passés au solaire et ont été équipés entre fin 2013 </w:t>
      </w:r>
      <w:r w:rsidR="00D46906" w:rsidRPr="00AE360E">
        <w:rPr>
          <w:rFonts w:ascii="Arial" w:hAnsi="Arial" w:cs="Arial"/>
          <w:sz w:val="24"/>
          <w:szCs w:val="24"/>
          <w:lang w:val="fr-FR"/>
        </w:rPr>
        <w:t>et début 201</w:t>
      </w:r>
      <w:r w:rsidR="0004163A" w:rsidRPr="00AE360E">
        <w:rPr>
          <w:rFonts w:ascii="Arial" w:hAnsi="Arial" w:cs="Arial"/>
          <w:sz w:val="24"/>
          <w:szCs w:val="24"/>
          <w:lang w:val="fr-FR"/>
        </w:rPr>
        <w:t>4</w:t>
      </w:r>
      <w:r w:rsidRPr="00AE360E">
        <w:rPr>
          <w:rFonts w:ascii="Arial" w:hAnsi="Arial" w:cs="Arial"/>
          <w:sz w:val="24"/>
          <w:szCs w:val="24"/>
          <w:lang w:val="fr-FR"/>
        </w:rPr>
        <w:t xml:space="preserve">de 92 réfrigérateurs solaires sans batterie de 100 litres pour </w:t>
      </w:r>
      <w:r w:rsidR="00D46906" w:rsidRPr="00AE360E">
        <w:rPr>
          <w:rFonts w:ascii="Arial" w:hAnsi="Arial" w:cs="Arial"/>
          <w:sz w:val="24"/>
          <w:szCs w:val="24"/>
          <w:lang w:val="fr-FR"/>
        </w:rPr>
        <w:t xml:space="preserve">augmenter la capacité de stockage des vaccins </w:t>
      </w:r>
      <w:r w:rsidRPr="00AE360E">
        <w:rPr>
          <w:rFonts w:ascii="Arial" w:hAnsi="Arial" w:cs="Arial"/>
          <w:sz w:val="24"/>
          <w:szCs w:val="24"/>
          <w:lang w:val="fr-FR"/>
        </w:rPr>
        <w:t>pour le PEV de routine.</w:t>
      </w:r>
    </w:p>
    <w:p w:rsidR="00B96900" w:rsidRPr="00AE360E" w:rsidRDefault="00B96900"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Actuellement</w:t>
      </w:r>
      <w:r w:rsidR="0004163A" w:rsidRPr="00AE360E">
        <w:rPr>
          <w:rFonts w:ascii="Arial" w:hAnsi="Arial" w:cs="Arial"/>
          <w:sz w:val="24"/>
          <w:szCs w:val="24"/>
          <w:lang w:val="fr-FR"/>
        </w:rPr>
        <w:t>,</w:t>
      </w:r>
      <w:r w:rsidRPr="00AE360E">
        <w:rPr>
          <w:rFonts w:ascii="Arial" w:hAnsi="Arial" w:cs="Arial"/>
          <w:sz w:val="24"/>
          <w:szCs w:val="24"/>
          <w:lang w:val="fr-FR"/>
        </w:rPr>
        <w:t xml:space="preserve"> 17 autres </w:t>
      </w:r>
      <w:r w:rsidR="0004163A" w:rsidRPr="00AE360E">
        <w:rPr>
          <w:rFonts w:ascii="Arial" w:hAnsi="Arial" w:cs="Arial"/>
          <w:sz w:val="24"/>
          <w:szCs w:val="24"/>
          <w:lang w:val="fr-FR"/>
        </w:rPr>
        <w:t>r</w:t>
      </w:r>
      <w:r w:rsidRPr="00AE360E">
        <w:rPr>
          <w:rFonts w:ascii="Arial" w:hAnsi="Arial" w:cs="Arial"/>
          <w:sz w:val="24"/>
          <w:szCs w:val="24"/>
          <w:lang w:val="fr-FR"/>
        </w:rPr>
        <w:t xml:space="preserve">éfrigérateurs de même type sont en cours d’installation pour renforcer les capacités de certains districts sanitaires critiques </w:t>
      </w:r>
      <w:r w:rsidR="0004163A" w:rsidRPr="00AE360E">
        <w:rPr>
          <w:rFonts w:ascii="Arial" w:hAnsi="Arial" w:cs="Arial"/>
          <w:sz w:val="24"/>
          <w:szCs w:val="24"/>
          <w:lang w:val="fr-FR"/>
        </w:rPr>
        <w:t>à</w:t>
      </w:r>
      <w:r w:rsidRPr="00AE360E">
        <w:rPr>
          <w:rFonts w:ascii="Arial" w:hAnsi="Arial" w:cs="Arial"/>
          <w:sz w:val="24"/>
          <w:szCs w:val="24"/>
          <w:lang w:val="fr-FR"/>
        </w:rPr>
        <w:t xml:space="preserve"> l’E</w:t>
      </w:r>
      <w:r w:rsidR="0004163A" w:rsidRPr="00AE360E">
        <w:rPr>
          <w:rFonts w:ascii="Arial" w:hAnsi="Arial" w:cs="Arial"/>
          <w:sz w:val="24"/>
          <w:szCs w:val="24"/>
          <w:lang w:val="fr-FR"/>
        </w:rPr>
        <w:t>st</w:t>
      </w:r>
      <w:r w:rsidRPr="00AE360E">
        <w:rPr>
          <w:rFonts w:ascii="Arial" w:hAnsi="Arial" w:cs="Arial"/>
          <w:sz w:val="24"/>
          <w:szCs w:val="24"/>
          <w:lang w:val="fr-FR"/>
        </w:rPr>
        <w:t xml:space="preserve">, </w:t>
      </w:r>
      <w:r w:rsidR="0004163A" w:rsidRPr="00AE360E">
        <w:rPr>
          <w:rFonts w:ascii="Arial" w:hAnsi="Arial" w:cs="Arial"/>
          <w:sz w:val="24"/>
          <w:szCs w:val="24"/>
          <w:lang w:val="fr-FR"/>
        </w:rPr>
        <w:t xml:space="preserve">au </w:t>
      </w:r>
      <w:r w:rsidRPr="00AE360E">
        <w:rPr>
          <w:rFonts w:ascii="Arial" w:hAnsi="Arial" w:cs="Arial"/>
          <w:sz w:val="24"/>
          <w:szCs w:val="24"/>
          <w:lang w:val="fr-FR"/>
        </w:rPr>
        <w:t>Sud et</w:t>
      </w:r>
      <w:r w:rsidR="0004163A" w:rsidRPr="00AE360E">
        <w:rPr>
          <w:rFonts w:ascii="Arial" w:hAnsi="Arial" w:cs="Arial"/>
          <w:sz w:val="24"/>
          <w:szCs w:val="24"/>
          <w:lang w:val="fr-FR"/>
        </w:rPr>
        <w:t xml:space="preserve"> les districts </w:t>
      </w:r>
      <w:r w:rsidRPr="00AE360E">
        <w:rPr>
          <w:rFonts w:ascii="Arial" w:hAnsi="Arial" w:cs="Arial"/>
          <w:sz w:val="24"/>
          <w:szCs w:val="24"/>
          <w:lang w:val="fr-FR"/>
        </w:rPr>
        <w:t>ACD</w:t>
      </w:r>
      <w:r w:rsidR="0004163A" w:rsidRPr="00AE360E">
        <w:rPr>
          <w:rFonts w:ascii="Arial" w:hAnsi="Arial" w:cs="Arial"/>
          <w:sz w:val="24"/>
          <w:szCs w:val="24"/>
          <w:lang w:val="fr-FR"/>
        </w:rPr>
        <w:t xml:space="preserve"> du pays</w:t>
      </w:r>
      <w:r w:rsidRPr="00AE360E">
        <w:rPr>
          <w:rFonts w:ascii="Arial" w:hAnsi="Arial" w:cs="Arial"/>
          <w:sz w:val="24"/>
          <w:szCs w:val="24"/>
          <w:lang w:val="fr-FR"/>
        </w:rPr>
        <w:t xml:space="preserve">. </w:t>
      </w:r>
      <w:r w:rsidR="0004163A" w:rsidRPr="00AE360E">
        <w:rPr>
          <w:rFonts w:ascii="Arial" w:hAnsi="Arial" w:cs="Arial"/>
          <w:sz w:val="24"/>
          <w:szCs w:val="24"/>
          <w:lang w:val="fr-FR"/>
        </w:rPr>
        <w:t xml:space="preserve">Les </w:t>
      </w:r>
      <w:r w:rsidRPr="00AE360E">
        <w:rPr>
          <w:rFonts w:ascii="Arial" w:hAnsi="Arial" w:cs="Arial"/>
          <w:sz w:val="24"/>
          <w:szCs w:val="24"/>
          <w:lang w:val="fr-FR"/>
        </w:rPr>
        <w:t>capacités de stockage à ce niveau seront portées à 100 litres pour certains districts et 200 litres brut pour d’autres selon la densité de</w:t>
      </w:r>
      <w:r w:rsidR="0004163A" w:rsidRPr="00AE360E">
        <w:rPr>
          <w:rFonts w:ascii="Arial" w:hAnsi="Arial" w:cs="Arial"/>
          <w:sz w:val="24"/>
          <w:szCs w:val="24"/>
          <w:lang w:val="fr-FR"/>
        </w:rPr>
        <w:t xml:space="preserve"> la </w:t>
      </w:r>
      <w:r w:rsidRPr="00AE360E">
        <w:rPr>
          <w:rFonts w:ascii="Arial" w:hAnsi="Arial" w:cs="Arial"/>
          <w:sz w:val="24"/>
          <w:szCs w:val="24"/>
          <w:lang w:val="fr-FR"/>
        </w:rPr>
        <w:t xml:space="preserve"> population. </w:t>
      </w:r>
    </w:p>
    <w:p w:rsidR="00B96900" w:rsidRPr="00AE360E" w:rsidRDefault="00B96900" w:rsidP="00AE360E">
      <w:pPr>
        <w:pStyle w:val="ColorfulList-Accent11"/>
        <w:ind w:left="0"/>
        <w:jc w:val="both"/>
        <w:rPr>
          <w:rFonts w:ascii="Arial" w:hAnsi="Arial" w:cs="Arial"/>
          <w:sz w:val="24"/>
          <w:szCs w:val="24"/>
          <w:lang w:val="fr-FR"/>
        </w:rPr>
      </w:pPr>
    </w:p>
    <w:p w:rsidR="00B96900" w:rsidRPr="00AE360E" w:rsidRDefault="00B96900" w:rsidP="00AE360E">
      <w:pPr>
        <w:pStyle w:val="ColorfulList-Accent11"/>
        <w:ind w:left="0"/>
        <w:jc w:val="both"/>
        <w:rPr>
          <w:rFonts w:ascii="Arial" w:hAnsi="Arial" w:cs="Arial"/>
          <w:sz w:val="24"/>
          <w:szCs w:val="24"/>
          <w:lang w:val="fr-FR"/>
        </w:rPr>
      </w:pPr>
      <w:r w:rsidRPr="005622E9">
        <w:rPr>
          <w:rFonts w:ascii="Arial" w:hAnsi="Arial" w:cs="Arial"/>
          <w:b/>
          <w:sz w:val="24"/>
          <w:szCs w:val="24"/>
          <w:u w:val="single"/>
          <w:lang w:val="fr-FR"/>
        </w:rPr>
        <w:t>N</w:t>
      </w:r>
      <w:r w:rsidR="005622E9" w:rsidRPr="005622E9">
        <w:rPr>
          <w:rFonts w:ascii="Arial" w:hAnsi="Arial" w:cs="Arial"/>
          <w:b/>
          <w:sz w:val="24"/>
          <w:szCs w:val="24"/>
          <w:u w:val="single"/>
          <w:lang w:val="fr-FR"/>
        </w:rPr>
        <w:t>B</w:t>
      </w:r>
      <w:r w:rsidRPr="00AE360E">
        <w:rPr>
          <w:rFonts w:ascii="Arial" w:hAnsi="Arial" w:cs="Arial"/>
          <w:sz w:val="24"/>
          <w:szCs w:val="24"/>
          <w:lang w:val="fr-FR"/>
        </w:rPr>
        <w:t xml:space="preserve"> : Les réfrigérateurs  existants dans les districts, à savoir : </w:t>
      </w:r>
      <w:r w:rsidR="009F5690" w:rsidRPr="00AE360E">
        <w:rPr>
          <w:rFonts w:ascii="Arial" w:hAnsi="Arial" w:cs="Arial"/>
          <w:sz w:val="24"/>
          <w:szCs w:val="24"/>
          <w:lang w:val="fr-FR"/>
        </w:rPr>
        <w:t>5</w:t>
      </w:r>
      <w:r w:rsidRPr="00AE360E">
        <w:rPr>
          <w:rFonts w:ascii="Arial" w:hAnsi="Arial" w:cs="Arial"/>
          <w:sz w:val="24"/>
          <w:szCs w:val="24"/>
          <w:lang w:val="fr-FR"/>
        </w:rPr>
        <w:t xml:space="preserve">5 réfrigérateurs </w:t>
      </w:r>
      <w:r w:rsidR="00B15CA1" w:rsidRPr="00AE360E">
        <w:rPr>
          <w:rFonts w:ascii="Arial" w:hAnsi="Arial" w:cs="Arial"/>
          <w:sz w:val="24"/>
          <w:szCs w:val="24"/>
          <w:lang w:val="fr-FR"/>
        </w:rPr>
        <w:t xml:space="preserve">seront déployés dans </w:t>
      </w:r>
      <w:r w:rsidRPr="00AE360E">
        <w:rPr>
          <w:rFonts w:ascii="Arial" w:hAnsi="Arial" w:cs="Arial"/>
          <w:sz w:val="24"/>
          <w:szCs w:val="24"/>
          <w:lang w:val="fr-FR"/>
        </w:rPr>
        <w:t>les centres de santé</w:t>
      </w:r>
      <w:r w:rsidR="00B15CA1" w:rsidRPr="00AE360E">
        <w:rPr>
          <w:rFonts w:ascii="Arial" w:hAnsi="Arial" w:cs="Arial"/>
          <w:sz w:val="24"/>
          <w:szCs w:val="24"/>
          <w:lang w:val="fr-FR"/>
        </w:rPr>
        <w:t xml:space="preserve"> tandis que l</w:t>
      </w:r>
      <w:r w:rsidRPr="00AE360E">
        <w:rPr>
          <w:rFonts w:ascii="Arial" w:hAnsi="Arial" w:cs="Arial"/>
          <w:sz w:val="24"/>
          <w:szCs w:val="24"/>
          <w:lang w:val="fr-FR"/>
        </w:rPr>
        <w:t xml:space="preserve">es 77 congélateurs MF 314 </w:t>
      </w:r>
      <w:r w:rsidR="009F5690" w:rsidRPr="00AE360E">
        <w:rPr>
          <w:rFonts w:ascii="Arial" w:hAnsi="Arial" w:cs="Arial"/>
          <w:sz w:val="24"/>
          <w:szCs w:val="24"/>
          <w:lang w:val="fr-FR"/>
        </w:rPr>
        <w:t xml:space="preserve">et les 40 Vestfrost MK 304 présents dans les districts </w:t>
      </w:r>
      <w:r w:rsidRPr="00AE360E">
        <w:rPr>
          <w:rFonts w:ascii="Arial" w:hAnsi="Arial" w:cs="Arial"/>
          <w:sz w:val="24"/>
          <w:szCs w:val="24"/>
          <w:lang w:val="fr-FR"/>
        </w:rPr>
        <w:t xml:space="preserve">seront </w:t>
      </w:r>
      <w:r w:rsidR="00061AFF" w:rsidRPr="00AE360E">
        <w:rPr>
          <w:rFonts w:ascii="Arial" w:hAnsi="Arial" w:cs="Arial"/>
          <w:sz w:val="24"/>
          <w:szCs w:val="24"/>
          <w:lang w:val="fr-FR"/>
        </w:rPr>
        <w:t>renforcé</w:t>
      </w:r>
      <w:r w:rsidR="00B15CA1" w:rsidRPr="00AE360E">
        <w:rPr>
          <w:rFonts w:ascii="Arial" w:hAnsi="Arial" w:cs="Arial"/>
          <w:sz w:val="24"/>
          <w:szCs w:val="24"/>
          <w:lang w:val="fr-FR"/>
        </w:rPr>
        <w:t xml:space="preserve">s </w:t>
      </w:r>
      <w:r w:rsidRPr="00AE360E">
        <w:rPr>
          <w:rFonts w:ascii="Arial" w:hAnsi="Arial" w:cs="Arial"/>
          <w:sz w:val="24"/>
          <w:szCs w:val="24"/>
          <w:lang w:val="fr-FR"/>
        </w:rPr>
        <w:t>par ceux des régions</w:t>
      </w:r>
      <w:r w:rsidR="00B15CA1" w:rsidRPr="00AE360E">
        <w:rPr>
          <w:rFonts w:ascii="Arial" w:hAnsi="Arial" w:cs="Arial"/>
          <w:sz w:val="24"/>
          <w:szCs w:val="24"/>
          <w:lang w:val="fr-FR"/>
        </w:rPr>
        <w:t>. U</w:t>
      </w:r>
      <w:r w:rsidRPr="00AE360E">
        <w:rPr>
          <w:rFonts w:ascii="Arial" w:hAnsi="Arial" w:cs="Arial"/>
          <w:sz w:val="24"/>
          <w:szCs w:val="24"/>
          <w:lang w:val="fr-FR"/>
        </w:rPr>
        <w:t xml:space="preserve">ne commande de 36 unités </w:t>
      </w:r>
      <w:r w:rsidR="00061AFF" w:rsidRPr="00AE360E">
        <w:rPr>
          <w:rFonts w:ascii="Arial" w:hAnsi="Arial" w:cs="Arial"/>
          <w:sz w:val="24"/>
          <w:szCs w:val="24"/>
          <w:lang w:val="fr-FR"/>
        </w:rPr>
        <w:t>est en cours sur les fonds RS</w:t>
      </w:r>
      <w:r w:rsidR="0064079B" w:rsidRPr="00AE360E">
        <w:rPr>
          <w:rFonts w:ascii="Arial" w:hAnsi="Arial" w:cs="Arial"/>
          <w:sz w:val="24"/>
          <w:szCs w:val="24"/>
          <w:lang w:val="fr-FR"/>
        </w:rPr>
        <w:t>S</w:t>
      </w:r>
      <w:r w:rsidRPr="00AE360E">
        <w:rPr>
          <w:rFonts w:ascii="Arial" w:hAnsi="Arial" w:cs="Arial"/>
          <w:sz w:val="24"/>
          <w:szCs w:val="24"/>
          <w:lang w:val="fr-FR"/>
        </w:rPr>
        <w:t>pour a</w:t>
      </w:r>
      <w:r w:rsidR="00B15CA1" w:rsidRPr="00AE360E">
        <w:rPr>
          <w:rFonts w:ascii="Arial" w:hAnsi="Arial" w:cs="Arial"/>
          <w:sz w:val="24"/>
          <w:szCs w:val="24"/>
          <w:lang w:val="fr-FR"/>
        </w:rPr>
        <w:t>ugmenter la capacité de stockage au niveau des districts.</w:t>
      </w:r>
    </w:p>
    <w:p w:rsidR="00B96900" w:rsidRPr="00AE360E" w:rsidRDefault="00B96900" w:rsidP="00AE360E">
      <w:pPr>
        <w:pStyle w:val="ColorfulList-Accent11"/>
        <w:ind w:left="0"/>
        <w:jc w:val="both"/>
        <w:rPr>
          <w:rFonts w:ascii="Arial" w:hAnsi="Arial" w:cs="Arial"/>
          <w:b/>
          <w:sz w:val="24"/>
          <w:szCs w:val="24"/>
          <w:lang w:val="fr-FR"/>
        </w:rPr>
      </w:pPr>
    </w:p>
    <w:p w:rsidR="00B96900" w:rsidRPr="00AE360E" w:rsidRDefault="00213AC6" w:rsidP="00AF2EE4">
      <w:pPr>
        <w:pStyle w:val="ColorfulList-Accent11"/>
        <w:ind w:left="0"/>
        <w:jc w:val="both"/>
        <w:rPr>
          <w:rFonts w:ascii="Arial" w:hAnsi="Arial" w:cs="Arial"/>
          <w:b/>
          <w:sz w:val="24"/>
          <w:szCs w:val="24"/>
          <w:lang w:val="fr-FR"/>
        </w:rPr>
      </w:pPr>
      <w:r w:rsidRPr="00AE360E">
        <w:rPr>
          <w:rFonts w:ascii="Arial" w:hAnsi="Arial" w:cs="Arial"/>
          <w:b/>
          <w:sz w:val="24"/>
          <w:szCs w:val="24"/>
          <w:lang w:val="fr-FR"/>
        </w:rPr>
        <w:t>Situation au niveau des</w:t>
      </w:r>
      <w:r w:rsidR="00B96900" w:rsidRPr="00AE360E">
        <w:rPr>
          <w:rFonts w:ascii="Arial" w:hAnsi="Arial" w:cs="Arial"/>
          <w:b/>
          <w:sz w:val="24"/>
          <w:szCs w:val="24"/>
          <w:lang w:val="fr-FR"/>
        </w:rPr>
        <w:t xml:space="preserve"> Zone</w:t>
      </w:r>
      <w:r w:rsidRPr="00AE360E">
        <w:rPr>
          <w:rFonts w:ascii="Arial" w:hAnsi="Arial" w:cs="Arial"/>
          <w:b/>
          <w:sz w:val="24"/>
          <w:szCs w:val="24"/>
          <w:lang w:val="fr-FR"/>
        </w:rPr>
        <w:t>s</w:t>
      </w:r>
      <w:r w:rsidR="00B96900" w:rsidRPr="00AE360E">
        <w:rPr>
          <w:rFonts w:ascii="Arial" w:hAnsi="Arial" w:cs="Arial"/>
          <w:b/>
          <w:sz w:val="24"/>
          <w:szCs w:val="24"/>
          <w:lang w:val="fr-FR"/>
        </w:rPr>
        <w:t xml:space="preserve"> de responsabilité</w:t>
      </w:r>
      <w:r w:rsidRPr="00AE360E">
        <w:rPr>
          <w:rFonts w:ascii="Arial" w:hAnsi="Arial" w:cs="Arial"/>
          <w:b/>
          <w:sz w:val="24"/>
          <w:szCs w:val="24"/>
          <w:lang w:val="fr-FR"/>
        </w:rPr>
        <w:t>/ Centres de santé.</w:t>
      </w:r>
    </w:p>
    <w:p w:rsidR="00B96900" w:rsidRPr="00AE360E" w:rsidRDefault="00B96900" w:rsidP="00AE360E">
      <w:pPr>
        <w:pStyle w:val="ColorfulList-Accent11"/>
        <w:ind w:left="0"/>
        <w:jc w:val="both"/>
        <w:rPr>
          <w:rFonts w:ascii="Arial" w:hAnsi="Arial" w:cs="Arial"/>
          <w:sz w:val="24"/>
          <w:szCs w:val="24"/>
          <w:lang w:val="fr-FR"/>
        </w:rPr>
      </w:pPr>
    </w:p>
    <w:p w:rsidR="00B96900" w:rsidRPr="00AE360E" w:rsidRDefault="00B96900" w:rsidP="00AE360E">
      <w:pPr>
        <w:pStyle w:val="ColorfulList-Accent11"/>
        <w:ind w:left="0"/>
        <w:jc w:val="both"/>
        <w:rPr>
          <w:rFonts w:ascii="Arial" w:hAnsi="Arial" w:cs="Arial"/>
          <w:sz w:val="24"/>
          <w:szCs w:val="24"/>
          <w:lang w:val="fr-FR"/>
        </w:rPr>
      </w:pPr>
      <w:r w:rsidRPr="00AE360E">
        <w:rPr>
          <w:rFonts w:ascii="Arial" w:hAnsi="Arial" w:cs="Arial"/>
          <w:sz w:val="24"/>
          <w:szCs w:val="24"/>
          <w:lang w:val="fr-FR"/>
        </w:rPr>
        <w:t>A ce niveau, Tous les réfrigérateurs Sibir présentement utilisés dans les districts sanitaires seront redéployés dans les centres de santé</w:t>
      </w:r>
      <w:r w:rsidR="009F5690" w:rsidRPr="00AE360E">
        <w:rPr>
          <w:rFonts w:ascii="Arial" w:hAnsi="Arial" w:cs="Arial"/>
          <w:sz w:val="24"/>
          <w:szCs w:val="24"/>
          <w:lang w:val="fr-FR"/>
        </w:rPr>
        <w:t xml:space="preserve"> (4 Electrolux, 51 Sibir)</w:t>
      </w:r>
      <w:r w:rsidRPr="00AE360E">
        <w:rPr>
          <w:rFonts w:ascii="Arial" w:hAnsi="Arial" w:cs="Arial"/>
          <w:sz w:val="24"/>
          <w:szCs w:val="24"/>
          <w:lang w:val="fr-FR"/>
        </w:rPr>
        <w:t xml:space="preserve"> qui </w:t>
      </w:r>
      <w:r w:rsidRPr="00AE360E">
        <w:rPr>
          <w:rFonts w:ascii="Arial" w:hAnsi="Arial" w:cs="Arial"/>
          <w:sz w:val="24"/>
          <w:szCs w:val="24"/>
          <w:lang w:val="fr-FR"/>
        </w:rPr>
        <w:lastRenderedPageBreak/>
        <w:t>déjà disposent de 770 réfrigérateurs dont 616 Sibir, 84 Electrolux et 70 d’autres types soit 88 % de couverture. 32 réfrigérateurs solaires TCW 2000 SDD sont en cours d’installation dans 32 centres de santé dans les districts ACD.</w:t>
      </w:r>
    </w:p>
    <w:p w:rsidR="000F665E" w:rsidRPr="00AE360E" w:rsidRDefault="000F665E" w:rsidP="00AE360E">
      <w:pPr>
        <w:pStyle w:val="Paragraphedeliste"/>
        <w:numPr>
          <w:ilvl w:val="0"/>
          <w:numId w:val="20"/>
        </w:numPr>
        <w:spacing w:before="120" w:after="120"/>
        <w:ind w:left="644" w:right="235"/>
        <w:contextualSpacing w:val="0"/>
        <w:jc w:val="both"/>
        <w:rPr>
          <w:rFonts w:ascii="Arial" w:hAnsi="Arial" w:cs="Arial"/>
          <w:b/>
          <w:sz w:val="24"/>
          <w:szCs w:val="24"/>
        </w:rPr>
      </w:pPr>
      <w:r w:rsidRPr="00AE360E">
        <w:rPr>
          <w:rFonts w:ascii="Arial" w:hAnsi="Arial" w:cs="Arial"/>
          <w:b/>
          <w:sz w:val="24"/>
          <w:szCs w:val="24"/>
        </w:rPr>
        <w:t xml:space="preserve"> disponibilité des fonds nécessaires </w:t>
      </w:r>
      <w:r w:rsidR="00B61858" w:rsidRPr="00AE360E">
        <w:rPr>
          <w:rFonts w:ascii="Arial" w:hAnsi="Arial" w:cs="Arial"/>
          <w:b/>
          <w:sz w:val="24"/>
          <w:szCs w:val="24"/>
        </w:rPr>
        <w:t>au</w:t>
      </w:r>
      <w:r w:rsidRPr="00AE360E">
        <w:rPr>
          <w:rFonts w:ascii="Arial" w:hAnsi="Arial" w:cs="Arial"/>
          <w:b/>
          <w:sz w:val="24"/>
          <w:szCs w:val="24"/>
        </w:rPr>
        <w:t xml:space="preserve"> niveau local pour payer l’électricité et assurer la maintenance des nouveaux équipements de la chaîne du froid.  </w:t>
      </w:r>
    </w:p>
    <w:p w:rsidR="000F665E" w:rsidRPr="008A3AE0" w:rsidRDefault="000F665E" w:rsidP="00AE360E">
      <w:pPr>
        <w:spacing w:before="120"/>
        <w:jc w:val="both"/>
        <w:rPr>
          <w:rFonts w:ascii="Arial" w:hAnsi="Arial" w:cs="Arial"/>
          <w:sz w:val="24"/>
          <w:szCs w:val="24"/>
          <w:lang w:val="fr-CH"/>
        </w:rPr>
      </w:pPr>
      <w:r w:rsidRPr="008A3AE0">
        <w:rPr>
          <w:rFonts w:ascii="Arial" w:hAnsi="Arial" w:cs="Arial"/>
          <w:sz w:val="24"/>
          <w:szCs w:val="24"/>
          <w:lang w:val="fr-CH"/>
        </w:rPr>
        <w:t>Les frais d’électricité des structures de santé à tous les niveaux sont toujours pris en charge par l’Etat.</w:t>
      </w:r>
    </w:p>
    <w:p w:rsidR="00B96900" w:rsidRPr="008A3AE0" w:rsidRDefault="001162EE" w:rsidP="00AE360E">
      <w:pPr>
        <w:spacing w:before="120"/>
        <w:jc w:val="both"/>
        <w:rPr>
          <w:rFonts w:ascii="Arial" w:hAnsi="Arial" w:cs="Arial"/>
          <w:sz w:val="24"/>
          <w:szCs w:val="24"/>
          <w:lang w:val="fr-CH"/>
        </w:rPr>
      </w:pPr>
      <w:r w:rsidRPr="008A3AE0">
        <w:rPr>
          <w:rFonts w:ascii="Arial" w:hAnsi="Arial" w:cs="Arial"/>
          <w:sz w:val="24"/>
          <w:szCs w:val="24"/>
        </w:rPr>
        <w:t>I</w:t>
      </w:r>
      <w:r w:rsidR="00B96900" w:rsidRPr="008A3AE0">
        <w:rPr>
          <w:rFonts w:ascii="Arial" w:hAnsi="Arial" w:cs="Arial"/>
          <w:sz w:val="24"/>
          <w:szCs w:val="24"/>
          <w:lang w:val="fr-CH"/>
        </w:rPr>
        <w:t xml:space="preserve">l existe </w:t>
      </w:r>
      <w:r w:rsidR="002B1B10" w:rsidRPr="008A3AE0">
        <w:rPr>
          <w:rFonts w:ascii="Arial" w:hAnsi="Arial" w:cs="Arial"/>
          <w:sz w:val="24"/>
          <w:szCs w:val="24"/>
          <w:lang w:val="fr-CH"/>
        </w:rPr>
        <w:t xml:space="preserve">au sein </w:t>
      </w:r>
      <w:r w:rsidR="00B96900" w:rsidRPr="008A3AE0">
        <w:rPr>
          <w:rFonts w:ascii="Arial" w:hAnsi="Arial" w:cs="Arial"/>
          <w:sz w:val="24"/>
          <w:szCs w:val="24"/>
          <w:lang w:val="fr-CH"/>
        </w:rPr>
        <w:t xml:space="preserve">de la division de la vaccination, </w:t>
      </w:r>
      <w:r w:rsidR="002B1B10" w:rsidRPr="008A3AE0">
        <w:rPr>
          <w:rFonts w:ascii="Arial" w:hAnsi="Arial" w:cs="Arial"/>
          <w:sz w:val="24"/>
          <w:szCs w:val="24"/>
          <w:lang w:val="fr-CH"/>
        </w:rPr>
        <w:t>u</w:t>
      </w:r>
      <w:r w:rsidR="00B96900" w:rsidRPr="008A3AE0">
        <w:rPr>
          <w:rFonts w:ascii="Arial" w:hAnsi="Arial" w:cs="Arial"/>
          <w:sz w:val="24"/>
          <w:szCs w:val="24"/>
          <w:lang w:val="fr-CH"/>
        </w:rPr>
        <w:t xml:space="preserve">ne section Maintenance au sein du service logistique. Cette unité </w:t>
      </w:r>
      <w:r w:rsidR="002B1B10" w:rsidRPr="008A3AE0">
        <w:rPr>
          <w:rFonts w:ascii="Arial" w:hAnsi="Arial" w:cs="Arial"/>
          <w:sz w:val="24"/>
          <w:szCs w:val="24"/>
          <w:lang w:val="fr-CH"/>
        </w:rPr>
        <w:t xml:space="preserve">est </w:t>
      </w:r>
      <w:r w:rsidR="00B96900" w:rsidRPr="008A3AE0">
        <w:rPr>
          <w:rFonts w:ascii="Arial" w:hAnsi="Arial" w:cs="Arial"/>
          <w:sz w:val="24"/>
          <w:szCs w:val="24"/>
          <w:lang w:val="fr-CH"/>
        </w:rPr>
        <w:t>chargée de la maintenance de la chaîne de froid</w:t>
      </w:r>
      <w:r w:rsidR="002B1B10" w:rsidRPr="008A3AE0">
        <w:rPr>
          <w:rFonts w:ascii="Arial" w:hAnsi="Arial" w:cs="Arial"/>
          <w:sz w:val="24"/>
          <w:szCs w:val="24"/>
          <w:lang w:val="fr-CH"/>
        </w:rPr>
        <w:t xml:space="preserve"> a tous les niveaux</w:t>
      </w:r>
      <w:r w:rsidR="00B96900" w:rsidRPr="008A3AE0">
        <w:rPr>
          <w:rFonts w:ascii="Arial" w:hAnsi="Arial" w:cs="Arial"/>
          <w:b/>
          <w:sz w:val="24"/>
          <w:szCs w:val="24"/>
          <w:lang w:val="fr-CH"/>
        </w:rPr>
        <w:t xml:space="preserve">. </w:t>
      </w:r>
      <w:r w:rsidR="002B1B10" w:rsidRPr="008A3AE0">
        <w:rPr>
          <w:rFonts w:ascii="Arial" w:hAnsi="Arial" w:cs="Arial"/>
          <w:sz w:val="24"/>
          <w:szCs w:val="24"/>
          <w:lang w:val="fr-CH"/>
        </w:rPr>
        <w:t>Il est envisagé de la rendre plus opérationnelle en tenant compte de toutes les opportunités  (ATM, RSS GAVI ….)</w:t>
      </w:r>
      <w:r w:rsidR="00B96900" w:rsidRPr="008A3AE0">
        <w:rPr>
          <w:rFonts w:ascii="Arial" w:hAnsi="Arial" w:cs="Arial"/>
          <w:sz w:val="24"/>
          <w:szCs w:val="24"/>
          <w:lang w:val="fr-CH"/>
        </w:rPr>
        <w:t xml:space="preserve">. </w:t>
      </w:r>
    </w:p>
    <w:p w:rsidR="00B96900" w:rsidRPr="008A3AE0" w:rsidRDefault="00971327" w:rsidP="00AE360E">
      <w:pPr>
        <w:spacing w:before="120"/>
        <w:jc w:val="both"/>
        <w:rPr>
          <w:rFonts w:ascii="Arial" w:hAnsi="Arial" w:cs="Arial"/>
          <w:sz w:val="24"/>
          <w:szCs w:val="24"/>
        </w:rPr>
      </w:pPr>
      <w:r w:rsidRPr="008A3AE0">
        <w:rPr>
          <w:rFonts w:ascii="Arial" w:hAnsi="Arial" w:cs="Arial"/>
          <w:sz w:val="24"/>
          <w:szCs w:val="24"/>
          <w:lang w:val="fr-CH"/>
        </w:rPr>
        <w:t xml:space="preserve"> A cet effet,</w:t>
      </w:r>
      <w:r w:rsidR="001162EE" w:rsidRPr="008A3AE0">
        <w:rPr>
          <w:rFonts w:ascii="Arial" w:hAnsi="Arial" w:cs="Arial"/>
          <w:sz w:val="24"/>
          <w:szCs w:val="24"/>
          <w:lang w:val="fr-CH"/>
        </w:rPr>
        <w:t xml:space="preserve"> 8 techniciens de la maintenance ont été </w:t>
      </w:r>
      <w:r w:rsidR="00446988" w:rsidRPr="008A3AE0">
        <w:rPr>
          <w:rFonts w:ascii="Arial" w:hAnsi="Arial" w:cs="Arial"/>
          <w:sz w:val="24"/>
          <w:szCs w:val="24"/>
          <w:lang w:val="fr-CH"/>
        </w:rPr>
        <w:t>identifiés</w:t>
      </w:r>
      <w:r w:rsidR="001162EE" w:rsidRPr="008A3AE0">
        <w:rPr>
          <w:rFonts w:ascii="Arial" w:hAnsi="Arial" w:cs="Arial"/>
          <w:sz w:val="24"/>
          <w:szCs w:val="24"/>
          <w:lang w:val="fr-CH"/>
        </w:rPr>
        <w:t xml:space="preserve"> et formes</w:t>
      </w:r>
      <w:r w:rsidR="00446988" w:rsidRPr="008A3AE0">
        <w:rPr>
          <w:rFonts w:ascii="Arial" w:hAnsi="Arial" w:cs="Arial"/>
          <w:sz w:val="24"/>
          <w:szCs w:val="24"/>
          <w:lang w:val="fr-CH"/>
        </w:rPr>
        <w:t xml:space="preserve"> pour être déployé dans l</w:t>
      </w:r>
      <w:r w:rsidR="00E84D87">
        <w:rPr>
          <w:rFonts w:ascii="Arial" w:hAnsi="Arial" w:cs="Arial"/>
          <w:sz w:val="24"/>
          <w:szCs w:val="24"/>
          <w:lang w:val="fr-CH"/>
        </w:rPr>
        <w:t>es dépôts sub</w:t>
      </w:r>
      <w:r w:rsidR="00446988" w:rsidRPr="008A3AE0">
        <w:rPr>
          <w:rFonts w:ascii="Arial" w:hAnsi="Arial" w:cs="Arial"/>
          <w:sz w:val="24"/>
          <w:szCs w:val="24"/>
          <w:lang w:val="fr-CH"/>
        </w:rPr>
        <w:t>nationaux</w:t>
      </w:r>
      <w:r w:rsidR="001162EE" w:rsidRPr="008A3AE0">
        <w:rPr>
          <w:rFonts w:ascii="Arial" w:hAnsi="Arial" w:cs="Arial"/>
          <w:sz w:val="24"/>
          <w:szCs w:val="24"/>
          <w:lang w:val="fr-CH"/>
        </w:rPr>
        <w:t xml:space="preserve">, malheureusement ce personnel </w:t>
      </w:r>
      <w:r w:rsidR="00446988" w:rsidRPr="008A3AE0">
        <w:rPr>
          <w:rFonts w:ascii="Arial" w:hAnsi="Arial" w:cs="Arial"/>
          <w:sz w:val="24"/>
          <w:szCs w:val="24"/>
          <w:lang w:val="fr-CH"/>
        </w:rPr>
        <w:t>n’a</w:t>
      </w:r>
      <w:r w:rsidR="001162EE" w:rsidRPr="008A3AE0">
        <w:rPr>
          <w:rFonts w:ascii="Arial" w:hAnsi="Arial" w:cs="Arial"/>
          <w:sz w:val="24"/>
          <w:szCs w:val="24"/>
          <w:lang w:val="fr-CH"/>
        </w:rPr>
        <w:t xml:space="preserve"> pu  </w:t>
      </w:r>
      <w:r w:rsidR="00446988" w:rsidRPr="008A3AE0">
        <w:rPr>
          <w:rFonts w:ascii="Arial" w:hAnsi="Arial" w:cs="Arial"/>
          <w:sz w:val="24"/>
          <w:szCs w:val="24"/>
          <w:lang w:val="fr-CH"/>
        </w:rPr>
        <w:t>être a</w:t>
      </w:r>
      <w:r w:rsidR="00E84D87">
        <w:rPr>
          <w:rFonts w:ascii="Arial" w:hAnsi="Arial" w:cs="Arial"/>
          <w:sz w:val="24"/>
          <w:szCs w:val="24"/>
          <w:lang w:val="fr-CH"/>
        </w:rPr>
        <w:t>ffecte au niveau des dépôts sub</w:t>
      </w:r>
      <w:r w:rsidR="00446988" w:rsidRPr="008A3AE0">
        <w:rPr>
          <w:rFonts w:ascii="Arial" w:hAnsi="Arial" w:cs="Arial"/>
          <w:sz w:val="24"/>
          <w:szCs w:val="24"/>
          <w:lang w:val="fr-CH"/>
        </w:rPr>
        <w:t xml:space="preserve">nationaux. La  réflexion  continue pour pallier à cette question cruciale. En l’état actuel des choses, le niveau central assure la maintenance en cas de </w:t>
      </w:r>
      <w:r w:rsidRPr="008A3AE0">
        <w:rPr>
          <w:rFonts w:ascii="Arial" w:hAnsi="Arial" w:cs="Arial"/>
          <w:sz w:val="24"/>
          <w:szCs w:val="24"/>
          <w:lang w:val="fr-CH"/>
        </w:rPr>
        <w:t>besoin exprime par les régions et distr</w:t>
      </w:r>
      <w:r w:rsidR="00061AFF" w:rsidRPr="008A3AE0">
        <w:rPr>
          <w:rFonts w:ascii="Arial" w:hAnsi="Arial" w:cs="Arial"/>
          <w:sz w:val="24"/>
          <w:szCs w:val="24"/>
          <w:lang w:val="fr-CH"/>
        </w:rPr>
        <w:t>i</w:t>
      </w:r>
      <w:r w:rsidRPr="008A3AE0">
        <w:rPr>
          <w:rFonts w:ascii="Arial" w:hAnsi="Arial" w:cs="Arial"/>
          <w:sz w:val="24"/>
          <w:szCs w:val="24"/>
          <w:lang w:val="fr-CH"/>
        </w:rPr>
        <w:t>cts.</w:t>
      </w:r>
    </w:p>
    <w:p w:rsidR="00C81E0C" w:rsidRPr="00F30D5C" w:rsidRDefault="00C81E0C" w:rsidP="00AE360E">
      <w:pPr>
        <w:pStyle w:val="Style3"/>
        <w:spacing w:line="276" w:lineRule="auto"/>
        <w:jc w:val="both"/>
        <w:rPr>
          <w:rFonts w:ascii="Arial" w:hAnsi="Arial" w:cs="Arial"/>
          <w:color w:val="auto"/>
          <w:lang w:val="fr-FR"/>
        </w:rPr>
      </w:pPr>
      <w:bookmarkStart w:id="11" w:name="_Toc397522417"/>
      <w:r w:rsidRPr="00F30D5C">
        <w:rPr>
          <w:rFonts w:ascii="Arial" w:hAnsi="Arial" w:cs="Arial"/>
          <w:color w:val="auto"/>
          <w:lang w:val="fr-FR"/>
        </w:rPr>
        <w:t>Gestion des déchets et sécurité des injections</w:t>
      </w:r>
      <w:bookmarkEnd w:id="11"/>
    </w:p>
    <w:p w:rsidR="00701119" w:rsidRPr="00AE360E" w:rsidRDefault="00701119" w:rsidP="00AE360E">
      <w:pPr>
        <w:autoSpaceDE w:val="0"/>
        <w:autoSpaceDN w:val="0"/>
        <w:adjustRightInd w:val="0"/>
        <w:spacing w:after="0"/>
        <w:jc w:val="both"/>
        <w:rPr>
          <w:rFonts w:ascii="Arial" w:hAnsi="Arial" w:cs="Arial"/>
        </w:rPr>
      </w:pPr>
    </w:p>
    <w:p w:rsidR="00DD1036" w:rsidRPr="008A3AE0" w:rsidRDefault="00DD1036" w:rsidP="00AE360E">
      <w:pPr>
        <w:autoSpaceDE w:val="0"/>
        <w:autoSpaceDN w:val="0"/>
        <w:adjustRightInd w:val="0"/>
        <w:spacing w:after="0"/>
        <w:jc w:val="both"/>
        <w:rPr>
          <w:rFonts w:ascii="Arial" w:hAnsi="Arial" w:cs="Arial"/>
          <w:sz w:val="24"/>
        </w:rPr>
      </w:pPr>
      <w:r w:rsidRPr="008A3AE0">
        <w:rPr>
          <w:rFonts w:ascii="Arial" w:hAnsi="Arial" w:cs="Arial"/>
          <w:sz w:val="24"/>
        </w:rPr>
        <w:t xml:space="preserve">La politique </w:t>
      </w:r>
      <w:r w:rsidR="0099429E" w:rsidRPr="008A3AE0">
        <w:rPr>
          <w:rFonts w:ascii="Arial" w:hAnsi="Arial" w:cs="Arial"/>
          <w:sz w:val="24"/>
        </w:rPr>
        <w:t>actuellerecommande</w:t>
      </w:r>
      <w:r w:rsidRPr="008A3AE0">
        <w:rPr>
          <w:rFonts w:ascii="Arial" w:hAnsi="Arial" w:cs="Arial"/>
          <w:sz w:val="24"/>
        </w:rPr>
        <w:t xml:space="preserve"> en </w:t>
      </w:r>
      <w:r w:rsidR="0099429E" w:rsidRPr="008A3AE0">
        <w:rPr>
          <w:rFonts w:ascii="Arial" w:hAnsi="Arial" w:cs="Arial"/>
          <w:sz w:val="24"/>
        </w:rPr>
        <w:t>matière</w:t>
      </w:r>
      <w:r w:rsidRPr="008A3AE0">
        <w:rPr>
          <w:rFonts w:ascii="Arial" w:hAnsi="Arial" w:cs="Arial"/>
          <w:sz w:val="24"/>
        </w:rPr>
        <w:t xml:space="preserve"> de la </w:t>
      </w:r>
      <w:r w:rsidR="0099429E" w:rsidRPr="008A3AE0">
        <w:rPr>
          <w:rFonts w:ascii="Arial" w:hAnsi="Arial" w:cs="Arial"/>
          <w:sz w:val="24"/>
        </w:rPr>
        <w:t>sécurité</w:t>
      </w:r>
      <w:r w:rsidRPr="008A3AE0">
        <w:rPr>
          <w:rFonts w:ascii="Arial" w:hAnsi="Arial" w:cs="Arial"/>
          <w:sz w:val="24"/>
        </w:rPr>
        <w:t xml:space="preserve">  des injections, l’utilisation exclusive des seringues autobloquantes et/ou à usage unique (pour la dilution) ; les boites de sécurité pour la collecte des déchets et deux moyens de leur élimination: i)  le brûlage et l’enfouissement, et ii) l’incinération. </w:t>
      </w:r>
    </w:p>
    <w:p w:rsidR="0099429E" w:rsidRPr="008A3AE0" w:rsidRDefault="00DD1036" w:rsidP="00AE360E">
      <w:pPr>
        <w:autoSpaceDE w:val="0"/>
        <w:autoSpaceDN w:val="0"/>
        <w:adjustRightInd w:val="0"/>
        <w:spacing w:after="0"/>
        <w:jc w:val="both"/>
        <w:rPr>
          <w:rFonts w:ascii="Arial" w:hAnsi="Arial" w:cs="Arial"/>
          <w:sz w:val="24"/>
        </w:rPr>
      </w:pPr>
      <w:r w:rsidRPr="008A3AE0">
        <w:rPr>
          <w:rFonts w:ascii="Arial" w:hAnsi="Arial" w:cs="Arial"/>
          <w:sz w:val="24"/>
        </w:rPr>
        <w:t>Par ailleurs il convient de signaler </w:t>
      </w:r>
      <w:r w:rsidR="0099429E" w:rsidRPr="008A3AE0">
        <w:rPr>
          <w:rFonts w:ascii="Arial" w:hAnsi="Arial" w:cs="Arial"/>
          <w:sz w:val="24"/>
        </w:rPr>
        <w:t xml:space="preserve">que des réelles  possibilités existent pour </w:t>
      </w:r>
      <w:r w:rsidR="00EE31B3" w:rsidRPr="008A3AE0">
        <w:rPr>
          <w:rFonts w:ascii="Arial" w:hAnsi="Arial" w:cs="Arial"/>
          <w:sz w:val="24"/>
        </w:rPr>
        <w:t>l’élimination</w:t>
      </w:r>
      <w:r w:rsidR="0099429E" w:rsidRPr="008A3AE0">
        <w:rPr>
          <w:rFonts w:ascii="Arial" w:hAnsi="Arial" w:cs="Arial"/>
          <w:sz w:val="24"/>
        </w:rPr>
        <w:t xml:space="preserve">  des déchets avec l’usine de traitement des déchets base </w:t>
      </w:r>
      <w:r w:rsidR="00B82551" w:rsidRPr="008A3AE0">
        <w:rPr>
          <w:rFonts w:ascii="Arial" w:hAnsi="Arial" w:cs="Arial"/>
          <w:sz w:val="24"/>
        </w:rPr>
        <w:t>à</w:t>
      </w:r>
      <w:r w:rsidR="0099429E" w:rsidRPr="008A3AE0">
        <w:rPr>
          <w:rFonts w:ascii="Arial" w:hAnsi="Arial" w:cs="Arial"/>
          <w:sz w:val="24"/>
        </w:rPr>
        <w:t xml:space="preserve"> Mound</w:t>
      </w:r>
      <w:r w:rsidR="00971327" w:rsidRPr="008A3AE0">
        <w:rPr>
          <w:rFonts w:ascii="Arial" w:hAnsi="Arial" w:cs="Arial"/>
          <w:sz w:val="24"/>
        </w:rPr>
        <w:t>ou. Une réflexion est en cours pour la contractualisation avec ladite usine en vue d’y insérer les déchets issus de la vaccination.</w:t>
      </w:r>
    </w:p>
    <w:p w:rsidR="00A62231" w:rsidRPr="00AE360E" w:rsidRDefault="00D672E5" w:rsidP="00AE360E">
      <w:pPr>
        <w:pStyle w:val="Style3"/>
        <w:spacing w:line="276" w:lineRule="auto"/>
        <w:jc w:val="both"/>
        <w:rPr>
          <w:rFonts w:ascii="Arial" w:hAnsi="Arial" w:cs="Arial"/>
          <w:color w:val="auto"/>
          <w:lang w:val="fr-FR"/>
        </w:rPr>
      </w:pPr>
      <w:bookmarkStart w:id="12" w:name="_Toc397522418"/>
      <w:r w:rsidRPr="00AE360E">
        <w:rPr>
          <w:rFonts w:ascii="Arial" w:hAnsi="Arial" w:cs="Arial"/>
          <w:color w:val="auto"/>
          <w:lang w:val="fr-FR"/>
        </w:rPr>
        <w:t>Formation et s</w:t>
      </w:r>
      <w:r w:rsidR="00C81E0C" w:rsidRPr="00AE360E">
        <w:rPr>
          <w:rFonts w:ascii="Arial" w:hAnsi="Arial" w:cs="Arial"/>
          <w:color w:val="auto"/>
          <w:lang w:val="fr-FR"/>
        </w:rPr>
        <w:t>upervision des personnels de santé</w:t>
      </w:r>
      <w:bookmarkEnd w:id="12"/>
    </w:p>
    <w:p w:rsidR="006E4E4E" w:rsidRPr="00AE360E" w:rsidRDefault="000F665E" w:rsidP="00AE360E">
      <w:pPr>
        <w:pStyle w:val="Paragraphedeliste"/>
        <w:numPr>
          <w:ilvl w:val="0"/>
          <w:numId w:val="20"/>
        </w:numPr>
        <w:spacing w:before="120" w:after="120"/>
        <w:ind w:left="644" w:right="235"/>
        <w:contextualSpacing w:val="0"/>
        <w:jc w:val="both"/>
        <w:rPr>
          <w:rFonts w:ascii="Arial" w:eastAsia="Times New Roman" w:hAnsi="Arial" w:cs="Arial"/>
          <w:b/>
          <w:bCs/>
          <w:sz w:val="24"/>
          <w:szCs w:val="24"/>
          <w:u w:val="single"/>
          <w:lang w:eastAsia="en-GB"/>
        </w:rPr>
      </w:pPr>
      <w:r w:rsidRPr="00AE360E">
        <w:rPr>
          <w:rFonts w:ascii="Arial" w:hAnsi="Arial" w:cs="Arial"/>
          <w:sz w:val="24"/>
          <w:szCs w:val="24"/>
          <w:u w:val="single"/>
        </w:rPr>
        <w:t>ressources humaines préalablement formées</w:t>
      </w:r>
    </w:p>
    <w:p w:rsidR="00B82551" w:rsidRPr="008A3AE0" w:rsidRDefault="00B82551" w:rsidP="00AE360E">
      <w:pPr>
        <w:autoSpaceDE w:val="0"/>
        <w:autoSpaceDN w:val="0"/>
        <w:adjustRightInd w:val="0"/>
        <w:spacing w:after="0"/>
        <w:jc w:val="both"/>
        <w:rPr>
          <w:rFonts w:ascii="Arial" w:hAnsi="Arial" w:cs="Arial"/>
          <w:sz w:val="24"/>
          <w:szCs w:val="24"/>
        </w:rPr>
      </w:pPr>
      <w:r w:rsidRPr="008A3AE0">
        <w:rPr>
          <w:rFonts w:ascii="Arial" w:hAnsi="Arial" w:cs="Arial"/>
          <w:sz w:val="24"/>
          <w:szCs w:val="24"/>
        </w:rPr>
        <w:t>Entre 2013 et 2014 ; des activités de renforcement des capacités du personnel ont été entreprises avec notamment :</w:t>
      </w:r>
    </w:p>
    <w:p w:rsidR="00B82551" w:rsidRPr="008A3AE0" w:rsidRDefault="00425B1A" w:rsidP="00833E76">
      <w:pPr>
        <w:pStyle w:val="Paragraphedeliste"/>
        <w:numPr>
          <w:ilvl w:val="0"/>
          <w:numId w:val="11"/>
        </w:numPr>
        <w:autoSpaceDE w:val="0"/>
        <w:autoSpaceDN w:val="0"/>
        <w:adjustRightInd w:val="0"/>
        <w:spacing w:before="120" w:after="120"/>
        <w:ind w:left="714" w:hanging="357"/>
        <w:contextualSpacing w:val="0"/>
        <w:jc w:val="both"/>
        <w:rPr>
          <w:rFonts w:ascii="Arial" w:hAnsi="Arial" w:cs="Arial"/>
          <w:sz w:val="24"/>
          <w:szCs w:val="24"/>
        </w:rPr>
      </w:pPr>
      <w:r w:rsidRPr="008A3AE0">
        <w:rPr>
          <w:rFonts w:ascii="Arial" w:hAnsi="Arial" w:cs="Arial"/>
          <w:sz w:val="24"/>
          <w:szCs w:val="24"/>
        </w:rPr>
        <w:t>l</w:t>
      </w:r>
      <w:r w:rsidR="00B82551" w:rsidRPr="008A3AE0">
        <w:rPr>
          <w:rFonts w:ascii="Arial" w:hAnsi="Arial" w:cs="Arial"/>
          <w:sz w:val="24"/>
          <w:szCs w:val="24"/>
        </w:rPr>
        <w:t>a formation en MLM/PEV de 25 cadres du niveau central, régional et District ;</w:t>
      </w:r>
    </w:p>
    <w:p w:rsidR="00B82551" w:rsidRPr="008A3AE0" w:rsidRDefault="00425B1A" w:rsidP="00833E76">
      <w:pPr>
        <w:pStyle w:val="Paragraphedeliste"/>
        <w:numPr>
          <w:ilvl w:val="0"/>
          <w:numId w:val="11"/>
        </w:numPr>
        <w:autoSpaceDE w:val="0"/>
        <w:autoSpaceDN w:val="0"/>
        <w:adjustRightInd w:val="0"/>
        <w:spacing w:before="120" w:after="120"/>
        <w:ind w:left="714" w:hanging="357"/>
        <w:contextualSpacing w:val="0"/>
        <w:jc w:val="both"/>
        <w:rPr>
          <w:rFonts w:ascii="Arial" w:hAnsi="Arial" w:cs="Arial"/>
          <w:sz w:val="24"/>
          <w:szCs w:val="24"/>
        </w:rPr>
      </w:pPr>
      <w:r w:rsidRPr="008A3AE0">
        <w:rPr>
          <w:rFonts w:ascii="Arial" w:hAnsi="Arial" w:cs="Arial"/>
          <w:sz w:val="24"/>
          <w:szCs w:val="24"/>
        </w:rPr>
        <w:t>l</w:t>
      </w:r>
      <w:r w:rsidR="00B82551" w:rsidRPr="008A3AE0">
        <w:rPr>
          <w:rFonts w:ascii="Arial" w:hAnsi="Arial" w:cs="Arial"/>
          <w:sz w:val="24"/>
          <w:szCs w:val="24"/>
        </w:rPr>
        <w:t>a formation en PEV pratique des ECD et des responsables des CS dans 42 districts. Cette formation en PEV pratique se poursuit dans 10 DS présentement et sera étendue à tous les districts restants d’ici mi-</w:t>
      </w:r>
      <w:r w:rsidRPr="008A3AE0">
        <w:rPr>
          <w:rFonts w:ascii="Arial" w:hAnsi="Arial" w:cs="Arial"/>
          <w:sz w:val="24"/>
          <w:szCs w:val="24"/>
        </w:rPr>
        <w:t>2015 ;</w:t>
      </w:r>
    </w:p>
    <w:p w:rsidR="00B82551" w:rsidRPr="008A3AE0" w:rsidRDefault="00425B1A" w:rsidP="00833E76">
      <w:pPr>
        <w:pStyle w:val="Paragraphedeliste"/>
        <w:numPr>
          <w:ilvl w:val="0"/>
          <w:numId w:val="11"/>
        </w:numPr>
        <w:autoSpaceDE w:val="0"/>
        <w:autoSpaceDN w:val="0"/>
        <w:adjustRightInd w:val="0"/>
        <w:spacing w:before="120" w:after="120"/>
        <w:ind w:left="714" w:hanging="357"/>
        <w:contextualSpacing w:val="0"/>
        <w:jc w:val="both"/>
        <w:rPr>
          <w:rFonts w:ascii="Arial" w:hAnsi="Arial" w:cs="Arial"/>
          <w:sz w:val="24"/>
          <w:szCs w:val="24"/>
        </w:rPr>
      </w:pPr>
      <w:r w:rsidRPr="008A3AE0">
        <w:rPr>
          <w:rFonts w:ascii="Arial" w:hAnsi="Arial" w:cs="Arial"/>
          <w:sz w:val="24"/>
          <w:szCs w:val="24"/>
        </w:rPr>
        <w:t>l</w:t>
      </w:r>
      <w:r w:rsidR="00B82551" w:rsidRPr="008A3AE0">
        <w:rPr>
          <w:rFonts w:ascii="Arial" w:hAnsi="Arial" w:cs="Arial"/>
          <w:sz w:val="24"/>
          <w:szCs w:val="24"/>
        </w:rPr>
        <w:t xml:space="preserve">a formation des superviseurs de PEV des régions et des districts sur la chaine de froid et l’utilisation des </w:t>
      </w:r>
      <w:r w:rsidR="00F30D5C" w:rsidRPr="008A3AE0">
        <w:rPr>
          <w:rFonts w:ascii="Arial" w:hAnsi="Arial" w:cs="Arial"/>
          <w:sz w:val="24"/>
          <w:szCs w:val="24"/>
        </w:rPr>
        <w:t>Fridge</w:t>
      </w:r>
      <w:r w:rsidR="00B82551" w:rsidRPr="008A3AE0">
        <w:rPr>
          <w:rFonts w:ascii="Arial" w:hAnsi="Arial" w:cs="Arial"/>
          <w:sz w:val="24"/>
          <w:szCs w:val="24"/>
        </w:rPr>
        <w:t xml:space="preserve"> tag</w:t>
      </w:r>
      <w:r w:rsidRPr="008A3AE0">
        <w:rPr>
          <w:rFonts w:ascii="Arial" w:hAnsi="Arial" w:cs="Arial"/>
          <w:sz w:val="24"/>
          <w:szCs w:val="24"/>
        </w:rPr>
        <w:t> ;</w:t>
      </w:r>
    </w:p>
    <w:p w:rsidR="00FD31B8" w:rsidRPr="008A3AE0" w:rsidRDefault="00F30D5C" w:rsidP="00833E76">
      <w:pPr>
        <w:pStyle w:val="Paragraphedeliste"/>
        <w:numPr>
          <w:ilvl w:val="0"/>
          <w:numId w:val="11"/>
        </w:numPr>
        <w:autoSpaceDE w:val="0"/>
        <w:autoSpaceDN w:val="0"/>
        <w:adjustRightInd w:val="0"/>
        <w:spacing w:before="120" w:after="120"/>
        <w:ind w:left="714" w:hanging="357"/>
        <w:contextualSpacing w:val="0"/>
        <w:jc w:val="both"/>
        <w:rPr>
          <w:rFonts w:ascii="Arial" w:hAnsi="Arial" w:cs="Arial"/>
          <w:sz w:val="24"/>
          <w:szCs w:val="24"/>
        </w:rPr>
      </w:pPr>
      <w:r w:rsidRPr="008A3AE0">
        <w:rPr>
          <w:rFonts w:ascii="Arial" w:hAnsi="Arial" w:cs="Arial"/>
          <w:sz w:val="24"/>
          <w:szCs w:val="24"/>
        </w:rPr>
        <w:lastRenderedPageBreak/>
        <w:t>une</w:t>
      </w:r>
      <w:r w:rsidR="00FD31B8" w:rsidRPr="008A3AE0">
        <w:rPr>
          <w:rFonts w:ascii="Arial" w:hAnsi="Arial" w:cs="Arial"/>
          <w:sz w:val="24"/>
          <w:szCs w:val="24"/>
        </w:rPr>
        <w:t xml:space="preserve"> formation sur le DVD-MT et le DQS </w:t>
      </w:r>
      <w:r w:rsidR="00425B1A" w:rsidRPr="008A3AE0">
        <w:rPr>
          <w:rFonts w:ascii="Arial" w:hAnsi="Arial" w:cs="Arial"/>
          <w:sz w:val="24"/>
          <w:szCs w:val="24"/>
        </w:rPr>
        <w:t xml:space="preserve">est </w:t>
      </w:r>
      <w:r w:rsidR="00FD31B8" w:rsidRPr="008A3AE0">
        <w:rPr>
          <w:rFonts w:ascii="Arial" w:hAnsi="Arial" w:cs="Arial"/>
          <w:sz w:val="24"/>
          <w:szCs w:val="24"/>
        </w:rPr>
        <w:t>en cours (2014)</w:t>
      </w:r>
      <w:r w:rsidR="00425B1A" w:rsidRPr="008A3AE0">
        <w:rPr>
          <w:rFonts w:ascii="Arial" w:hAnsi="Arial" w:cs="Arial"/>
          <w:sz w:val="24"/>
          <w:szCs w:val="24"/>
        </w:rPr>
        <w:t>,elle</w:t>
      </w:r>
      <w:r w:rsidR="00FD31B8" w:rsidRPr="008A3AE0">
        <w:rPr>
          <w:rFonts w:ascii="Arial" w:hAnsi="Arial" w:cs="Arial"/>
          <w:sz w:val="24"/>
          <w:szCs w:val="24"/>
        </w:rPr>
        <w:t xml:space="preserve"> va concerner l’ensemble des régions et districts </w:t>
      </w:r>
      <w:r w:rsidR="00425B1A" w:rsidRPr="008A3AE0">
        <w:rPr>
          <w:rFonts w:ascii="Arial" w:hAnsi="Arial" w:cs="Arial"/>
          <w:sz w:val="24"/>
          <w:szCs w:val="24"/>
        </w:rPr>
        <w:t xml:space="preserve">et </w:t>
      </w:r>
      <w:r w:rsidR="00FD31B8" w:rsidRPr="008A3AE0">
        <w:rPr>
          <w:rFonts w:ascii="Arial" w:hAnsi="Arial" w:cs="Arial"/>
          <w:sz w:val="24"/>
          <w:szCs w:val="24"/>
        </w:rPr>
        <w:t xml:space="preserve">permettra d’améliorer la </w:t>
      </w:r>
      <w:r w:rsidR="00425B1A" w:rsidRPr="008A3AE0">
        <w:rPr>
          <w:rFonts w:ascii="Arial" w:hAnsi="Arial" w:cs="Arial"/>
          <w:sz w:val="24"/>
          <w:szCs w:val="24"/>
        </w:rPr>
        <w:t xml:space="preserve">qualité </w:t>
      </w:r>
      <w:r w:rsidR="00FD31B8" w:rsidRPr="008A3AE0">
        <w:rPr>
          <w:rFonts w:ascii="Arial" w:hAnsi="Arial" w:cs="Arial"/>
          <w:sz w:val="24"/>
          <w:szCs w:val="24"/>
        </w:rPr>
        <w:t>des données de vaccination.</w:t>
      </w:r>
    </w:p>
    <w:p w:rsidR="00FD31B8" w:rsidRPr="00AE360E" w:rsidRDefault="00FD31B8" w:rsidP="00AE360E">
      <w:pPr>
        <w:pStyle w:val="Paragraphedeliste"/>
        <w:autoSpaceDE w:val="0"/>
        <w:autoSpaceDN w:val="0"/>
        <w:adjustRightInd w:val="0"/>
        <w:spacing w:after="0"/>
        <w:jc w:val="both"/>
        <w:rPr>
          <w:rFonts w:ascii="Arial" w:hAnsi="Arial" w:cs="Arial"/>
        </w:rPr>
      </w:pPr>
    </w:p>
    <w:p w:rsidR="00B82551" w:rsidRPr="00AE360E" w:rsidRDefault="00B82551" w:rsidP="00AE360E">
      <w:pPr>
        <w:spacing w:after="120"/>
        <w:jc w:val="both"/>
        <w:rPr>
          <w:rFonts w:ascii="Arial" w:hAnsi="Arial" w:cs="Arial"/>
          <w:sz w:val="24"/>
          <w:szCs w:val="24"/>
        </w:rPr>
      </w:pPr>
      <w:r w:rsidRPr="00AE360E">
        <w:rPr>
          <w:rFonts w:ascii="Arial" w:hAnsi="Arial" w:cs="Arial"/>
          <w:sz w:val="24"/>
          <w:szCs w:val="24"/>
        </w:rPr>
        <w:t xml:space="preserve">L’introduction du VPI sera une occasion de recyclage du personnel </w:t>
      </w:r>
      <w:r w:rsidR="00425B1A" w:rsidRPr="00AE360E">
        <w:rPr>
          <w:rFonts w:ascii="Arial" w:hAnsi="Arial" w:cs="Arial"/>
          <w:sz w:val="24"/>
          <w:szCs w:val="24"/>
        </w:rPr>
        <w:t xml:space="preserve">de santé sur le PEV </w:t>
      </w:r>
      <w:r w:rsidRPr="00AE360E">
        <w:rPr>
          <w:rFonts w:ascii="Arial" w:hAnsi="Arial" w:cs="Arial"/>
          <w:sz w:val="24"/>
          <w:szCs w:val="24"/>
        </w:rPr>
        <w:t xml:space="preserve">avec un focus sur les implications programmatiques et opérationnelles </w:t>
      </w:r>
      <w:r w:rsidR="00425B1A" w:rsidRPr="00AE360E">
        <w:rPr>
          <w:rFonts w:ascii="Arial" w:hAnsi="Arial" w:cs="Arial"/>
          <w:sz w:val="24"/>
          <w:szCs w:val="24"/>
        </w:rPr>
        <w:t>liées à celle-ci.</w:t>
      </w:r>
    </w:p>
    <w:p w:rsidR="0057137A" w:rsidRPr="00AE360E" w:rsidRDefault="0057137A" w:rsidP="00AE360E">
      <w:pPr>
        <w:pStyle w:val="Paragraphedeliste"/>
        <w:numPr>
          <w:ilvl w:val="0"/>
          <w:numId w:val="22"/>
        </w:numPr>
        <w:spacing w:after="120"/>
        <w:jc w:val="both"/>
        <w:rPr>
          <w:rFonts w:ascii="Arial" w:hAnsi="Arial" w:cs="Arial"/>
          <w:sz w:val="24"/>
          <w:szCs w:val="24"/>
        </w:rPr>
      </w:pPr>
      <w:r w:rsidRPr="00AE360E">
        <w:rPr>
          <w:rFonts w:ascii="Arial" w:hAnsi="Arial" w:cs="Arial"/>
          <w:sz w:val="24"/>
          <w:szCs w:val="24"/>
          <w:u w:val="single"/>
        </w:rPr>
        <w:t>Révision et la mise à jour des modules</w:t>
      </w:r>
      <w:r w:rsidR="00BF5ED4" w:rsidRPr="00AE360E">
        <w:rPr>
          <w:rFonts w:ascii="Arial" w:hAnsi="Arial" w:cs="Arial"/>
          <w:sz w:val="24"/>
          <w:szCs w:val="24"/>
          <w:u w:val="single"/>
        </w:rPr>
        <w:t xml:space="preserve"> sur la formation en PEV pratique</w:t>
      </w:r>
      <w:r w:rsidRPr="00AE360E">
        <w:rPr>
          <w:rFonts w:ascii="Arial" w:hAnsi="Arial" w:cs="Arial"/>
          <w:sz w:val="24"/>
          <w:szCs w:val="24"/>
        </w:rPr>
        <w:t> :</w:t>
      </w:r>
    </w:p>
    <w:p w:rsidR="00857522" w:rsidRPr="00AE360E" w:rsidRDefault="00857522" w:rsidP="00833E76">
      <w:pPr>
        <w:pStyle w:val="Paragraphedeliste"/>
        <w:numPr>
          <w:ilvl w:val="0"/>
          <w:numId w:val="7"/>
        </w:numPr>
        <w:spacing w:before="120" w:after="120"/>
        <w:ind w:left="714" w:hanging="357"/>
        <w:contextualSpacing w:val="0"/>
        <w:jc w:val="both"/>
        <w:rPr>
          <w:rFonts w:ascii="Arial" w:hAnsi="Arial" w:cs="Arial"/>
          <w:sz w:val="24"/>
          <w:szCs w:val="24"/>
        </w:rPr>
      </w:pPr>
      <w:r w:rsidRPr="00AE360E">
        <w:rPr>
          <w:rFonts w:ascii="Arial" w:hAnsi="Arial" w:cs="Arial"/>
          <w:sz w:val="24"/>
          <w:szCs w:val="24"/>
        </w:rPr>
        <w:t>le calendrier vaccinal (Vaccins du PEV : âges d’administration, mode et voie  et sites d’administration, MAPI) ;</w:t>
      </w:r>
    </w:p>
    <w:p w:rsidR="00857522" w:rsidRPr="00AE360E" w:rsidRDefault="00857522"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Gestion des vaccins : (Estimation des besoins en vaccins et conservation des vaccins-manipulation des vaccins</w:t>
      </w:r>
      <w:r w:rsidR="00A62231" w:rsidRPr="00AE360E">
        <w:rPr>
          <w:rFonts w:ascii="Arial" w:hAnsi="Arial" w:cs="Arial"/>
          <w:sz w:val="24"/>
          <w:szCs w:val="24"/>
        </w:rPr>
        <w:t xml:space="preserve"> et gestion des déchets</w:t>
      </w:r>
      <w:r w:rsidRPr="00AE360E">
        <w:rPr>
          <w:rFonts w:ascii="Arial" w:hAnsi="Arial" w:cs="Arial"/>
          <w:sz w:val="24"/>
          <w:szCs w:val="24"/>
        </w:rPr>
        <w:t>) ;</w:t>
      </w:r>
    </w:p>
    <w:p w:rsidR="00857522" w:rsidRPr="00AE360E" w:rsidRDefault="00857522"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 xml:space="preserve">Remplissage des supports (cartes, fiches de pointage, Registres de vaccins, fiches de commande des </w:t>
      </w:r>
      <w:r w:rsidR="009A32B2" w:rsidRPr="00AE360E">
        <w:rPr>
          <w:rFonts w:ascii="Arial" w:hAnsi="Arial" w:cs="Arial"/>
          <w:sz w:val="24"/>
          <w:szCs w:val="24"/>
        </w:rPr>
        <w:t>vaccins,</w:t>
      </w:r>
      <w:r w:rsidRPr="00AE360E">
        <w:rPr>
          <w:rFonts w:ascii="Arial" w:hAnsi="Arial" w:cs="Arial"/>
          <w:sz w:val="24"/>
          <w:szCs w:val="24"/>
        </w:rPr>
        <w:t xml:space="preserve"> fiche de gestion des stocks) ;</w:t>
      </w:r>
    </w:p>
    <w:p w:rsidR="00857522" w:rsidRPr="00AE360E" w:rsidRDefault="00857522"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Monitorage </w:t>
      </w:r>
      <w:r w:rsidR="009A32B2" w:rsidRPr="00AE360E">
        <w:rPr>
          <w:rFonts w:ascii="Arial" w:hAnsi="Arial" w:cs="Arial"/>
          <w:sz w:val="24"/>
          <w:szCs w:val="24"/>
        </w:rPr>
        <w:t>(collecte,</w:t>
      </w:r>
      <w:r w:rsidRPr="00AE360E">
        <w:rPr>
          <w:rFonts w:ascii="Arial" w:hAnsi="Arial" w:cs="Arial"/>
          <w:sz w:val="24"/>
          <w:szCs w:val="24"/>
        </w:rPr>
        <w:t xml:space="preserve"> calcul et analyse des indicateurs du PEV</w:t>
      </w:r>
      <w:r w:rsidR="009A32B2" w:rsidRPr="00AE360E">
        <w:rPr>
          <w:rFonts w:ascii="Arial" w:hAnsi="Arial" w:cs="Arial"/>
          <w:sz w:val="24"/>
          <w:szCs w:val="24"/>
        </w:rPr>
        <w:t> : Taux de couverture vaccinale, perte, abandon)</w:t>
      </w:r>
    </w:p>
    <w:p w:rsidR="009A32B2" w:rsidRPr="00AE360E" w:rsidRDefault="009A32B2" w:rsidP="00833E76">
      <w:pPr>
        <w:pStyle w:val="Paragraphedeliste"/>
        <w:numPr>
          <w:ilvl w:val="0"/>
          <w:numId w:val="7"/>
        </w:numPr>
        <w:spacing w:before="120" w:after="120"/>
        <w:ind w:left="714" w:hanging="357"/>
        <w:contextualSpacing w:val="0"/>
        <w:jc w:val="both"/>
        <w:rPr>
          <w:rFonts w:ascii="Arial" w:eastAsia="Times New Roman" w:hAnsi="Arial" w:cs="Arial"/>
          <w:bCs/>
          <w:sz w:val="24"/>
          <w:szCs w:val="24"/>
          <w:lang w:eastAsia="en-GB"/>
        </w:rPr>
      </w:pPr>
      <w:r w:rsidRPr="00AE360E">
        <w:rPr>
          <w:rFonts w:ascii="Arial" w:hAnsi="Arial" w:cs="Arial"/>
          <w:sz w:val="24"/>
          <w:szCs w:val="24"/>
        </w:rPr>
        <w:t>Communication en faveur du PEV</w:t>
      </w:r>
      <w:r w:rsidRPr="00AE360E">
        <w:rPr>
          <w:rFonts w:ascii="Arial" w:eastAsia="Times New Roman" w:hAnsi="Arial" w:cs="Arial"/>
          <w:bCs/>
          <w:sz w:val="24"/>
          <w:szCs w:val="24"/>
          <w:lang w:eastAsia="en-GB"/>
        </w:rPr>
        <w:t>.</w:t>
      </w:r>
    </w:p>
    <w:p w:rsidR="00B61858" w:rsidRPr="00AE360E" w:rsidRDefault="00B61858" w:rsidP="008A3AE0">
      <w:pPr>
        <w:pStyle w:val="Paragraphedeliste"/>
        <w:numPr>
          <w:ilvl w:val="0"/>
          <w:numId w:val="22"/>
        </w:numPr>
        <w:autoSpaceDE w:val="0"/>
        <w:autoSpaceDN w:val="0"/>
        <w:adjustRightInd w:val="0"/>
        <w:spacing w:before="240" w:after="120"/>
        <w:ind w:left="1508" w:right="232" w:hanging="357"/>
        <w:contextualSpacing w:val="0"/>
        <w:jc w:val="both"/>
        <w:rPr>
          <w:rFonts w:ascii="Arial" w:hAnsi="Arial" w:cs="Arial"/>
          <w:sz w:val="24"/>
          <w:szCs w:val="24"/>
          <w:u w:val="single"/>
        </w:rPr>
      </w:pPr>
      <w:r w:rsidRPr="00AE360E">
        <w:rPr>
          <w:rFonts w:ascii="Arial" w:hAnsi="Arial" w:cs="Arial"/>
          <w:sz w:val="24"/>
          <w:szCs w:val="24"/>
          <w:u w:val="single"/>
        </w:rPr>
        <w:t>Plan de formation</w:t>
      </w:r>
    </w:p>
    <w:p w:rsidR="009A32B2" w:rsidRPr="00AE360E" w:rsidRDefault="001B33F7"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Formation d’un pool de formateurs au niveau central (PEV central et partenaires) ;</w:t>
      </w:r>
    </w:p>
    <w:p w:rsidR="001B33F7" w:rsidRPr="00AE360E" w:rsidRDefault="001B33F7"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Formation  des ECR-ECD dans les 2</w:t>
      </w:r>
      <w:r w:rsidR="00564DC1" w:rsidRPr="00AE360E">
        <w:rPr>
          <w:rFonts w:ascii="Arial" w:hAnsi="Arial" w:cs="Arial"/>
          <w:sz w:val="24"/>
          <w:szCs w:val="24"/>
        </w:rPr>
        <w:t>3</w:t>
      </w:r>
      <w:r w:rsidRPr="00AE360E">
        <w:rPr>
          <w:rFonts w:ascii="Arial" w:hAnsi="Arial" w:cs="Arial"/>
          <w:sz w:val="24"/>
          <w:szCs w:val="24"/>
        </w:rPr>
        <w:t xml:space="preserve"> régions ;</w:t>
      </w:r>
    </w:p>
    <w:p w:rsidR="001B33F7" w:rsidRPr="00AE360E" w:rsidRDefault="001B33F7" w:rsidP="00833E76">
      <w:pPr>
        <w:pStyle w:val="Paragraphedeliste"/>
        <w:numPr>
          <w:ilvl w:val="0"/>
          <w:numId w:val="7"/>
        </w:numPr>
        <w:spacing w:before="120" w:after="120"/>
        <w:contextualSpacing w:val="0"/>
        <w:jc w:val="both"/>
        <w:rPr>
          <w:rFonts w:ascii="Arial" w:hAnsi="Arial" w:cs="Arial"/>
          <w:sz w:val="24"/>
          <w:szCs w:val="24"/>
        </w:rPr>
      </w:pPr>
      <w:r w:rsidRPr="00AE360E">
        <w:rPr>
          <w:rFonts w:ascii="Arial" w:hAnsi="Arial" w:cs="Arial"/>
          <w:sz w:val="24"/>
          <w:szCs w:val="24"/>
        </w:rPr>
        <w:t xml:space="preserve">Formation des responsables des centres de santé dans les 77 Districts. </w:t>
      </w:r>
    </w:p>
    <w:p w:rsidR="001B33F7" w:rsidRPr="00AE360E" w:rsidRDefault="001B33F7" w:rsidP="00AE360E">
      <w:pPr>
        <w:spacing w:after="120"/>
        <w:jc w:val="both"/>
        <w:rPr>
          <w:rFonts w:ascii="Arial" w:hAnsi="Arial" w:cs="Arial"/>
          <w:sz w:val="24"/>
          <w:szCs w:val="24"/>
        </w:rPr>
      </w:pPr>
      <w:r w:rsidRPr="00AE360E">
        <w:rPr>
          <w:rFonts w:ascii="Arial" w:hAnsi="Arial" w:cs="Arial"/>
          <w:sz w:val="24"/>
          <w:szCs w:val="24"/>
        </w:rPr>
        <w:t xml:space="preserve">Le staff de l’OMS </w:t>
      </w:r>
      <w:r w:rsidR="00F30D5C">
        <w:rPr>
          <w:rFonts w:ascii="Arial" w:hAnsi="Arial" w:cs="Arial"/>
          <w:sz w:val="24"/>
          <w:szCs w:val="24"/>
        </w:rPr>
        <w:t>et Unicef</w:t>
      </w:r>
      <w:r w:rsidRPr="00AE360E">
        <w:rPr>
          <w:rFonts w:ascii="Arial" w:hAnsi="Arial" w:cs="Arial"/>
          <w:sz w:val="24"/>
          <w:szCs w:val="24"/>
        </w:rPr>
        <w:t xml:space="preserve"> dans les six hubs sera mis à contribution pour appuyer techniquement les séries de formation dans les régions et districts.</w:t>
      </w:r>
    </w:p>
    <w:p w:rsidR="002D5B59" w:rsidRPr="00AE360E" w:rsidRDefault="00B61858" w:rsidP="00AE360E">
      <w:pPr>
        <w:pStyle w:val="Paragraphedeliste"/>
        <w:numPr>
          <w:ilvl w:val="0"/>
          <w:numId w:val="22"/>
        </w:numPr>
        <w:autoSpaceDE w:val="0"/>
        <w:autoSpaceDN w:val="0"/>
        <w:adjustRightInd w:val="0"/>
        <w:spacing w:before="120" w:after="120"/>
        <w:ind w:right="235"/>
        <w:jc w:val="both"/>
        <w:rPr>
          <w:rFonts w:ascii="Arial" w:hAnsi="Arial" w:cs="Arial"/>
          <w:sz w:val="24"/>
          <w:szCs w:val="24"/>
          <w:u w:val="single"/>
        </w:rPr>
      </w:pPr>
      <w:r w:rsidRPr="00AE360E">
        <w:rPr>
          <w:rFonts w:ascii="Arial" w:hAnsi="Arial" w:cs="Arial"/>
          <w:sz w:val="24"/>
          <w:szCs w:val="24"/>
          <w:u w:val="single"/>
        </w:rPr>
        <w:t>Plan de supervision</w:t>
      </w:r>
    </w:p>
    <w:p w:rsidR="00857522" w:rsidRPr="00AE360E" w:rsidRDefault="00A62231" w:rsidP="00AE360E">
      <w:pPr>
        <w:spacing w:after="120"/>
        <w:jc w:val="both"/>
        <w:rPr>
          <w:rFonts w:ascii="Arial" w:hAnsi="Arial" w:cs="Arial"/>
          <w:sz w:val="24"/>
          <w:szCs w:val="24"/>
        </w:rPr>
      </w:pPr>
      <w:r w:rsidRPr="00AE360E">
        <w:rPr>
          <w:rFonts w:ascii="Arial" w:hAnsi="Arial" w:cs="Arial"/>
          <w:sz w:val="24"/>
          <w:szCs w:val="24"/>
        </w:rPr>
        <w:t>La supervision</w:t>
      </w:r>
      <w:r w:rsidR="00F30D5C">
        <w:rPr>
          <w:rFonts w:ascii="Arial" w:hAnsi="Arial" w:cs="Arial"/>
          <w:sz w:val="24"/>
          <w:szCs w:val="24"/>
        </w:rPr>
        <w:t xml:space="preserve"> se fait aux différents niveaux</w:t>
      </w:r>
      <w:r w:rsidRPr="00AE360E">
        <w:rPr>
          <w:rFonts w:ascii="Arial" w:hAnsi="Arial" w:cs="Arial"/>
          <w:sz w:val="24"/>
          <w:szCs w:val="24"/>
        </w:rPr>
        <w:t xml:space="preserve"> selon les normes ci-dessous:</w:t>
      </w:r>
    </w:p>
    <w:p w:rsidR="00A62231" w:rsidRPr="00AE360E" w:rsidRDefault="00A62231" w:rsidP="00AE360E">
      <w:pPr>
        <w:spacing w:after="120"/>
        <w:jc w:val="both"/>
        <w:rPr>
          <w:rFonts w:ascii="Arial" w:hAnsi="Arial" w:cs="Arial"/>
          <w:sz w:val="24"/>
          <w:szCs w:val="24"/>
        </w:rPr>
      </w:pPr>
      <w:r w:rsidRPr="00AE360E">
        <w:rPr>
          <w:rFonts w:ascii="Arial" w:hAnsi="Arial" w:cs="Arial"/>
          <w:sz w:val="24"/>
          <w:szCs w:val="24"/>
        </w:rPr>
        <w:t>Le niveau central supervise les ECR et les ECD tous les 3 mois ;</w:t>
      </w:r>
    </w:p>
    <w:p w:rsidR="00D672E5" w:rsidRPr="00AE360E" w:rsidRDefault="00D672E5" w:rsidP="00AE360E">
      <w:pPr>
        <w:spacing w:after="120"/>
        <w:jc w:val="both"/>
        <w:rPr>
          <w:rFonts w:ascii="Arial" w:hAnsi="Arial" w:cs="Arial"/>
          <w:sz w:val="24"/>
          <w:szCs w:val="24"/>
        </w:rPr>
      </w:pPr>
      <w:r w:rsidRPr="00AE360E">
        <w:rPr>
          <w:rFonts w:ascii="Arial" w:hAnsi="Arial" w:cs="Arial"/>
          <w:sz w:val="24"/>
          <w:szCs w:val="24"/>
        </w:rPr>
        <w:t>Les ECR supervisent les ECD une fois tous les 2 mois ;</w:t>
      </w:r>
    </w:p>
    <w:p w:rsidR="00A62231" w:rsidRPr="00AE360E" w:rsidRDefault="009400F5" w:rsidP="00AE360E">
      <w:pPr>
        <w:spacing w:after="120"/>
        <w:jc w:val="both"/>
        <w:rPr>
          <w:rFonts w:ascii="Arial" w:hAnsi="Arial" w:cs="Arial"/>
          <w:sz w:val="24"/>
          <w:szCs w:val="24"/>
        </w:rPr>
      </w:pPr>
      <w:r w:rsidRPr="00AE360E">
        <w:rPr>
          <w:rFonts w:ascii="Arial" w:hAnsi="Arial" w:cs="Arial"/>
          <w:sz w:val="24"/>
          <w:szCs w:val="24"/>
        </w:rPr>
        <w:t>Les ECR, ECD et les staffs OMS UNICEF (hubs) supervisent les responsables des centres de santé tous les mois.</w:t>
      </w:r>
    </w:p>
    <w:p w:rsidR="00857522" w:rsidRPr="00AE360E" w:rsidRDefault="009400F5" w:rsidP="00AE360E">
      <w:pPr>
        <w:spacing w:after="120"/>
        <w:jc w:val="both"/>
        <w:rPr>
          <w:rFonts w:ascii="Arial" w:hAnsi="Arial" w:cs="Arial"/>
          <w:sz w:val="24"/>
          <w:szCs w:val="24"/>
        </w:rPr>
      </w:pPr>
      <w:r w:rsidRPr="00AE360E">
        <w:rPr>
          <w:rFonts w:ascii="Arial" w:hAnsi="Arial" w:cs="Arial"/>
          <w:b/>
          <w:sz w:val="24"/>
          <w:szCs w:val="24"/>
        </w:rPr>
        <w:t>Dans le cadre de l’introduction du VPI</w:t>
      </w:r>
      <w:r w:rsidRPr="00AE360E">
        <w:rPr>
          <w:rFonts w:ascii="Arial" w:hAnsi="Arial" w:cs="Arial"/>
          <w:sz w:val="24"/>
          <w:szCs w:val="24"/>
        </w:rPr>
        <w:t xml:space="preserve">, il sera effectué une supervision </w:t>
      </w:r>
      <w:r w:rsidR="00D672E5" w:rsidRPr="00AE360E">
        <w:rPr>
          <w:rFonts w:ascii="Arial" w:hAnsi="Arial" w:cs="Arial"/>
          <w:sz w:val="24"/>
          <w:szCs w:val="24"/>
        </w:rPr>
        <w:t>d’une semaine</w:t>
      </w:r>
      <w:r w:rsidR="00557559" w:rsidRPr="00AE360E">
        <w:rPr>
          <w:rFonts w:ascii="Arial" w:hAnsi="Arial" w:cs="Arial"/>
          <w:sz w:val="24"/>
          <w:szCs w:val="24"/>
        </w:rPr>
        <w:t xml:space="preserve"> à dix jours </w:t>
      </w:r>
      <w:r w:rsidRPr="00AE360E">
        <w:rPr>
          <w:rFonts w:ascii="Arial" w:hAnsi="Arial" w:cs="Arial"/>
          <w:sz w:val="24"/>
          <w:szCs w:val="24"/>
        </w:rPr>
        <w:t>des ECR, E</w:t>
      </w:r>
      <w:r w:rsidR="00B61858" w:rsidRPr="00AE360E">
        <w:rPr>
          <w:rFonts w:ascii="Arial" w:hAnsi="Arial" w:cs="Arial"/>
          <w:sz w:val="24"/>
          <w:szCs w:val="24"/>
        </w:rPr>
        <w:t xml:space="preserve">CD et des RCS pendant la phase </w:t>
      </w:r>
      <w:r w:rsidRPr="00AE360E">
        <w:rPr>
          <w:rFonts w:ascii="Arial" w:hAnsi="Arial" w:cs="Arial"/>
          <w:sz w:val="24"/>
          <w:szCs w:val="24"/>
        </w:rPr>
        <w:t xml:space="preserve"> d’introduction.</w:t>
      </w:r>
    </w:p>
    <w:p w:rsidR="00857522" w:rsidRPr="00AE360E" w:rsidRDefault="009400F5" w:rsidP="00AE360E">
      <w:pPr>
        <w:spacing w:after="120"/>
        <w:jc w:val="both"/>
        <w:rPr>
          <w:rFonts w:ascii="Arial" w:hAnsi="Arial" w:cs="Arial"/>
          <w:sz w:val="24"/>
          <w:szCs w:val="24"/>
        </w:rPr>
      </w:pPr>
      <w:r w:rsidRPr="00AE360E">
        <w:rPr>
          <w:rFonts w:ascii="Arial" w:hAnsi="Arial" w:cs="Arial"/>
          <w:sz w:val="24"/>
          <w:szCs w:val="24"/>
        </w:rPr>
        <w:t xml:space="preserve">Cette supervision sera conduite par le personnel </w:t>
      </w:r>
      <w:r w:rsidR="002F7E32" w:rsidRPr="00AE360E">
        <w:rPr>
          <w:rFonts w:ascii="Arial" w:hAnsi="Arial" w:cs="Arial"/>
          <w:sz w:val="24"/>
          <w:szCs w:val="24"/>
        </w:rPr>
        <w:t xml:space="preserve">central </w:t>
      </w:r>
      <w:r w:rsidRPr="00AE360E">
        <w:rPr>
          <w:rFonts w:ascii="Arial" w:hAnsi="Arial" w:cs="Arial"/>
          <w:sz w:val="24"/>
          <w:szCs w:val="24"/>
        </w:rPr>
        <w:t xml:space="preserve">du PEV </w:t>
      </w:r>
      <w:r w:rsidR="002F7E32" w:rsidRPr="00AE360E">
        <w:rPr>
          <w:rFonts w:ascii="Arial" w:hAnsi="Arial" w:cs="Arial"/>
          <w:sz w:val="24"/>
          <w:szCs w:val="24"/>
        </w:rPr>
        <w:t xml:space="preserve">et des </w:t>
      </w:r>
      <w:r w:rsidRPr="00AE360E">
        <w:rPr>
          <w:rFonts w:ascii="Arial" w:hAnsi="Arial" w:cs="Arial"/>
          <w:sz w:val="24"/>
          <w:szCs w:val="24"/>
        </w:rPr>
        <w:t xml:space="preserve"> partenaires</w:t>
      </w:r>
      <w:r w:rsidR="002F7E32" w:rsidRPr="00AE360E">
        <w:rPr>
          <w:rFonts w:ascii="Arial" w:hAnsi="Arial" w:cs="Arial"/>
          <w:sz w:val="24"/>
          <w:szCs w:val="24"/>
        </w:rPr>
        <w:t xml:space="preserve"> pour s</w:t>
      </w:r>
      <w:r w:rsidR="00B61858" w:rsidRPr="00AE360E">
        <w:rPr>
          <w:rFonts w:ascii="Arial" w:hAnsi="Arial" w:cs="Arial"/>
          <w:sz w:val="24"/>
          <w:szCs w:val="24"/>
        </w:rPr>
        <w:t xml:space="preserve">’assurer du niveau de préparation du niveau opérationnel et de </w:t>
      </w:r>
      <w:r w:rsidR="002F7E32" w:rsidRPr="00AE360E">
        <w:rPr>
          <w:rFonts w:ascii="Arial" w:hAnsi="Arial" w:cs="Arial"/>
          <w:sz w:val="24"/>
          <w:szCs w:val="24"/>
        </w:rPr>
        <w:t xml:space="preserve">l’application des directives et des normes </w:t>
      </w:r>
      <w:r w:rsidR="00B22D15" w:rsidRPr="00AE360E">
        <w:rPr>
          <w:rFonts w:ascii="Arial" w:hAnsi="Arial" w:cs="Arial"/>
          <w:sz w:val="24"/>
          <w:szCs w:val="24"/>
        </w:rPr>
        <w:t>et de tous les aspects programmatiques relatifs</w:t>
      </w:r>
      <w:r w:rsidR="002F7E32" w:rsidRPr="00AE360E">
        <w:rPr>
          <w:rFonts w:ascii="Arial" w:hAnsi="Arial" w:cs="Arial"/>
          <w:sz w:val="24"/>
          <w:szCs w:val="24"/>
        </w:rPr>
        <w:t xml:space="preserve"> à </w:t>
      </w:r>
      <w:r w:rsidR="002F7E32" w:rsidRPr="00AE360E">
        <w:rPr>
          <w:rFonts w:ascii="Arial" w:hAnsi="Arial" w:cs="Arial"/>
          <w:sz w:val="24"/>
          <w:szCs w:val="24"/>
        </w:rPr>
        <w:lastRenderedPageBreak/>
        <w:t>l’introduction du VPI dans la vaccination de routine. Elle permettra d’apporter les mesures correctives nécessaires à tous les niveaux p</w:t>
      </w:r>
      <w:r w:rsidR="00B22D15" w:rsidRPr="00AE360E">
        <w:rPr>
          <w:rFonts w:ascii="Arial" w:hAnsi="Arial" w:cs="Arial"/>
          <w:sz w:val="24"/>
          <w:szCs w:val="24"/>
        </w:rPr>
        <w:t>our s’assurer de l’introduction réussie</w:t>
      </w:r>
      <w:r w:rsidR="0017034F" w:rsidRPr="00AE360E">
        <w:rPr>
          <w:rFonts w:ascii="Arial" w:hAnsi="Arial" w:cs="Arial"/>
          <w:sz w:val="24"/>
          <w:szCs w:val="24"/>
        </w:rPr>
        <w:t xml:space="preserve"> du VPI.</w:t>
      </w:r>
    </w:p>
    <w:p w:rsidR="00C81E0C" w:rsidRPr="00F30D5C" w:rsidRDefault="00F30D5C" w:rsidP="00833E76">
      <w:pPr>
        <w:pStyle w:val="Style3"/>
        <w:spacing w:before="240" w:line="276" w:lineRule="auto"/>
        <w:jc w:val="both"/>
        <w:rPr>
          <w:rFonts w:ascii="Arial" w:hAnsi="Arial" w:cs="Arial"/>
          <w:color w:val="auto"/>
          <w:sz w:val="28"/>
        </w:rPr>
      </w:pPr>
      <w:bookmarkStart w:id="13" w:name="_Toc397522419"/>
      <w:r>
        <w:rPr>
          <w:rFonts w:ascii="Arial" w:hAnsi="Arial" w:cs="Arial"/>
          <w:color w:val="auto"/>
          <w:sz w:val="28"/>
          <w:lang w:val="fr-FR"/>
        </w:rPr>
        <w:t xml:space="preserve">Principaux </w:t>
      </w:r>
      <w:r w:rsidR="00B61858" w:rsidRPr="00F30D5C">
        <w:rPr>
          <w:rFonts w:ascii="Arial" w:hAnsi="Arial" w:cs="Arial"/>
          <w:color w:val="auto"/>
          <w:sz w:val="28"/>
          <w:lang w:val="fr-FR"/>
        </w:rPr>
        <w:t>r</w:t>
      </w:r>
      <w:r w:rsidR="00C81E0C" w:rsidRPr="00F30D5C">
        <w:rPr>
          <w:rFonts w:ascii="Arial" w:hAnsi="Arial" w:cs="Arial"/>
          <w:color w:val="auto"/>
          <w:sz w:val="28"/>
          <w:lang w:val="fr-FR"/>
        </w:rPr>
        <w:t>isques</w:t>
      </w:r>
      <w:r w:rsidR="00C81E0C" w:rsidRPr="00F30D5C">
        <w:rPr>
          <w:rFonts w:ascii="Arial" w:hAnsi="Arial" w:cs="Arial"/>
          <w:color w:val="auto"/>
          <w:sz w:val="28"/>
        </w:rPr>
        <w:t xml:space="preserve"> et </w:t>
      </w:r>
      <w:r w:rsidR="00C81E0C" w:rsidRPr="00F30D5C">
        <w:rPr>
          <w:rFonts w:ascii="Arial" w:hAnsi="Arial" w:cs="Arial"/>
          <w:color w:val="auto"/>
          <w:sz w:val="28"/>
          <w:lang w:val="fr-FR"/>
        </w:rPr>
        <w:t>défis</w:t>
      </w:r>
      <w:bookmarkEnd w:id="13"/>
    </w:p>
    <w:p w:rsidR="005D6924" w:rsidRPr="00AE360E" w:rsidRDefault="005D6924" w:rsidP="00833E76">
      <w:pPr>
        <w:pStyle w:val="Paragraphedeliste"/>
        <w:numPr>
          <w:ilvl w:val="0"/>
          <w:numId w:val="21"/>
        </w:numPr>
        <w:spacing w:before="240" w:after="120"/>
        <w:jc w:val="both"/>
        <w:rPr>
          <w:rFonts w:ascii="Arial" w:hAnsi="Arial" w:cs="Arial"/>
          <w:b/>
          <w:szCs w:val="24"/>
        </w:rPr>
      </w:pPr>
      <w:r w:rsidRPr="00AE360E">
        <w:rPr>
          <w:rFonts w:ascii="Arial" w:hAnsi="Arial" w:cs="Arial"/>
          <w:b/>
          <w:szCs w:val="24"/>
        </w:rPr>
        <w:t>Faib</w:t>
      </w:r>
      <w:r w:rsidR="00555776" w:rsidRPr="00AE360E">
        <w:rPr>
          <w:rFonts w:ascii="Arial" w:hAnsi="Arial" w:cs="Arial"/>
          <w:b/>
          <w:szCs w:val="24"/>
        </w:rPr>
        <w:t>lesse de la qualité des données de vaccination et des couvertures vaccinale</w:t>
      </w:r>
      <w:r w:rsidR="00B176E8" w:rsidRPr="00AE360E">
        <w:rPr>
          <w:rFonts w:ascii="Arial" w:hAnsi="Arial" w:cs="Arial"/>
          <w:b/>
          <w:szCs w:val="24"/>
        </w:rPr>
        <w:t>s</w:t>
      </w:r>
    </w:p>
    <w:p w:rsidR="00555776" w:rsidRPr="00AE360E" w:rsidRDefault="00555776" w:rsidP="00AE360E">
      <w:pPr>
        <w:spacing w:after="120"/>
        <w:jc w:val="both"/>
        <w:rPr>
          <w:rFonts w:ascii="Arial" w:hAnsi="Arial" w:cs="Arial"/>
          <w:sz w:val="24"/>
          <w:szCs w:val="24"/>
        </w:rPr>
      </w:pPr>
      <w:r w:rsidRPr="00AE360E">
        <w:rPr>
          <w:rFonts w:ascii="Arial" w:hAnsi="Arial" w:cs="Arial"/>
          <w:sz w:val="24"/>
          <w:szCs w:val="24"/>
        </w:rPr>
        <w:t>En 2012, l’enquête de couverture vaccinale réalisée avait mis en exergue la faiblesse des couvertures vaccinales valides et des écarts importants entre les couvertures administratives et les couvertures de l’enquête.</w:t>
      </w:r>
    </w:p>
    <w:p w:rsidR="00555776" w:rsidRPr="00AE360E" w:rsidRDefault="00555776" w:rsidP="00AE360E">
      <w:pPr>
        <w:spacing w:after="120"/>
        <w:jc w:val="both"/>
        <w:rPr>
          <w:rFonts w:ascii="Arial" w:hAnsi="Arial" w:cs="Arial"/>
          <w:sz w:val="24"/>
          <w:szCs w:val="24"/>
        </w:rPr>
      </w:pPr>
      <w:r w:rsidRPr="00AE360E">
        <w:rPr>
          <w:rFonts w:ascii="Arial" w:hAnsi="Arial" w:cs="Arial"/>
          <w:sz w:val="24"/>
          <w:szCs w:val="24"/>
        </w:rPr>
        <w:t xml:space="preserve">Cette situation était due entre autres causes </w:t>
      </w:r>
      <w:r w:rsidR="007101BC" w:rsidRPr="00AE360E">
        <w:rPr>
          <w:rFonts w:ascii="Arial" w:hAnsi="Arial" w:cs="Arial"/>
          <w:sz w:val="24"/>
          <w:szCs w:val="24"/>
        </w:rPr>
        <w:t>à la</w:t>
      </w:r>
      <w:r w:rsidRPr="00AE360E">
        <w:rPr>
          <w:rFonts w:ascii="Arial" w:hAnsi="Arial" w:cs="Arial"/>
          <w:sz w:val="24"/>
          <w:szCs w:val="24"/>
        </w:rPr>
        <w:t xml:space="preserve"> non maitrise du calendrier vaccinal</w:t>
      </w:r>
      <w:r w:rsidR="007101BC" w:rsidRPr="00AE360E">
        <w:rPr>
          <w:rFonts w:ascii="Arial" w:hAnsi="Arial" w:cs="Arial"/>
          <w:sz w:val="24"/>
          <w:szCs w:val="24"/>
        </w:rPr>
        <w:t xml:space="preserve"> et au</w:t>
      </w:r>
      <w:r w:rsidRPr="00AE360E">
        <w:rPr>
          <w:rFonts w:ascii="Arial" w:hAnsi="Arial" w:cs="Arial"/>
          <w:sz w:val="24"/>
          <w:szCs w:val="24"/>
        </w:rPr>
        <w:t xml:space="preserve"> remplissage incorrect des supports de vaccination par les agents de santé.</w:t>
      </w:r>
    </w:p>
    <w:p w:rsidR="00555776" w:rsidRPr="00AE360E" w:rsidRDefault="00555776" w:rsidP="00AE360E">
      <w:pPr>
        <w:spacing w:after="120"/>
        <w:jc w:val="both"/>
        <w:rPr>
          <w:rFonts w:ascii="Arial" w:hAnsi="Arial" w:cs="Arial"/>
          <w:sz w:val="24"/>
          <w:szCs w:val="24"/>
        </w:rPr>
      </w:pPr>
      <w:r w:rsidRPr="00AE360E">
        <w:rPr>
          <w:rFonts w:ascii="Arial" w:hAnsi="Arial" w:cs="Arial"/>
          <w:sz w:val="24"/>
          <w:szCs w:val="24"/>
        </w:rPr>
        <w:t>Avec les formations en PEV pratique réalisées</w:t>
      </w:r>
      <w:r w:rsidR="00BE7DF2" w:rsidRPr="00AE360E">
        <w:rPr>
          <w:rFonts w:ascii="Arial" w:hAnsi="Arial" w:cs="Arial"/>
          <w:sz w:val="24"/>
          <w:szCs w:val="24"/>
        </w:rPr>
        <w:t xml:space="preserve"> à partir de</w:t>
      </w:r>
      <w:r w:rsidR="007101BC" w:rsidRPr="00AE360E">
        <w:rPr>
          <w:rFonts w:ascii="Arial" w:hAnsi="Arial" w:cs="Arial"/>
          <w:sz w:val="24"/>
          <w:szCs w:val="24"/>
        </w:rPr>
        <w:t xml:space="preserve"> 2013</w:t>
      </w:r>
      <w:r w:rsidRPr="00AE360E">
        <w:rPr>
          <w:rFonts w:ascii="Arial" w:hAnsi="Arial" w:cs="Arial"/>
          <w:sz w:val="24"/>
          <w:szCs w:val="24"/>
        </w:rPr>
        <w:t>, couplées à la supervision formative mensuelle des responsables des centres de santé, l’on note un début</w:t>
      </w:r>
      <w:r w:rsidR="00BE7DF2" w:rsidRPr="00AE360E">
        <w:rPr>
          <w:rFonts w:ascii="Arial" w:hAnsi="Arial" w:cs="Arial"/>
          <w:sz w:val="24"/>
          <w:szCs w:val="24"/>
        </w:rPr>
        <w:t xml:space="preserve"> d’amélioration. Les efforts ser</w:t>
      </w:r>
      <w:r w:rsidRPr="00AE360E">
        <w:rPr>
          <w:rFonts w:ascii="Arial" w:hAnsi="Arial" w:cs="Arial"/>
          <w:sz w:val="24"/>
          <w:szCs w:val="24"/>
        </w:rPr>
        <w:t xml:space="preserve">ont poursuivis </w:t>
      </w:r>
      <w:r w:rsidR="003D68DD" w:rsidRPr="00AE360E">
        <w:rPr>
          <w:rFonts w:ascii="Arial" w:hAnsi="Arial" w:cs="Arial"/>
          <w:sz w:val="24"/>
          <w:szCs w:val="24"/>
        </w:rPr>
        <w:t>pour le renforcement des capacités des ressources humaines</w:t>
      </w:r>
      <w:r w:rsidR="00BE7DF2" w:rsidRPr="00AE360E">
        <w:rPr>
          <w:rFonts w:ascii="Arial" w:hAnsi="Arial" w:cs="Arial"/>
          <w:sz w:val="24"/>
          <w:szCs w:val="24"/>
        </w:rPr>
        <w:t xml:space="preserve">, notamment par la formation des superviseurs PEV sur le DQS et DVD-MT. Il est prévu aussi la dotation de tous les districts en équipements informatiques pour permettre </w:t>
      </w:r>
      <w:r w:rsidR="003D68DD" w:rsidRPr="00AE360E">
        <w:rPr>
          <w:rFonts w:ascii="Arial" w:hAnsi="Arial" w:cs="Arial"/>
          <w:sz w:val="24"/>
          <w:szCs w:val="24"/>
        </w:rPr>
        <w:t>la production de données de vaccination de qualité.</w:t>
      </w:r>
    </w:p>
    <w:p w:rsidR="000072D9" w:rsidRPr="00AE360E" w:rsidRDefault="000072D9" w:rsidP="001F6FAB">
      <w:pPr>
        <w:spacing w:after="120"/>
        <w:jc w:val="both"/>
        <w:rPr>
          <w:rFonts w:ascii="Arial" w:hAnsi="Arial" w:cs="Arial"/>
          <w:sz w:val="24"/>
          <w:szCs w:val="24"/>
          <w:highlight w:val="yellow"/>
        </w:rPr>
      </w:pPr>
      <w:r w:rsidRPr="00AE360E">
        <w:rPr>
          <w:rFonts w:ascii="Arial" w:hAnsi="Arial" w:cs="Arial"/>
          <w:sz w:val="24"/>
          <w:szCs w:val="24"/>
        </w:rPr>
        <w:t>La mise en œuvre de l’approche ACD, entamée en 2013, va se poursuivre en vue d’augmenter la couverture vaccinale, par le renforcement des capacités techniques  logistiques  et gestionnaires des agents de santé.</w:t>
      </w:r>
    </w:p>
    <w:p w:rsidR="00313EB7" w:rsidRPr="00AE360E" w:rsidRDefault="00555776" w:rsidP="001F6FAB">
      <w:pPr>
        <w:pStyle w:val="Paragraphedeliste"/>
        <w:numPr>
          <w:ilvl w:val="0"/>
          <w:numId w:val="21"/>
        </w:numPr>
        <w:spacing w:before="240" w:after="120"/>
        <w:ind w:left="714" w:hanging="357"/>
        <w:contextualSpacing w:val="0"/>
        <w:jc w:val="both"/>
        <w:rPr>
          <w:rFonts w:ascii="Arial" w:hAnsi="Arial" w:cs="Arial"/>
          <w:b/>
          <w:szCs w:val="24"/>
        </w:rPr>
      </w:pPr>
      <w:r w:rsidRPr="00AE360E">
        <w:rPr>
          <w:rFonts w:ascii="Arial" w:hAnsi="Arial" w:cs="Arial"/>
          <w:b/>
          <w:szCs w:val="24"/>
        </w:rPr>
        <w:t>T</w:t>
      </w:r>
      <w:r w:rsidR="0078265C" w:rsidRPr="00AE360E">
        <w:rPr>
          <w:rFonts w:ascii="Arial" w:hAnsi="Arial" w:cs="Arial"/>
          <w:b/>
          <w:szCs w:val="24"/>
        </w:rPr>
        <w:t>aux d’abandon</w:t>
      </w:r>
      <w:r w:rsidR="00313EB7" w:rsidRPr="00AE360E">
        <w:rPr>
          <w:rFonts w:ascii="Arial" w:hAnsi="Arial" w:cs="Arial"/>
          <w:b/>
          <w:szCs w:val="24"/>
        </w:rPr>
        <w:t> </w:t>
      </w:r>
      <w:r w:rsidR="005D6924" w:rsidRPr="00AE360E">
        <w:rPr>
          <w:rFonts w:ascii="Arial" w:hAnsi="Arial" w:cs="Arial"/>
          <w:b/>
          <w:szCs w:val="24"/>
        </w:rPr>
        <w:t>élevés</w:t>
      </w:r>
      <w:r w:rsidR="00313EB7" w:rsidRPr="00AE360E">
        <w:rPr>
          <w:rFonts w:ascii="Arial" w:hAnsi="Arial" w:cs="Arial"/>
          <w:b/>
          <w:szCs w:val="24"/>
        </w:rPr>
        <w:t>:</w:t>
      </w:r>
    </w:p>
    <w:p w:rsidR="00680F12" w:rsidRPr="00AE360E" w:rsidRDefault="00BE7DF2" w:rsidP="00AE360E">
      <w:pPr>
        <w:spacing w:after="120"/>
        <w:jc w:val="both"/>
        <w:rPr>
          <w:rFonts w:ascii="Arial" w:hAnsi="Arial" w:cs="Arial"/>
          <w:sz w:val="24"/>
          <w:szCs w:val="24"/>
        </w:rPr>
      </w:pPr>
      <w:r w:rsidRPr="00AE360E">
        <w:rPr>
          <w:rFonts w:ascii="Arial" w:hAnsi="Arial" w:cs="Arial"/>
          <w:sz w:val="24"/>
          <w:szCs w:val="24"/>
        </w:rPr>
        <w:t>I</w:t>
      </w:r>
      <w:r w:rsidR="00313EB7" w:rsidRPr="00AE360E">
        <w:rPr>
          <w:rFonts w:ascii="Arial" w:hAnsi="Arial" w:cs="Arial"/>
          <w:sz w:val="24"/>
          <w:szCs w:val="24"/>
        </w:rPr>
        <w:t>l demeure</w:t>
      </w:r>
      <w:r w:rsidR="0078265C" w:rsidRPr="00AE360E">
        <w:rPr>
          <w:rFonts w:ascii="Arial" w:hAnsi="Arial" w:cs="Arial"/>
          <w:sz w:val="24"/>
          <w:szCs w:val="24"/>
        </w:rPr>
        <w:t xml:space="preserve"> élevé entre la première et la troisième dose du pentavalent (17%</w:t>
      </w:r>
      <w:r w:rsidR="00E35546" w:rsidRPr="00AE360E">
        <w:rPr>
          <w:rFonts w:ascii="Arial" w:hAnsi="Arial" w:cs="Arial"/>
          <w:sz w:val="24"/>
          <w:szCs w:val="24"/>
        </w:rPr>
        <w:t xml:space="preserve"> en 2013</w:t>
      </w:r>
      <w:r w:rsidR="0078265C" w:rsidRPr="00AE360E">
        <w:rPr>
          <w:rFonts w:ascii="Arial" w:hAnsi="Arial" w:cs="Arial"/>
          <w:sz w:val="24"/>
          <w:szCs w:val="24"/>
        </w:rPr>
        <w:t>) , ce taux atteint dans certains districts des chiffres extrêmement élevés (plus de 50%) : des efforts sont en cours avec la mise en place de l’échéancier dans toutes les formations sanitaires et l’utilisation des cartes doubles pour ramener le taux d’abandon à moins de 10% d’ici fin 2015</w:t>
      </w:r>
      <w:r w:rsidR="007B5902" w:rsidRPr="00AE360E">
        <w:rPr>
          <w:rFonts w:ascii="Arial" w:hAnsi="Arial" w:cs="Arial"/>
          <w:sz w:val="24"/>
          <w:szCs w:val="24"/>
        </w:rPr>
        <w:t xml:space="preserve"> dans tous les districts</w:t>
      </w:r>
      <w:r w:rsidR="0078265C" w:rsidRPr="00AE360E">
        <w:rPr>
          <w:rFonts w:ascii="Arial" w:hAnsi="Arial" w:cs="Arial"/>
          <w:sz w:val="24"/>
          <w:szCs w:val="24"/>
        </w:rPr>
        <w:t xml:space="preserve">. </w:t>
      </w:r>
      <w:r w:rsidRPr="00AE360E">
        <w:rPr>
          <w:rFonts w:ascii="Arial" w:hAnsi="Arial" w:cs="Arial"/>
          <w:sz w:val="24"/>
          <w:szCs w:val="24"/>
        </w:rPr>
        <w:t xml:space="preserve"> Les relais communautaires s</w:t>
      </w:r>
      <w:r w:rsidR="00E35546" w:rsidRPr="00AE360E">
        <w:rPr>
          <w:rFonts w:ascii="Arial" w:hAnsi="Arial" w:cs="Arial"/>
          <w:sz w:val="24"/>
          <w:szCs w:val="24"/>
        </w:rPr>
        <w:t>ont mis à contribution pour la recherche active de</w:t>
      </w:r>
      <w:r w:rsidR="006D6FE1" w:rsidRPr="00AE360E">
        <w:rPr>
          <w:rFonts w:ascii="Arial" w:hAnsi="Arial" w:cs="Arial"/>
          <w:sz w:val="24"/>
          <w:szCs w:val="24"/>
        </w:rPr>
        <w:t>s perdus de vue.</w:t>
      </w:r>
    </w:p>
    <w:p w:rsidR="002B245C" w:rsidRPr="00AE360E" w:rsidRDefault="00E35546" w:rsidP="00AE360E">
      <w:pPr>
        <w:spacing w:after="120"/>
        <w:jc w:val="both"/>
        <w:rPr>
          <w:rFonts w:ascii="Arial" w:hAnsi="Arial" w:cs="Arial"/>
          <w:b/>
          <w:sz w:val="24"/>
          <w:szCs w:val="24"/>
          <w:u w:val="single"/>
        </w:rPr>
      </w:pPr>
      <w:r w:rsidRPr="00AE360E">
        <w:rPr>
          <w:rFonts w:ascii="Arial" w:hAnsi="Arial" w:cs="Arial"/>
          <w:sz w:val="24"/>
          <w:szCs w:val="24"/>
        </w:rPr>
        <w:t xml:space="preserve">Aussi l’appui technique et financier pour les Districts va se poursuivre pour la mise en œuvre de l’approche </w:t>
      </w:r>
      <w:r w:rsidR="00313EB7" w:rsidRPr="00AE360E">
        <w:rPr>
          <w:rFonts w:ascii="Arial" w:hAnsi="Arial" w:cs="Arial"/>
          <w:sz w:val="24"/>
          <w:szCs w:val="24"/>
        </w:rPr>
        <w:t>ACD,</w:t>
      </w:r>
      <w:r w:rsidRPr="00AE360E">
        <w:rPr>
          <w:rFonts w:ascii="Arial" w:hAnsi="Arial" w:cs="Arial"/>
          <w:sz w:val="24"/>
          <w:szCs w:val="24"/>
        </w:rPr>
        <w:t xml:space="preserve"> ce qui permettra </w:t>
      </w:r>
      <w:r w:rsidR="007B5902" w:rsidRPr="00AE360E">
        <w:rPr>
          <w:rFonts w:ascii="Arial" w:hAnsi="Arial" w:cs="Arial"/>
          <w:sz w:val="24"/>
          <w:szCs w:val="24"/>
        </w:rPr>
        <w:t xml:space="preserve">d’assurer </w:t>
      </w:r>
      <w:r w:rsidRPr="00AE360E">
        <w:rPr>
          <w:rFonts w:ascii="Arial" w:hAnsi="Arial" w:cs="Arial"/>
          <w:sz w:val="24"/>
          <w:szCs w:val="24"/>
        </w:rPr>
        <w:t xml:space="preserve">une meilleure régularité des activités de vaccination notamment à l’endroit des populations éloignées et difficiles d’accès. </w:t>
      </w:r>
    </w:p>
    <w:p w:rsidR="000F77C2" w:rsidRPr="00AE360E" w:rsidRDefault="00DB463E" w:rsidP="001F6FAB">
      <w:pPr>
        <w:pStyle w:val="Paragraphedeliste"/>
        <w:numPr>
          <w:ilvl w:val="0"/>
          <w:numId w:val="21"/>
        </w:numPr>
        <w:spacing w:before="240" w:after="120"/>
        <w:ind w:left="714" w:hanging="357"/>
        <w:contextualSpacing w:val="0"/>
        <w:jc w:val="both"/>
        <w:rPr>
          <w:rFonts w:ascii="Arial" w:hAnsi="Arial" w:cs="Arial"/>
          <w:sz w:val="24"/>
          <w:szCs w:val="24"/>
        </w:rPr>
      </w:pPr>
      <w:r w:rsidRPr="00AE360E">
        <w:rPr>
          <w:rFonts w:ascii="Arial" w:hAnsi="Arial" w:cs="Arial"/>
          <w:b/>
          <w:szCs w:val="24"/>
        </w:rPr>
        <w:t xml:space="preserve">Les populations d’accès difficile </w:t>
      </w:r>
      <w:r w:rsidRPr="00AE360E">
        <w:rPr>
          <w:rFonts w:ascii="Arial" w:hAnsi="Arial" w:cs="Arial"/>
          <w:b/>
          <w:sz w:val="24"/>
          <w:szCs w:val="24"/>
        </w:rPr>
        <w:t>(insulaires et nomades) :</w:t>
      </w:r>
    </w:p>
    <w:p w:rsidR="00E35546" w:rsidRPr="00AE360E" w:rsidRDefault="000F77C2" w:rsidP="00AE360E">
      <w:pPr>
        <w:spacing w:after="120"/>
        <w:jc w:val="both"/>
        <w:rPr>
          <w:rFonts w:ascii="Arial" w:hAnsi="Arial" w:cs="Arial"/>
          <w:b/>
          <w:sz w:val="28"/>
          <w:szCs w:val="28"/>
        </w:rPr>
      </w:pPr>
      <w:r w:rsidRPr="00AE360E">
        <w:rPr>
          <w:rFonts w:ascii="Arial" w:hAnsi="Arial" w:cs="Arial"/>
          <w:sz w:val="24"/>
          <w:szCs w:val="24"/>
        </w:rPr>
        <w:t>L</w:t>
      </w:r>
      <w:r w:rsidR="00E35546" w:rsidRPr="00AE360E">
        <w:rPr>
          <w:rFonts w:ascii="Arial" w:hAnsi="Arial" w:cs="Arial"/>
          <w:sz w:val="24"/>
          <w:szCs w:val="24"/>
        </w:rPr>
        <w:t xml:space="preserve">a vaccination des populations nomades </w:t>
      </w:r>
      <w:r w:rsidR="00DB463E" w:rsidRPr="00AE360E">
        <w:rPr>
          <w:rFonts w:ascii="Arial" w:hAnsi="Arial" w:cs="Arial"/>
          <w:sz w:val="24"/>
          <w:szCs w:val="24"/>
        </w:rPr>
        <w:t xml:space="preserve">et insulaires </w:t>
      </w:r>
      <w:r w:rsidR="00E35546" w:rsidRPr="00AE360E">
        <w:rPr>
          <w:rFonts w:ascii="Arial" w:hAnsi="Arial" w:cs="Arial"/>
          <w:sz w:val="24"/>
          <w:szCs w:val="24"/>
        </w:rPr>
        <w:t>reste un grand défi : les activités spéciales de vaccination pour ces populations, déjà  en cours depuis deux ans, seront poursuivies.  Cependant des efforts financiers supplémentaires de la part du Gouvernement et des partenaires sont nécessaires pour la mise en œuvre de ces activités spéciales de vaccination à l’endroit des populations nomades</w:t>
      </w:r>
      <w:r w:rsidR="00E35546" w:rsidRPr="00AE360E">
        <w:rPr>
          <w:rFonts w:ascii="Arial" w:hAnsi="Arial" w:cs="Arial"/>
          <w:b/>
          <w:sz w:val="28"/>
          <w:szCs w:val="28"/>
        </w:rPr>
        <w:t>.</w:t>
      </w:r>
    </w:p>
    <w:p w:rsidR="00732BE2" w:rsidRPr="00AE360E" w:rsidRDefault="00732BE2" w:rsidP="001F6FAB">
      <w:pPr>
        <w:pStyle w:val="Paragraphedeliste"/>
        <w:numPr>
          <w:ilvl w:val="0"/>
          <w:numId w:val="21"/>
        </w:numPr>
        <w:spacing w:before="240" w:after="120"/>
        <w:ind w:left="714" w:hanging="357"/>
        <w:contextualSpacing w:val="0"/>
        <w:jc w:val="both"/>
        <w:rPr>
          <w:rFonts w:ascii="Arial" w:hAnsi="Arial" w:cs="Arial"/>
          <w:b/>
          <w:szCs w:val="24"/>
        </w:rPr>
      </w:pPr>
      <w:r w:rsidRPr="00AE360E">
        <w:rPr>
          <w:rFonts w:ascii="Arial" w:hAnsi="Arial" w:cs="Arial"/>
          <w:b/>
          <w:szCs w:val="24"/>
        </w:rPr>
        <w:lastRenderedPageBreak/>
        <w:t>Acquisitions logistiques</w:t>
      </w:r>
    </w:p>
    <w:p w:rsidR="00732BE2" w:rsidRPr="00AE360E" w:rsidRDefault="00732BE2" w:rsidP="008D36C2">
      <w:pPr>
        <w:pStyle w:val="Paragraphedeliste"/>
        <w:spacing w:after="120"/>
        <w:ind w:left="0"/>
        <w:jc w:val="both"/>
        <w:rPr>
          <w:rFonts w:ascii="Arial" w:hAnsi="Arial" w:cs="Arial"/>
          <w:sz w:val="24"/>
          <w:szCs w:val="24"/>
        </w:rPr>
      </w:pPr>
      <w:r w:rsidRPr="00AE360E">
        <w:rPr>
          <w:rFonts w:ascii="Arial" w:hAnsi="Arial" w:cs="Arial"/>
          <w:sz w:val="24"/>
          <w:szCs w:val="24"/>
        </w:rPr>
        <w:t xml:space="preserve">La mise à disposition et l’installation des équipements déjà sur place et ceux  commandés ne devrait souffrir d’aucun retard. Toutes les parties prenantes (Ministère et partenaires) devront prendre toutes les dispositions </w:t>
      </w:r>
      <w:r w:rsidR="00B63100" w:rsidRPr="00AE360E">
        <w:rPr>
          <w:rFonts w:ascii="Arial" w:hAnsi="Arial" w:cs="Arial"/>
          <w:sz w:val="24"/>
          <w:szCs w:val="24"/>
        </w:rPr>
        <w:t>pour respecter les délais d’acquisition et d’installation des équipements à tous les niveaux.</w:t>
      </w:r>
    </w:p>
    <w:p w:rsidR="00680F12" w:rsidRPr="00327896" w:rsidRDefault="001813A0" w:rsidP="00AE360E">
      <w:pPr>
        <w:pStyle w:val="Style2"/>
        <w:spacing w:line="276" w:lineRule="auto"/>
        <w:jc w:val="both"/>
        <w:rPr>
          <w:rFonts w:ascii="Arial" w:eastAsia="SimSun" w:hAnsi="Arial" w:cs="Arial"/>
          <w:color w:val="auto"/>
          <w:sz w:val="32"/>
          <w:lang w:val="fr-FR"/>
        </w:rPr>
      </w:pPr>
      <w:bookmarkStart w:id="14" w:name="_Toc397522420"/>
      <w:r w:rsidRPr="00327896">
        <w:rPr>
          <w:rFonts w:ascii="Arial" w:eastAsia="SimSun" w:hAnsi="Arial" w:cs="Arial"/>
          <w:color w:val="auto"/>
          <w:sz w:val="32"/>
          <w:lang w:val="fr-FR"/>
        </w:rPr>
        <w:t>Analyse situationnelle du programme national de vaccination</w:t>
      </w:r>
      <w:bookmarkEnd w:id="14"/>
    </w:p>
    <w:p w:rsidR="007E1ED6" w:rsidRPr="00AE360E" w:rsidRDefault="007E1ED6" w:rsidP="00AE360E">
      <w:pPr>
        <w:pStyle w:val="Style3"/>
        <w:spacing w:line="276" w:lineRule="auto"/>
        <w:jc w:val="both"/>
        <w:rPr>
          <w:rFonts w:ascii="Arial" w:hAnsi="Arial" w:cs="Arial"/>
          <w:color w:val="auto"/>
        </w:rPr>
      </w:pPr>
      <w:bookmarkStart w:id="15" w:name="_Toc397522421"/>
      <w:r w:rsidRPr="00AE360E">
        <w:rPr>
          <w:rFonts w:ascii="Arial" w:hAnsi="Arial" w:cs="Arial"/>
          <w:color w:val="auto"/>
          <w:lang w:val="fr-FR"/>
        </w:rPr>
        <w:t>Contextegénéral</w:t>
      </w:r>
      <w:r w:rsidRPr="00AE360E">
        <w:rPr>
          <w:rFonts w:ascii="Arial" w:hAnsi="Arial" w:cs="Arial"/>
          <w:color w:val="auto"/>
        </w:rPr>
        <w:t xml:space="preserve"> du pays</w:t>
      </w:r>
      <w:bookmarkEnd w:id="15"/>
    </w:p>
    <w:p w:rsidR="00680F12" w:rsidRPr="00AE360E" w:rsidRDefault="00061AFF" w:rsidP="008D36C2">
      <w:pPr>
        <w:autoSpaceDE w:val="0"/>
        <w:autoSpaceDN w:val="0"/>
        <w:adjustRightInd w:val="0"/>
        <w:spacing w:before="120" w:after="0"/>
        <w:jc w:val="both"/>
        <w:rPr>
          <w:rFonts w:ascii="Arial" w:hAnsi="Arial" w:cs="Arial"/>
          <w:sz w:val="24"/>
          <w:szCs w:val="24"/>
        </w:rPr>
      </w:pPr>
      <w:r w:rsidRPr="00AE360E">
        <w:rPr>
          <w:rFonts w:ascii="Arial" w:hAnsi="Arial" w:cs="Arial"/>
          <w:sz w:val="24"/>
          <w:szCs w:val="24"/>
        </w:rPr>
        <w:t>Le Tchad, un E</w:t>
      </w:r>
      <w:r w:rsidR="00680F12" w:rsidRPr="00AE360E">
        <w:rPr>
          <w:rFonts w:ascii="Arial" w:hAnsi="Arial" w:cs="Arial"/>
          <w:sz w:val="24"/>
          <w:szCs w:val="24"/>
        </w:rPr>
        <w:t>t</w:t>
      </w:r>
      <w:r w:rsidRPr="00AE360E">
        <w:rPr>
          <w:rFonts w:ascii="Arial" w:hAnsi="Arial" w:cs="Arial"/>
          <w:sz w:val="24"/>
          <w:szCs w:val="24"/>
        </w:rPr>
        <w:t>at continental sans accès à la M</w:t>
      </w:r>
      <w:r w:rsidR="00680F12" w:rsidRPr="00AE360E">
        <w:rPr>
          <w:rFonts w:ascii="Arial" w:hAnsi="Arial" w:cs="Arial"/>
          <w:sz w:val="24"/>
          <w:szCs w:val="24"/>
        </w:rPr>
        <w:t>er, est classé 5</w:t>
      </w:r>
      <w:r w:rsidR="00680F12" w:rsidRPr="00AE360E">
        <w:rPr>
          <w:rFonts w:ascii="Arial" w:hAnsi="Arial" w:cs="Arial"/>
          <w:sz w:val="24"/>
          <w:szCs w:val="24"/>
          <w:vertAlign w:val="superscript"/>
        </w:rPr>
        <w:t>ème</w:t>
      </w:r>
      <w:r w:rsidR="00680F12" w:rsidRPr="00AE360E">
        <w:rPr>
          <w:rFonts w:ascii="Arial" w:hAnsi="Arial" w:cs="Arial"/>
          <w:sz w:val="24"/>
          <w:szCs w:val="24"/>
        </w:rPr>
        <w:t>pays le plus vaste du Continent africain et couvre une superficie de 1 284 000 km². Il est limité au Nord par la Libye, à l’Est par le Soudan, au Sud par la République Centrafricaine et à l’Ouest par le Niger, le Nigeria et le Cameroun.</w:t>
      </w:r>
    </w:p>
    <w:p w:rsidR="00680F12" w:rsidRPr="00AE360E" w:rsidRDefault="00680F12" w:rsidP="008D36C2">
      <w:pPr>
        <w:spacing w:before="240" w:after="120"/>
        <w:jc w:val="both"/>
        <w:rPr>
          <w:rFonts w:ascii="Arial" w:hAnsi="Arial" w:cs="Arial"/>
          <w:sz w:val="24"/>
          <w:szCs w:val="24"/>
        </w:rPr>
      </w:pPr>
      <w:r w:rsidRPr="00AE360E">
        <w:rPr>
          <w:rFonts w:ascii="Arial" w:hAnsi="Arial" w:cs="Arial"/>
          <w:sz w:val="24"/>
          <w:szCs w:val="24"/>
        </w:rPr>
        <w:t>Le Tchad est divisé en trois zones climatiques :</w:t>
      </w:r>
    </w:p>
    <w:p w:rsidR="00680F12" w:rsidRPr="00AE360E" w:rsidRDefault="00680F12" w:rsidP="008D36C2">
      <w:pPr>
        <w:pStyle w:val="Paragraphedeliste"/>
        <w:numPr>
          <w:ilvl w:val="0"/>
          <w:numId w:val="1"/>
        </w:numPr>
        <w:spacing w:after="0"/>
        <w:ind w:left="714" w:hanging="357"/>
        <w:contextualSpacing w:val="0"/>
        <w:jc w:val="both"/>
        <w:rPr>
          <w:rFonts w:ascii="Arial" w:hAnsi="Arial" w:cs="Arial"/>
          <w:sz w:val="24"/>
          <w:szCs w:val="24"/>
        </w:rPr>
      </w:pPr>
      <w:r w:rsidRPr="00AE360E">
        <w:rPr>
          <w:rFonts w:ascii="Arial" w:hAnsi="Arial" w:cs="Arial"/>
          <w:sz w:val="24"/>
          <w:szCs w:val="24"/>
        </w:rPr>
        <w:t>une zone saharienne couvrant 60% du territoire national  avec un climat désertique;</w:t>
      </w:r>
    </w:p>
    <w:p w:rsidR="00680F12" w:rsidRPr="00AE360E" w:rsidRDefault="00680F12" w:rsidP="008D36C2">
      <w:pPr>
        <w:pStyle w:val="Paragraphedeliste"/>
        <w:numPr>
          <w:ilvl w:val="0"/>
          <w:numId w:val="1"/>
        </w:numPr>
        <w:spacing w:after="0"/>
        <w:ind w:left="714" w:hanging="357"/>
        <w:contextualSpacing w:val="0"/>
        <w:jc w:val="both"/>
        <w:rPr>
          <w:rFonts w:ascii="Arial" w:hAnsi="Arial" w:cs="Arial"/>
          <w:sz w:val="24"/>
          <w:szCs w:val="24"/>
        </w:rPr>
      </w:pPr>
      <w:r w:rsidRPr="00AE360E">
        <w:rPr>
          <w:rFonts w:ascii="Arial" w:hAnsi="Arial" w:cs="Arial"/>
          <w:sz w:val="24"/>
          <w:szCs w:val="24"/>
        </w:rPr>
        <w:t>une zone soudanienne, assez pluvieuse couvrant 10% du territoire ;</w:t>
      </w:r>
    </w:p>
    <w:p w:rsidR="00F8683B" w:rsidRPr="00AE360E" w:rsidRDefault="00F8683B" w:rsidP="00AE360E">
      <w:pPr>
        <w:pStyle w:val="Paragraphedeliste"/>
        <w:numPr>
          <w:ilvl w:val="0"/>
          <w:numId w:val="1"/>
        </w:numPr>
        <w:jc w:val="both"/>
        <w:rPr>
          <w:rFonts w:ascii="Arial" w:hAnsi="Arial" w:cs="Arial"/>
          <w:sz w:val="24"/>
          <w:szCs w:val="24"/>
        </w:rPr>
      </w:pPr>
      <w:r w:rsidRPr="00AE360E">
        <w:rPr>
          <w:rFonts w:ascii="Arial" w:hAnsi="Arial" w:cs="Arial"/>
          <w:sz w:val="24"/>
          <w:szCs w:val="24"/>
        </w:rPr>
        <w:t>une zone sahélienne, entre les deux premières zones, où se situe la capitale Ndjamena</w:t>
      </w:r>
      <w:r w:rsidR="003D68DD" w:rsidRPr="00AE360E">
        <w:rPr>
          <w:rFonts w:ascii="Arial" w:hAnsi="Arial" w:cs="Arial"/>
          <w:sz w:val="24"/>
          <w:szCs w:val="24"/>
        </w:rPr>
        <w:t>.</w:t>
      </w:r>
    </w:p>
    <w:p w:rsidR="0031447F" w:rsidRPr="00AE360E" w:rsidRDefault="0031447F"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Le pays compte de nos jours 23 régions, 63départements et 251 sous-préfectures.</w:t>
      </w:r>
    </w:p>
    <w:p w:rsidR="00F8683B" w:rsidRPr="00AE360E" w:rsidRDefault="00F8683B" w:rsidP="00AE360E">
      <w:pPr>
        <w:autoSpaceDE w:val="0"/>
        <w:autoSpaceDN w:val="0"/>
        <w:adjustRightInd w:val="0"/>
        <w:spacing w:after="0"/>
        <w:jc w:val="both"/>
        <w:rPr>
          <w:rFonts w:ascii="Arial" w:hAnsi="Arial" w:cs="Arial"/>
          <w:sz w:val="24"/>
          <w:szCs w:val="24"/>
        </w:rPr>
      </w:pPr>
    </w:p>
    <w:p w:rsidR="00680F12" w:rsidRPr="00AE360E" w:rsidRDefault="007D127D"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Suite au dernier recensement de la population </w:t>
      </w:r>
      <w:r w:rsidR="00A858E0" w:rsidRPr="00AE360E">
        <w:rPr>
          <w:rFonts w:ascii="Arial" w:hAnsi="Arial" w:cs="Arial"/>
          <w:sz w:val="24"/>
          <w:szCs w:val="24"/>
        </w:rPr>
        <w:t xml:space="preserve">et de l’habitat </w:t>
      </w:r>
      <w:r w:rsidR="00680F12" w:rsidRPr="00AE360E">
        <w:rPr>
          <w:rFonts w:ascii="Arial" w:hAnsi="Arial" w:cs="Arial"/>
          <w:sz w:val="24"/>
          <w:szCs w:val="24"/>
        </w:rPr>
        <w:t>en 2009,</w:t>
      </w:r>
      <w:r w:rsidRPr="00AE360E">
        <w:rPr>
          <w:rFonts w:ascii="Arial" w:hAnsi="Arial" w:cs="Arial"/>
          <w:sz w:val="24"/>
          <w:szCs w:val="24"/>
        </w:rPr>
        <w:t xml:space="preserve"> le Tchad comptait </w:t>
      </w:r>
      <w:r w:rsidR="00680F12" w:rsidRPr="00AE360E">
        <w:rPr>
          <w:rFonts w:ascii="Arial" w:hAnsi="Arial" w:cs="Arial"/>
          <w:sz w:val="24"/>
          <w:szCs w:val="24"/>
        </w:rPr>
        <w:t xml:space="preserve"> 11 274 106 habitants avec un taux d’accroissement annuel de 3,6%. Ce qui donne en 2014, une population de 13 454 913 habitants.</w:t>
      </w:r>
    </w:p>
    <w:p w:rsidR="0066393D" w:rsidRPr="00AE360E" w:rsidRDefault="0066393D"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Près de 80% de cette population vit en milieu rural, la population </w:t>
      </w:r>
      <w:r w:rsidR="00A858E0" w:rsidRPr="00AE360E">
        <w:rPr>
          <w:rFonts w:ascii="Arial" w:hAnsi="Arial" w:cs="Arial"/>
          <w:sz w:val="24"/>
          <w:szCs w:val="24"/>
        </w:rPr>
        <w:t xml:space="preserve">nomade </w:t>
      </w:r>
      <w:r w:rsidR="007D127D" w:rsidRPr="00AE360E">
        <w:rPr>
          <w:rFonts w:ascii="Arial" w:hAnsi="Arial" w:cs="Arial"/>
          <w:sz w:val="24"/>
          <w:szCs w:val="24"/>
        </w:rPr>
        <w:t xml:space="preserve">étant </w:t>
      </w:r>
      <w:r w:rsidRPr="00AE360E">
        <w:rPr>
          <w:rFonts w:ascii="Arial" w:hAnsi="Arial" w:cs="Arial"/>
          <w:sz w:val="24"/>
          <w:szCs w:val="24"/>
        </w:rPr>
        <w:t xml:space="preserve">estimée à 3,5%. La densité moyenne de 10,11 habitants au km2 cache des grandes inégalités régionales dont les plus extrêmes sont respectivement de 0,14 dans la partie désertique du Tibesti au Nord et 70,36 habitants/km2 dans le Logone </w:t>
      </w:r>
      <w:r w:rsidR="00A858E0" w:rsidRPr="00AE360E">
        <w:rPr>
          <w:rFonts w:ascii="Arial" w:hAnsi="Arial" w:cs="Arial"/>
          <w:sz w:val="24"/>
          <w:szCs w:val="24"/>
        </w:rPr>
        <w:t>O</w:t>
      </w:r>
      <w:r w:rsidRPr="00AE360E">
        <w:rPr>
          <w:rFonts w:ascii="Arial" w:hAnsi="Arial" w:cs="Arial"/>
          <w:sz w:val="24"/>
          <w:szCs w:val="24"/>
        </w:rPr>
        <w:t>ccidental au Sud.</w:t>
      </w:r>
    </w:p>
    <w:p w:rsidR="001C5FF9" w:rsidRPr="00AE360E" w:rsidRDefault="00715C38" w:rsidP="00AE360E">
      <w:pPr>
        <w:autoSpaceDE w:val="0"/>
        <w:autoSpaceDN w:val="0"/>
        <w:adjustRightInd w:val="0"/>
        <w:spacing w:after="0"/>
        <w:jc w:val="both"/>
        <w:rPr>
          <w:rFonts w:ascii="Arial" w:hAnsi="Arial" w:cs="Arial"/>
          <w:sz w:val="28"/>
          <w:szCs w:val="28"/>
        </w:rPr>
      </w:pPr>
      <w:r w:rsidRPr="00AE360E">
        <w:rPr>
          <w:rFonts w:ascii="Arial" w:hAnsi="Arial" w:cs="Arial"/>
          <w:noProof/>
          <w:sz w:val="28"/>
          <w:szCs w:val="28"/>
          <w:lang w:eastAsia="fr-FR"/>
        </w:rPr>
        <w:lastRenderedPageBreak/>
        <w:drawing>
          <wp:inline distT="0" distB="0" distL="0" distR="0">
            <wp:extent cx="4302295" cy="5542150"/>
            <wp:effectExtent l="0" t="0" r="317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3442" cy="5543628"/>
                    </a:xfrm>
                    <a:prstGeom prst="rect">
                      <a:avLst/>
                    </a:prstGeom>
                    <a:noFill/>
                    <a:ln>
                      <a:noFill/>
                    </a:ln>
                  </pic:spPr>
                </pic:pic>
              </a:graphicData>
            </a:graphic>
          </wp:inline>
        </w:drawing>
      </w:r>
    </w:p>
    <w:p w:rsidR="002B245C" w:rsidRPr="005A3157" w:rsidRDefault="005A3157" w:rsidP="00AE360E">
      <w:pPr>
        <w:autoSpaceDE w:val="0"/>
        <w:autoSpaceDN w:val="0"/>
        <w:adjustRightInd w:val="0"/>
        <w:spacing w:after="0"/>
        <w:jc w:val="both"/>
        <w:rPr>
          <w:rFonts w:ascii="Arial" w:hAnsi="Arial" w:cs="Arial"/>
          <w:szCs w:val="28"/>
        </w:rPr>
      </w:pPr>
      <w:r w:rsidRPr="005A3157">
        <w:rPr>
          <w:rFonts w:ascii="Arial" w:hAnsi="Arial" w:cs="Arial"/>
          <w:b/>
          <w:szCs w:val="28"/>
          <w:u w:val="single"/>
        </w:rPr>
        <w:t>Figure 1</w:t>
      </w:r>
      <w:r w:rsidRPr="005A3157">
        <w:rPr>
          <w:rFonts w:ascii="Arial" w:hAnsi="Arial" w:cs="Arial"/>
          <w:szCs w:val="28"/>
        </w:rPr>
        <w:t> : Carte administrative du Tchad</w:t>
      </w:r>
    </w:p>
    <w:p w:rsidR="00327896" w:rsidRDefault="00327896">
      <w:pPr>
        <w:rPr>
          <w:rFonts w:ascii="Arial" w:hAnsi="Arial" w:cs="Arial"/>
          <w:b/>
          <w:sz w:val="28"/>
          <w:szCs w:val="28"/>
          <w:u w:val="single"/>
        </w:rPr>
      </w:pPr>
      <w:r>
        <w:rPr>
          <w:rFonts w:ascii="Arial" w:hAnsi="Arial" w:cs="Arial"/>
          <w:b/>
          <w:sz w:val="28"/>
          <w:szCs w:val="28"/>
          <w:u w:val="single"/>
        </w:rPr>
        <w:br w:type="page"/>
      </w:r>
    </w:p>
    <w:p w:rsidR="001C5FF9" w:rsidRPr="00AE360E" w:rsidRDefault="00852B65" w:rsidP="00327896">
      <w:pPr>
        <w:pStyle w:val="Paragraphedeliste"/>
        <w:numPr>
          <w:ilvl w:val="0"/>
          <w:numId w:val="44"/>
        </w:numPr>
        <w:autoSpaceDE w:val="0"/>
        <w:autoSpaceDN w:val="0"/>
        <w:adjustRightInd w:val="0"/>
        <w:spacing w:after="0"/>
        <w:jc w:val="both"/>
        <w:rPr>
          <w:rFonts w:ascii="Arial" w:hAnsi="Arial" w:cs="Arial"/>
          <w:sz w:val="28"/>
          <w:szCs w:val="28"/>
        </w:rPr>
      </w:pPr>
      <w:r>
        <w:rPr>
          <w:rFonts w:ascii="Arial" w:hAnsi="Arial" w:cs="Arial"/>
          <w:b/>
          <w:sz w:val="28"/>
          <w:szCs w:val="28"/>
          <w:u w:val="single"/>
        </w:rPr>
        <w:lastRenderedPageBreak/>
        <w:t xml:space="preserve">Situation </w:t>
      </w:r>
      <w:r w:rsidR="00872252" w:rsidRPr="00AE360E">
        <w:rPr>
          <w:rFonts w:ascii="Arial" w:hAnsi="Arial" w:cs="Arial"/>
          <w:b/>
          <w:sz w:val="28"/>
          <w:szCs w:val="28"/>
          <w:u w:val="single"/>
        </w:rPr>
        <w:t>sanitaire</w:t>
      </w:r>
    </w:p>
    <w:p w:rsidR="002C0497" w:rsidRPr="00AE360E" w:rsidRDefault="002C0497" w:rsidP="00AE360E">
      <w:pPr>
        <w:autoSpaceDE w:val="0"/>
        <w:autoSpaceDN w:val="0"/>
        <w:adjustRightInd w:val="0"/>
        <w:spacing w:after="0"/>
        <w:jc w:val="both"/>
        <w:rPr>
          <w:rFonts w:ascii="Arial" w:hAnsi="Arial" w:cs="Arial"/>
          <w:sz w:val="28"/>
          <w:szCs w:val="28"/>
        </w:rPr>
      </w:pPr>
    </w:p>
    <w:p w:rsidR="00F65343" w:rsidRPr="00AE360E" w:rsidRDefault="00F653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Les principaux indicateurs de sant</w:t>
      </w:r>
      <w:r w:rsidR="00F8683B" w:rsidRPr="00AE360E">
        <w:rPr>
          <w:rFonts w:ascii="Arial" w:hAnsi="Arial" w:cs="Arial"/>
          <w:sz w:val="24"/>
          <w:szCs w:val="24"/>
        </w:rPr>
        <w:t xml:space="preserve">é </w:t>
      </w:r>
      <w:r w:rsidR="001813A0" w:rsidRPr="00AE360E">
        <w:rPr>
          <w:rFonts w:ascii="Arial" w:hAnsi="Arial" w:cs="Arial"/>
          <w:sz w:val="24"/>
          <w:szCs w:val="24"/>
        </w:rPr>
        <w:t xml:space="preserve"> ci-dessous, </w:t>
      </w:r>
      <w:r w:rsidRPr="00AE360E">
        <w:rPr>
          <w:rFonts w:ascii="Arial" w:hAnsi="Arial" w:cs="Arial"/>
          <w:sz w:val="24"/>
          <w:szCs w:val="24"/>
        </w:rPr>
        <w:t>montrent qu’il reste encore beaucoup d’efforts à faire pour améliorer la santé des populations en général et c</w:t>
      </w:r>
      <w:r w:rsidR="001813A0" w:rsidRPr="00AE360E">
        <w:rPr>
          <w:rFonts w:ascii="Arial" w:hAnsi="Arial" w:cs="Arial"/>
          <w:sz w:val="24"/>
          <w:szCs w:val="24"/>
        </w:rPr>
        <w:t>elle des enfants en particulier :</w:t>
      </w:r>
    </w:p>
    <w:p w:rsidR="00F65343" w:rsidRPr="00AE360E" w:rsidRDefault="00F65343" w:rsidP="00AE360E">
      <w:pPr>
        <w:autoSpaceDE w:val="0"/>
        <w:autoSpaceDN w:val="0"/>
        <w:adjustRightInd w:val="0"/>
        <w:spacing w:after="0"/>
        <w:jc w:val="both"/>
        <w:rPr>
          <w:rFonts w:ascii="Arial" w:hAnsi="Arial" w:cs="Arial"/>
          <w:sz w:val="24"/>
          <w:szCs w:val="24"/>
        </w:rPr>
      </w:pPr>
    </w:p>
    <w:p w:rsidR="002C0497" w:rsidRPr="00AE360E" w:rsidRDefault="002C0497" w:rsidP="00AE360E">
      <w:pPr>
        <w:pStyle w:val="Paragraphedeliste"/>
        <w:numPr>
          <w:ilvl w:val="0"/>
          <w:numId w:val="1"/>
        </w:numPr>
        <w:autoSpaceDE w:val="0"/>
        <w:autoSpaceDN w:val="0"/>
        <w:adjustRightInd w:val="0"/>
        <w:spacing w:after="0"/>
        <w:jc w:val="both"/>
        <w:rPr>
          <w:rFonts w:ascii="Arial" w:hAnsi="Arial" w:cs="Arial"/>
          <w:sz w:val="24"/>
          <w:szCs w:val="24"/>
        </w:rPr>
      </w:pPr>
      <w:r w:rsidRPr="00AE360E">
        <w:rPr>
          <w:rFonts w:ascii="Arial" w:hAnsi="Arial" w:cs="Arial"/>
          <w:sz w:val="24"/>
          <w:szCs w:val="24"/>
        </w:rPr>
        <w:t>Taux brut de mortalité (TBM) 16,3 pour 1000.</w:t>
      </w:r>
    </w:p>
    <w:p w:rsidR="001C5FF9" w:rsidRPr="00AE360E" w:rsidRDefault="001C5FF9" w:rsidP="00AE360E">
      <w:pPr>
        <w:pStyle w:val="Paragraphedeliste"/>
        <w:numPr>
          <w:ilvl w:val="0"/>
          <w:numId w:val="1"/>
        </w:numPr>
        <w:autoSpaceDE w:val="0"/>
        <w:autoSpaceDN w:val="0"/>
        <w:adjustRightInd w:val="0"/>
        <w:spacing w:after="0"/>
        <w:jc w:val="both"/>
        <w:rPr>
          <w:rFonts w:ascii="Arial" w:hAnsi="Arial" w:cs="Arial"/>
          <w:sz w:val="24"/>
          <w:szCs w:val="24"/>
        </w:rPr>
      </w:pPr>
      <w:r w:rsidRPr="00AE360E">
        <w:rPr>
          <w:rFonts w:ascii="Arial" w:hAnsi="Arial" w:cs="Arial"/>
          <w:sz w:val="24"/>
          <w:szCs w:val="24"/>
        </w:rPr>
        <w:t>Taux de mortalité infanto</w:t>
      </w:r>
      <w:r w:rsidR="002C0497" w:rsidRPr="00AE360E">
        <w:rPr>
          <w:rFonts w:ascii="Arial" w:hAnsi="Arial" w:cs="Arial"/>
          <w:sz w:val="24"/>
          <w:szCs w:val="24"/>
        </w:rPr>
        <w:t xml:space="preserve"> juvénile 180 p. mille (MICS 2010)</w:t>
      </w:r>
    </w:p>
    <w:p w:rsidR="002C0497" w:rsidRPr="00AE360E" w:rsidRDefault="002C0497" w:rsidP="00AE360E">
      <w:pPr>
        <w:pStyle w:val="Paragraphedeliste"/>
        <w:numPr>
          <w:ilvl w:val="0"/>
          <w:numId w:val="1"/>
        </w:numPr>
        <w:autoSpaceDE w:val="0"/>
        <w:autoSpaceDN w:val="0"/>
        <w:adjustRightInd w:val="0"/>
        <w:spacing w:after="0"/>
        <w:jc w:val="both"/>
        <w:rPr>
          <w:rFonts w:ascii="Arial" w:hAnsi="Arial" w:cs="Arial"/>
          <w:sz w:val="24"/>
          <w:szCs w:val="24"/>
        </w:rPr>
      </w:pPr>
      <w:r w:rsidRPr="00AE360E">
        <w:rPr>
          <w:rFonts w:ascii="Arial" w:hAnsi="Arial" w:cs="Arial"/>
          <w:sz w:val="24"/>
          <w:szCs w:val="24"/>
        </w:rPr>
        <w:t>Taux de mortalité infantile : 109 pour 1000 (MICS 2010).</w:t>
      </w:r>
    </w:p>
    <w:p w:rsidR="00B22D15" w:rsidRPr="00AE360E" w:rsidRDefault="00B22D15" w:rsidP="00AE360E">
      <w:pPr>
        <w:autoSpaceDE w:val="0"/>
        <w:autoSpaceDN w:val="0"/>
        <w:adjustRightInd w:val="0"/>
        <w:spacing w:after="0"/>
        <w:jc w:val="both"/>
        <w:rPr>
          <w:rFonts w:ascii="Arial" w:hAnsi="Arial" w:cs="Arial"/>
          <w:sz w:val="24"/>
          <w:szCs w:val="24"/>
        </w:rPr>
      </w:pPr>
    </w:p>
    <w:p w:rsidR="00AF6F94" w:rsidRPr="00AE360E" w:rsidRDefault="00AF6F94"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Chez l’enfant les causes les plus fréquentes de maladies et de décès sont respectivement le paludisme, les infections des voies respiratoires, les maladies diarrhéiques, la rougeole et les autres maladies évitables par la vaccination. Le tétanos néonatal constitue également une cause importante de décès. La malnutritionet les maladies de carence (iode, vitamine A, fer) affectent préférentiellement les enfants et les femmes. Trente-neuf pour cent (39 %) des enfants de moins de 5 ans souffrent de retard de croissance (Selon MICS 2010).</w:t>
      </w:r>
    </w:p>
    <w:p w:rsidR="00187AA2" w:rsidRPr="00AE360E" w:rsidRDefault="00187AA2" w:rsidP="00AE360E">
      <w:pPr>
        <w:autoSpaceDE w:val="0"/>
        <w:autoSpaceDN w:val="0"/>
        <w:adjustRightInd w:val="0"/>
        <w:spacing w:after="0"/>
        <w:jc w:val="both"/>
        <w:rPr>
          <w:rFonts w:ascii="Arial" w:hAnsi="Arial" w:cs="Arial"/>
          <w:sz w:val="28"/>
          <w:szCs w:val="28"/>
        </w:rPr>
      </w:pPr>
    </w:p>
    <w:p w:rsidR="00F65343" w:rsidRPr="00AE360E" w:rsidRDefault="00F653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C’est pourquoi les autorités nationales ont pris de nombreuses initiatives pour améliorer l’accessibilité des populations aux services de santé, avec notamment la gratuité des soins pour tous les enfants de 0-5 ans.</w:t>
      </w:r>
    </w:p>
    <w:p w:rsidR="00CD02E3" w:rsidRPr="00AE360E" w:rsidRDefault="00CD02E3" w:rsidP="00AE360E">
      <w:pPr>
        <w:autoSpaceDE w:val="0"/>
        <w:autoSpaceDN w:val="0"/>
        <w:adjustRightInd w:val="0"/>
        <w:spacing w:after="0"/>
        <w:jc w:val="both"/>
        <w:rPr>
          <w:rFonts w:ascii="Arial" w:hAnsi="Arial" w:cs="Arial"/>
          <w:sz w:val="24"/>
          <w:szCs w:val="24"/>
        </w:rPr>
      </w:pPr>
    </w:p>
    <w:p w:rsidR="00CD02E3" w:rsidRPr="00AE360E" w:rsidRDefault="00CD02E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Par rapport aux maladies cibles du PEV à éradiquer ou à éliminer, le Tchad fait encore face à des défis :</w:t>
      </w:r>
    </w:p>
    <w:p w:rsidR="00CD02E3" w:rsidRPr="00AE360E" w:rsidRDefault="00CD02E3" w:rsidP="00AE360E">
      <w:pPr>
        <w:pStyle w:val="Paragraphedeliste"/>
        <w:numPr>
          <w:ilvl w:val="0"/>
          <w:numId w:val="1"/>
        </w:numPr>
        <w:autoSpaceDE w:val="0"/>
        <w:autoSpaceDN w:val="0"/>
        <w:adjustRightInd w:val="0"/>
        <w:spacing w:after="0"/>
        <w:jc w:val="both"/>
        <w:rPr>
          <w:rFonts w:ascii="Arial" w:hAnsi="Arial" w:cs="Arial"/>
          <w:sz w:val="24"/>
          <w:szCs w:val="24"/>
        </w:rPr>
      </w:pPr>
      <w:r w:rsidRPr="00AE360E">
        <w:rPr>
          <w:rFonts w:ascii="Arial" w:hAnsi="Arial" w:cs="Arial"/>
          <w:sz w:val="24"/>
          <w:szCs w:val="24"/>
        </w:rPr>
        <w:t>La rougeole est présente sous forme endémo-épidémique : en</w:t>
      </w:r>
      <w:r w:rsidR="00457C8E" w:rsidRPr="00AE360E">
        <w:rPr>
          <w:rFonts w:ascii="Arial" w:hAnsi="Arial" w:cs="Arial"/>
          <w:sz w:val="24"/>
          <w:szCs w:val="24"/>
        </w:rPr>
        <w:t xml:space="preserve"> 2013 le Tchad a notifié 226 cas de rougeole confirmés ;</w:t>
      </w:r>
    </w:p>
    <w:p w:rsidR="00457C8E" w:rsidRPr="00AE360E" w:rsidRDefault="00457C8E" w:rsidP="00AE360E">
      <w:pPr>
        <w:pStyle w:val="Paragraphedeliste"/>
        <w:numPr>
          <w:ilvl w:val="0"/>
          <w:numId w:val="1"/>
        </w:numPr>
        <w:autoSpaceDE w:val="0"/>
        <w:autoSpaceDN w:val="0"/>
        <w:adjustRightInd w:val="0"/>
        <w:spacing w:after="0"/>
        <w:jc w:val="both"/>
        <w:rPr>
          <w:rFonts w:ascii="Arial" w:hAnsi="Arial" w:cs="Arial"/>
          <w:sz w:val="24"/>
          <w:szCs w:val="24"/>
        </w:rPr>
      </w:pPr>
      <w:r w:rsidRPr="00AE360E">
        <w:rPr>
          <w:rFonts w:ascii="Arial" w:hAnsi="Arial" w:cs="Arial"/>
          <w:sz w:val="24"/>
          <w:szCs w:val="24"/>
        </w:rPr>
        <w:t>Le tétanos néonatal est encore présent avec 176 cas enregistrés en 2013 ;</w:t>
      </w:r>
    </w:p>
    <w:p w:rsidR="00457C8E" w:rsidRPr="00AE360E" w:rsidRDefault="00457C8E" w:rsidP="00AE360E">
      <w:pPr>
        <w:pStyle w:val="Paragraphedeliste"/>
        <w:numPr>
          <w:ilvl w:val="0"/>
          <w:numId w:val="1"/>
        </w:numPr>
        <w:autoSpaceDE w:val="0"/>
        <w:autoSpaceDN w:val="0"/>
        <w:adjustRightInd w:val="0"/>
        <w:spacing w:after="0"/>
        <w:jc w:val="both"/>
        <w:rPr>
          <w:rFonts w:ascii="Arial" w:hAnsi="Arial" w:cs="Arial"/>
          <w:sz w:val="28"/>
          <w:szCs w:val="28"/>
        </w:rPr>
      </w:pPr>
      <w:r w:rsidRPr="00AE360E">
        <w:rPr>
          <w:rFonts w:ascii="Arial" w:hAnsi="Arial" w:cs="Arial"/>
          <w:sz w:val="24"/>
          <w:szCs w:val="24"/>
        </w:rPr>
        <w:t xml:space="preserve">Par rapport à la </w:t>
      </w:r>
      <w:r w:rsidR="005129F7" w:rsidRPr="00AE360E">
        <w:rPr>
          <w:rFonts w:ascii="Arial" w:hAnsi="Arial" w:cs="Arial"/>
          <w:sz w:val="24"/>
          <w:szCs w:val="24"/>
        </w:rPr>
        <w:t>poliomyélite,</w:t>
      </w:r>
      <w:r w:rsidRPr="00AE360E">
        <w:rPr>
          <w:rFonts w:ascii="Arial" w:hAnsi="Arial" w:cs="Arial"/>
          <w:sz w:val="24"/>
          <w:szCs w:val="24"/>
        </w:rPr>
        <w:t xml:space="preserve"> le Tchad n’a plus </w:t>
      </w:r>
      <w:r w:rsidR="008B3AC9" w:rsidRPr="00AE360E">
        <w:rPr>
          <w:rFonts w:ascii="Arial" w:hAnsi="Arial" w:cs="Arial"/>
          <w:sz w:val="24"/>
          <w:szCs w:val="24"/>
        </w:rPr>
        <w:t xml:space="preserve">enregistré de cas de PVS depuis </w:t>
      </w:r>
      <w:r w:rsidR="00872252" w:rsidRPr="00AE360E">
        <w:rPr>
          <w:rFonts w:ascii="Arial" w:hAnsi="Arial" w:cs="Arial"/>
          <w:sz w:val="24"/>
          <w:szCs w:val="24"/>
        </w:rPr>
        <w:t xml:space="preserve">juin </w:t>
      </w:r>
      <w:r w:rsidR="004C249B" w:rsidRPr="00AE360E">
        <w:rPr>
          <w:rFonts w:ascii="Arial" w:hAnsi="Arial" w:cs="Arial"/>
          <w:sz w:val="24"/>
          <w:szCs w:val="24"/>
        </w:rPr>
        <w:t xml:space="preserve">2012, </w:t>
      </w:r>
      <w:r w:rsidR="007101BC" w:rsidRPr="00AE360E">
        <w:rPr>
          <w:rFonts w:ascii="Arial" w:hAnsi="Arial" w:cs="Arial"/>
          <w:sz w:val="24"/>
          <w:szCs w:val="24"/>
        </w:rPr>
        <w:t>après la</w:t>
      </w:r>
      <w:r w:rsidR="004C249B" w:rsidRPr="00AE360E">
        <w:rPr>
          <w:rFonts w:ascii="Arial" w:hAnsi="Arial" w:cs="Arial"/>
          <w:sz w:val="24"/>
          <w:szCs w:val="24"/>
        </w:rPr>
        <w:t xml:space="preserve"> flambée entre 2010, 2011</w:t>
      </w:r>
      <w:r w:rsidR="00F8683B" w:rsidRPr="00AE360E">
        <w:rPr>
          <w:rFonts w:ascii="Arial" w:hAnsi="Arial" w:cs="Arial"/>
          <w:sz w:val="24"/>
          <w:szCs w:val="24"/>
        </w:rPr>
        <w:t xml:space="preserve"> et 2012 avec </w:t>
      </w:r>
      <w:r w:rsidR="004C249B" w:rsidRPr="00AE360E">
        <w:rPr>
          <w:rFonts w:ascii="Arial" w:hAnsi="Arial" w:cs="Arial"/>
          <w:sz w:val="24"/>
          <w:szCs w:val="24"/>
        </w:rPr>
        <w:t xml:space="preserve"> respectivement</w:t>
      </w:r>
      <w:r w:rsidR="00BF38BC" w:rsidRPr="00AE360E">
        <w:rPr>
          <w:rFonts w:ascii="Arial" w:hAnsi="Arial" w:cs="Arial"/>
          <w:sz w:val="24"/>
          <w:szCs w:val="24"/>
        </w:rPr>
        <w:t xml:space="preserve"> 26,</w:t>
      </w:r>
      <w:r w:rsidR="004C249B" w:rsidRPr="00AE360E">
        <w:rPr>
          <w:rFonts w:ascii="Arial" w:hAnsi="Arial" w:cs="Arial"/>
          <w:sz w:val="24"/>
          <w:szCs w:val="24"/>
        </w:rPr>
        <w:t xml:space="preserve"> 132 et 5 cas de </w:t>
      </w:r>
      <w:r w:rsidR="002B245C" w:rsidRPr="00AE360E">
        <w:rPr>
          <w:rFonts w:ascii="Arial" w:hAnsi="Arial" w:cs="Arial"/>
          <w:sz w:val="24"/>
          <w:szCs w:val="24"/>
        </w:rPr>
        <w:t>PVS</w:t>
      </w:r>
      <w:r w:rsidR="002B245C" w:rsidRPr="00AE360E">
        <w:rPr>
          <w:rFonts w:ascii="Arial" w:hAnsi="Arial" w:cs="Arial"/>
          <w:color w:val="FF0000"/>
          <w:sz w:val="28"/>
          <w:szCs w:val="28"/>
        </w:rPr>
        <w:t xml:space="preserve">. </w:t>
      </w:r>
    </w:p>
    <w:p w:rsidR="00AF6F94" w:rsidRPr="00AE360E" w:rsidRDefault="00AF6F94" w:rsidP="00AE360E">
      <w:pPr>
        <w:autoSpaceDE w:val="0"/>
        <w:autoSpaceDN w:val="0"/>
        <w:adjustRightInd w:val="0"/>
        <w:spacing w:after="0"/>
        <w:jc w:val="both"/>
        <w:rPr>
          <w:rFonts w:ascii="Arial" w:hAnsi="Arial" w:cs="Arial"/>
          <w:sz w:val="28"/>
          <w:szCs w:val="28"/>
        </w:rPr>
      </w:pPr>
    </w:p>
    <w:p w:rsidR="001C5FF9" w:rsidRPr="00AE360E" w:rsidRDefault="001C5FF9" w:rsidP="00327896">
      <w:pPr>
        <w:pStyle w:val="Paragraphedeliste"/>
        <w:numPr>
          <w:ilvl w:val="0"/>
          <w:numId w:val="44"/>
        </w:numPr>
        <w:autoSpaceDE w:val="0"/>
        <w:autoSpaceDN w:val="0"/>
        <w:adjustRightInd w:val="0"/>
        <w:spacing w:after="0"/>
        <w:jc w:val="both"/>
        <w:rPr>
          <w:rFonts w:ascii="Arial" w:hAnsi="Arial" w:cs="Arial"/>
          <w:sz w:val="28"/>
          <w:szCs w:val="28"/>
        </w:rPr>
      </w:pPr>
      <w:r w:rsidRPr="00AE360E">
        <w:rPr>
          <w:rFonts w:ascii="Arial" w:hAnsi="Arial" w:cs="Arial"/>
          <w:b/>
          <w:sz w:val="28"/>
          <w:szCs w:val="28"/>
          <w:u w:val="single"/>
        </w:rPr>
        <w:t>Documents de Politique de Santé</w:t>
      </w:r>
      <w:r w:rsidRPr="00AE360E">
        <w:rPr>
          <w:rFonts w:ascii="Arial" w:hAnsi="Arial" w:cs="Arial"/>
          <w:sz w:val="28"/>
          <w:szCs w:val="28"/>
        </w:rPr>
        <w:t> :</w:t>
      </w:r>
    </w:p>
    <w:p w:rsidR="007D127D" w:rsidRPr="00AE360E" w:rsidRDefault="007D127D" w:rsidP="00AE360E">
      <w:pPr>
        <w:autoSpaceDE w:val="0"/>
        <w:autoSpaceDN w:val="0"/>
        <w:adjustRightInd w:val="0"/>
        <w:spacing w:after="0"/>
        <w:jc w:val="both"/>
        <w:rPr>
          <w:rFonts w:ascii="Arial" w:hAnsi="Arial" w:cs="Arial"/>
          <w:sz w:val="28"/>
          <w:szCs w:val="28"/>
          <w:u w:val="single"/>
        </w:rPr>
      </w:pPr>
    </w:p>
    <w:p w:rsidR="001C5FF9" w:rsidRPr="000859D4" w:rsidRDefault="00715C38" w:rsidP="00AE360E">
      <w:pPr>
        <w:pStyle w:val="Paragraphedeliste"/>
        <w:numPr>
          <w:ilvl w:val="0"/>
          <w:numId w:val="9"/>
        </w:numPr>
        <w:autoSpaceDE w:val="0"/>
        <w:autoSpaceDN w:val="0"/>
        <w:adjustRightInd w:val="0"/>
        <w:spacing w:after="0"/>
        <w:jc w:val="both"/>
        <w:rPr>
          <w:rFonts w:ascii="Arial" w:hAnsi="Arial" w:cs="Arial"/>
          <w:sz w:val="24"/>
          <w:szCs w:val="28"/>
          <w:u w:val="single"/>
        </w:rPr>
      </w:pPr>
      <w:r w:rsidRPr="000859D4">
        <w:rPr>
          <w:rFonts w:ascii="Arial" w:hAnsi="Arial" w:cs="Arial"/>
          <w:b/>
          <w:sz w:val="24"/>
          <w:szCs w:val="28"/>
          <w:u w:val="single"/>
        </w:rPr>
        <w:t>La Politique Nationale de Santé</w:t>
      </w:r>
      <w:r w:rsidR="00672C1D" w:rsidRPr="000859D4">
        <w:rPr>
          <w:rFonts w:ascii="Arial" w:hAnsi="Arial" w:cs="Arial"/>
          <w:sz w:val="24"/>
          <w:szCs w:val="28"/>
          <w:u w:val="single"/>
        </w:rPr>
        <w:t> :</w:t>
      </w:r>
    </w:p>
    <w:p w:rsidR="00701119" w:rsidRPr="00AE360E" w:rsidRDefault="00701119" w:rsidP="00AE360E">
      <w:pPr>
        <w:autoSpaceDE w:val="0"/>
        <w:autoSpaceDN w:val="0"/>
        <w:adjustRightInd w:val="0"/>
        <w:spacing w:after="0"/>
        <w:jc w:val="both"/>
        <w:rPr>
          <w:rFonts w:ascii="Arial" w:hAnsi="Arial" w:cs="Arial"/>
          <w:sz w:val="24"/>
          <w:szCs w:val="24"/>
        </w:rPr>
      </w:pPr>
    </w:p>
    <w:p w:rsidR="00672C1D" w:rsidRPr="00AE360E" w:rsidRDefault="00672C1D"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La politique nationale de sante a pour but d’accélérer la réduction de la mortalité et de la morbidité au Tchad.</w:t>
      </w:r>
    </w:p>
    <w:p w:rsidR="00715C38" w:rsidRPr="00AE360E" w:rsidRDefault="00715C38"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Elle a été élaborée en 2007 et s’est fixée entre autres objectifs la réduction du taux de mortalité infanto-juvénile</w:t>
      </w:r>
      <w:r w:rsidR="008B3AC9" w:rsidRPr="00AE360E">
        <w:rPr>
          <w:rFonts w:ascii="Arial" w:hAnsi="Arial" w:cs="Arial"/>
          <w:sz w:val="24"/>
          <w:szCs w:val="24"/>
        </w:rPr>
        <w:t xml:space="preserve"> de 180</w:t>
      </w:r>
      <w:r w:rsidR="00672C1D" w:rsidRPr="00AE360E">
        <w:rPr>
          <w:rFonts w:ascii="Arial" w:hAnsi="Arial" w:cs="Arial"/>
          <w:sz w:val="24"/>
          <w:szCs w:val="24"/>
        </w:rPr>
        <w:t xml:space="preserve"> à 64 pour 1000 d’ici 2015.</w:t>
      </w:r>
    </w:p>
    <w:p w:rsidR="00715C38" w:rsidRDefault="00715C38" w:rsidP="00AE360E">
      <w:pPr>
        <w:pStyle w:val="Paragraphedeliste"/>
        <w:autoSpaceDE w:val="0"/>
        <w:autoSpaceDN w:val="0"/>
        <w:adjustRightInd w:val="0"/>
        <w:spacing w:after="0"/>
        <w:jc w:val="both"/>
        <w:rPr>
          <w:rFonts w:ascii="Arial" w:hAnsi="Arial" w:cs="Arial"/>
          <w:sz w:val="24"/>
          <w:szCs w:val="24"/>
        </w:rPr>
      </w:pPr>
    </w:p>
    <w:p w:rsidR="00327896" w:rsidRDefault="00327896" w:rsidP="00AE360E">
      <w:pPr>
        <w:pStyle w:val="Paragraphedeliste"/>
        <w:autoSpaceDE w:val="0"/>
        <w:autoSpaceDN w:val="0"/>
        <w:adjustRightInd w:val="0"/>
        <w:spacing w:after="0"/>
        <w:jc w:val="both"/>
        <w:rPr>
          <w:rFonts w:ascii="Arial" w:hAnsi="Arial" w:cs="Arial"/>
          <w:sz w:val="24"/>
          <w:szCs w:val="24"/>
        </w:rPr>
      </w:pPr>
    </w:p>
    <w:p w:rsidR="00327896" w:rsidRDefault="00327896" w:rsidP="00AE360E">
      <w:pPr>
        <w:pStyle w:val="Paragraphedeliste"/>
        <w:autoSpaceDE w:val="0"/>
        <w:autoSpaceDN w:val="0"/>
        <w:adjustRightInd w:val="0"/>
        <w:spacing w:after="0"/>
        <w:jc w:val="both"/>
        <w:rPr>
          <w:rFonts w:ascii="Arial" w:hAnsi="Arial" w:cs="Arial"/>
          <w:sz w:val="24"/>
          <w:szCs w:val="24"/>
        </w:rPr>
      </w:pPr>
    </w:p>
    <w:p w:rsidR="000859D4" w:rsidRPr="00AE360E" w:rsidRDefault="000859D4" w:rsidP="00AE360E">
      <w:pPr>
        <w:pStyle w:val="Paragraphedeliste"/>
        <w:autoSpaceDE w:val="0"/>
        <w:autoSpaceDN w:val="0"/>
        <w:adjustRightInd w:val="0"/>
        <w:spacing w:after="0"/>
        <w:jc w:val="both"/>
        <w:rPr>
          <w:rFonts w:ascii="Arial" w:hAnsi="Arial" w:cs="Arial"/>
          <w:sz w:val="24"/>
          <w:szCs w:val="24"/>
        </w:rPr>
      </w:pPr>
    </w:p>
    <w:p w:rsidR="00AF6F94" w:rsidRPr="000859D4" w:rsidRDefault="00AF6F94" w:rsidP="00AE360E">
      <w:pPr>
        <w:pStyle w:val="Paragraphedeliste"/>
        <w:numPr>
          <w:ilvl w:val="0"/>
          <w:numId w:val="9"/>
        </w:numPr>
        <w:autoSpaceDE w:val="0"/>
        <w:autoSpaceDN w:val="0"/>
        <w:adjustRightInd w:val="0"/>
        <w:spacing w:after="0"/>
        <w:jc w:val="both"/>
        <w:rPr>
          <w:rFonts w:ascii="Arial" w:hAnsi="Arial" w:cs="Arial"/>
          <w:b/>
          <w:sz w:val="24"/>
          <w:szCs w:val="28"/>
          <w:u w:val="single"/>
        </w:rPr>
      </w:pPr>
      <w:r w:rsidRPr="000859D4">
        <w:rPr>
          <w:rFonts w:ascii="Arial" w:hAnsi="Arial" w:cs="Arial"/>
          <w:b/>
          <w:sz w:val="24"/>
          <w:szCs w:val="28"/>
          <w:u w:val="single"/>
        </w:rPr>
        <w:lastRenderedPageBreak/>
        <w:t>Le PNDS II 2013-2015</w:t>
      </w:r>
    </w:p>
    <w:p w:rsidR="00B22D15" w:rsidRPr="00AE360E" w:rsidRDefault="00B22D15" w:rsidP="00AE360E">
      <w:pPr>
        <w:autoSpaceDE w:val="0"/>
        <w:autoSpaceDN w:val="0"/>
        <w:adjustRightInd w:val="0"/>
        <w:spacing w:after="0"/>
        <w:jc w:val="both"/>
        <w:rPr>
          <w:rFonts w:ascii="Arial" w:hAnsi="Arial" w:cs="Arial"/>
          <w:b/>
          <w:sz w:val="28"/>
          <w:szCs w:val="28"/>
          <w:u w:val="single"/>
        </w:rPr>
      </w:pPr>
    </w:p>
    <w:p w:rsidR="00AF6F94" w:rsidRPr="00AE360E" w:rsidRDefault="00672C1D"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Il </w:t>
      </w:r>
      <w:r w:rsidR="00AF6F94" w:rsidRPr="00AE360E">
        <w:rPr>
          <w:rFonts w:ascii="Arial" w:hAnsi="Arial" w:cs="Arial"/>
          <w:sz w:val="24"/>
          <w:szCs w:val="24"/>
        </w:rPr>
        <w:t xml:space="preserve"> vise à assurer à toute la population l’accès à des services de </w:t>
      </w:r>
      <w:r w:rsidR="004120CC" w:rsidRPr="00AE360E">
        <w:rPr>
          <w:rFonts w:ascii="Arial" w:hAnsi="Arial" w:cs="Arial"/>
          <w:sz w:val="24"/>
          <w:szCs w:val="24"/>
        </w:rPr>
        <w:t>santé de</w:t>
      </w:r>
      <w:r w:rsidR="00AF6F94" w:rsidRPr="00AE360E">
        <w:rPr>
          <w:rFonts w:ascii="Arial" w:hAnsi="Arial" w:cs="Arial"/>
          <w:sz w:val="24"/>
          <w:szCs w:val="24"/>
        </w:rPr>
        <w:t xml:space="preserve"> base de qualité. L’accent est mis en particulier sur les plus pauvres et les plus vulnérables</w:t>
      </w:r>
      <w:r w:rsidR="004120CC" w:rsidRPr="00AE360E">
        <w:rPr>
          <w:rFonts w:ascii="Arial" w:hAnsi="Arial" w:cs="Arial"/>
          <w:sz w:val="24"/>
          <w:szCs w:val="24"/>
        </w:rPr>
        <w:t>.</w:t>
      </w:r>
    </w:p>
    <w:p w:rsidR="004120CC" w:rsidRPr="00AE360E" w:rsidRDefault="006A2D4E"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Les </w:t>
      </w:r>
      <w:r w:rsidR="004120CC" w:rsidRPr="00AE360E">
        <w:rPr>
          <w:rFonts w:ascii="Arial" w:hAnsi="Arial" w:cs="Arial"/>
          <w:sz w:val="24"/>
          <w:szCs w:val="24"/>
        </w:rPr>
        <w:t>objectifs stratégiques</w:t>
      </w:r>
      <w:r w:rsidRPr="00AE360E">
        <w:rPr>
          <w:rFonts w:ascii="Arial" w:hAnsi="Arial" w:cs="Arial"/>
          <w:sz w:val="24"/>
          <w:szCs w:val="24"/>
        </w:rPr>
        <w:t xml:space="preserve"> suivants </w:t>
      </w:r>
      <w:r w:rsidR="004120CC" w:rsidRPr="00AE360E">
        <w:rPr>
          <w:rFonts w:ascii="Arial" w:hAnsi="Arial" w:cs="Arial"/>
          <w:sz w:val="24"/>
          <w:szCs w:val="24"/>
        </w:rPr>
        <w:t>sont déclinés dans le plan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Assurer la qualité des soins et l’accès aux services de santé à toute la population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Améliorer la gouvernance et le leadership du secteur de la santé</w:t>
      </w:r>
      <w:r w:rsidR="000E24E0" w:rsidRPr="00AE360E">
        <w:rPr>
          <w:rFonts w:ascii="Arial" w:hAnsi="Arial" w:cs="Arial"/>
          <w:sz w:val="24"/>
          <w:szCs w:val="24"/>
        </w:rPr>
        <w:t>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Améliorer la performance du système d’information sanitaire</w:t>
      </w:r>
      <w:r w:rsidR="000E24E0" w:rsidRPr="00AE360E">
        <w:rPr>
          <w:rFonts w:ascii="Arial" w:hAnsi="Arial" w:cs="Arial"/>
          <w:sz w:val="24"/>
          <w:szCs w:val="24"/>
        </w:rPr>
        <w:t>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Assurer la présence en RH en quantité et qualité dans les formations sanitaires</w:t>
      </w:r>
      <w:r w:rsidR="000E24E0" w:rsidRPr="00AE360E">
        <w:rPr>
          <w:rFonts w:ascii="Arial" w:hAnsi="Arial" w:cs="Arial"/>
          <w:sz w:val="24"/>
          <w:szCs w:val="24"/>
        </w:rPr>
        <w:t>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Rendre les produits pharmaceutiques accessibles à toute la population</w:t>
      </w:r>
      <w:r w:rsidR="000E24E0" w:rsidRPr="00AE360E">
        <w:rPr>
          <w:rFonts w:ascii="Arial" w:hAnsi="Arial" w:cs="Arial"/>
          <w:sz w:val="24"/>
          <w:szCs w:val="24"/>
        </w:rPr>
        <w:t> ;</w:t>
      </w:r>
    </w:p>
    <w:p w:rsidR="006A2D4E"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Améliorer le parc  des Infrastructures et des Equipements pour une meilleure prise en charge de la population ;</w:t>
      </w:r>
    </w:p>
    <w:p w:rsidR="004120CC" w:rsidRPr="00AE360E" w:rsidRDefault="006A2D4E" w:rsidP="000859D4">
      <w:pPr>
        <w:pStyle w:val="Paragraphedeliste"/>
        <w:numPr>
          <w:ilvl w:val="0"/>
          <w:numId w:val="46"/>
        </w:numPr>
        <w:autoSpaceDE w:val="0"/>
        <w:autoSpaceDN w:val="0"/>
        <w:adjustRightInd w:val="0"/>
        <w:spacing w:after="0"/>
        <w:jc w:val="both"/>
        <w:rPr>
          <w:rFonts w:ascii="Arial" w:hAnsi="Arial" w:cs="Arial"/>
          <w:sz w:val="24"/>
          <w:szCs w:val="24"/>
        </w:rPr>
      </w:pPr>
      <w:r w:rsidRPr="00AE360E">
        <w:rPr>
          <w:rFonts w:ascii="Arial" w:hAnsi="Arial" w:cs="Arial"/>
          <w:sz w:val="24"/>
          <w:szCs w:val="24"/>
        </w:rPr>
        <w:t>Améliorer la gestion financière et l’accès des populations vulnérables aux services de santé.</w:t>
      </w:r>
    </w:p>
    <w:p w:rsidR="008E5268" w:rsidRPr="00423518" w:rsidRDefault="008E5268" w:rsidP="00AE360E">
      <w:pPr>
        <w:pStyle w:val="Paragraphedeliste"/>
        <w:autoSpaceDE w:val="0"/>
        <w:autoSpaceDN w:val="0"/>
        <w:adjustRightInd w:val="0"/>
        <w:spacing w:after="0"/>
        <w:jc w:val="both"/>
        <w:rPr>
          <w:rFonts w:ascii="Arial" w:hAnsi="Arial" w:cs="Arial"/>
          <w:sz w:val="28"/>
          <w:szCs w:val="28"/>
        </w:rPr>
      </w:pPr>
    </w:p>
    <w:p w:rsidR="00715C38" w:rsidRPr="000859D4" w:rsidRDefault="00715C38" w:rsidP="00AE360E">
      <w:pPr>
        <w:pStyle w:val="Paragraphedeliste"/>
        <w:numPr>
          <w:ilvl w:val="0"/>
          <w:numId w:val="9"/>
        </w:numPr>
        <w:autoSpaceDE w:val="0"/>
        <w:autoSpaceDN w:val="0"/>
        <w:adjustRightInd w:val="0"/>
        <w:spacing w:after="0"/>
        <w:jc w:val="both"/>
        <w:rPr>
          <w:rFonts w:ascii="Arial" w:hAnsi="Arial" w:cs="Arial"/>
          <w:b/>
          <w:sz w:val="24"/>
          <w:szCs w:val="28"/>
          <w:u w:val="single"/>
        </w:rPr>
      </w:pPr>
      <w:r w:rsidRPr="000859D4">
        <w:rPr>
          <w:rFonts w:ascii="Arial" w:hAnsi="Arial" w:cs="Arial"/>
          <w:b/>
          <w:sz w:val="24"/>
          <w:szCs w:val="28"/>
          <w:u w:val="single"/>
        </w:rPr>
        <w:t>Le PPAC 2013-2017</w:t>
      </w:r>
    </w:p>
    <w:p w:rsidR="00715C38" w:rsidRPr="00AE360E" w:rsidRDefault="00715C38" w:rsidP="00AE360E">
      <w:pPr>
        <w:autoSpaceDE w:val="0"/>
        <w:autoSpaceDN w:val="0"/>
        <w:adjustRightInd w:val="0"/>
        <w:spacing w:after="0"/>
        <w:ind w:left="360"/>
        <w:jc w:val="both"/>
        <w:rPr>
          <w:rFonts w:ascii="Arial" w:hAnsi="Arial" w:cs="Arial"/>
        </w:rPr>
      </w:pPr>
    </w:p>
    <w:p w:rsidR="0045496C" w:rsidRPr="00AE360E" w:rsidRDefault="0045496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 </w:t>
      </w:r>
      <w:r w:rsidR="00D41651" w:rsidRPr="00AE360E">
        <w:rPr>
          <w:rFonts w:ascii="Arial" w:hAnsi="Arial" w:cs="Arial"/>
          <w:sz w:val="24"/>
          <w:szCs w:val="24"/>
        </w:rPr>
        <w:t>TCHAD</w:t>
      </w:r>
      <w:r w:rsidRPr="00AE360E">
        <w:rPr>
          <w:rFonts w:ascii="Arial" w:hAnsi="Arial" w:cs="Arial"/>
          <w:sz w:val="24"/>
          <w:szCs w:val="24"/>
        </w:rPr>
        <w:t xml:space="preserve"> s’est engagé avec ses partenaires à mettre en œuvre le</w:t>
      </w:r>
      <w:r w:rsidR="00D41651" w:rsidRPr="00AE360E">
        <w:rPr>
          <w:rFonts w:ascii="Arial" w:hAnsi="Arial" w:cs="Arial"/>
          <w:sz w:val="24"/>
          <w:szCs w:val="24"/>
        </w:rPr>
        <w:t xml:space="preserve"> Plan Pluriannuel Complet (PPAC) 2013-2017 pouratteindre les objectifs de 2015 de GIVS afin de donner à la vaccination sa juste valeur dansl’atteinte des objectifs du millénaire pour le développement.</w:t>
      </w:r>
    </w:p>
    <w:p w:rsidR="0045496C" w:rsidRPr="00AE360E" w:rsidRDefault="0045496C" w:rsidP="00AE360E">
      <w:pPr>
        <w:autoSpaceDE w:val="0"/>
        <w:autoSpaceDN w:val="0"/>
        <w:adjustRightInd w:val="0"/>
        <w:spacing w:after="0"/>
        <w:jc w:val="both"/>
        <w:rPr>
          <w:rFonts w:ascii="Arial" w:hAnsi="Arial" w:cs="Arial"/>
          <w:sz w:val="24"/>
          <w:szCs w:val="24"/>
        </w:rPr>
      </w:pPr>
    </w:p>
    <w:p w:rsidR="00D41651" w:rsidRPr="00AE360E" w:rsidRDefault="00D41651"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Pour ce faire les efforts serontfaits pour assurer l’égalité d’accès de tous aux services de vaccination, augmenter l’utilisationdes services de vaccination par un plus grand nombre de personnes, d’introduire de nouveauxvaccins et d’assurer l’intégration de la vaccination à d’autres interventions sanitaires.</w:t>
      </w:r>
    </w:p>
    <w:p w:rsidR="00C13C29" w:rsidRPr="00AE360E" w:rsidRDefault="00C13C29" w:rsidP="00AE360E">
      <w:pPr>
        <w:autoSpaceDE w:val="0"/>
        <w:autoSpaceDN w:val="0"/>
        <w:adjustRightInd w:val="0"/>
        <w:spacing w:after="0"/>
        <w:jc w:val="both"/>
        <w:rPr>
          <w:rFonts w:ascii="Arial" w:hAnsi="Arial" w:cs="Arial"/>
          <w:sz w:val="24"/>
          <w:szCs w:val="24"/>
        </w:rPr>
      </w:pPr>
    </w:p>
    <w:p w:rsidR="001A05F7" w:rsidRPr="00AE360E" w:rsidRDefault="001A05F7"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En matière de couverture vaccinale, le Tchad vise à atteindre 90% pour tous les antigènes dans 80% des districts.</w:t>
      </w:r>
    </w:p>
    <w:p w:rsidR="003C0437" w:rsidRPr="00AE360E" w:rsidRDefault="003C0437" w:rsidP="00AE360E">
      <w:pPr>
        <w:autoSpaceDE w:val="0"/>
        <w:autoSpaceDN w:val="0"/>
        <w:adjustRightInd w:val="0"/>
        <w:spacing w:after="0"/>
        <w:jc w:val="both"/>
        <w:rPr>
          <w:rFonts w:ascii="Arial" w:hAnsi="Arial" w:cs="Arial"/>
          <w:sz w:val="24"/>
          <w:szCs w:val="24"/>
        </w:rPr>
      </w:pPr>
    </w:p>
    <w:p w:rsidR="003C0437" w:rsidRPr="00AE360E" w:rsidRDefault="00B42543" w:rsidP="00423518">
      <w:pPr>
        <w:pStyle w:val="Paragraphedeliste"/>
        <w:numPr>
          <w:ilvl w:val="0"/>
          <w:numId w:val="44"/>
        </w:numPr>
        <w:autoSpaceDE w:val="0"/>
        <w:autoSpaceDN w:val="0"/>
        <w:adjustRightInd w:val="0"/>
        <w:spacing w:after="0"/>
        <w:jc w:val="both"/>
        <w:rPr>
          <w:rFonts w:ascii="Arial" w:hAnsi="Arial" w:cs="Arial"/>
          <w:b/>
          <w:sz w:val="28"/>
          <w:szCs w:val="28"/>
          <w:u w:val="single"/>
        </w:rPr>
      </w:pPr>
      <w:r w:rsidRPr="00AE360E">
        <w:rPr>
          <w:rFonts w:ascii="Arial" w:hAnsi="Arial" w:cs="Arial"/>
          <w:b/>
          <w:sz w:val="28"/>
          <w:szCs w:val="28"/>
          <w:u w:val="single"/>
        </w:rPr>
        <w:t xml:space="preserve">Organisation du système de santé </w:t>
      </w:r>
    </w:p>
    <w:p w:rsidR="004378D2" w:rsidRPr="00AE360E" w:rsidRDefault="004378D2" w:rsidP="00AE360E">
      <w:pPr>
        <w:autoSpaceDE w:val="0"/>
        <w:autoSpaceDN w:val="0"/>
        <w:adjustRightInd w:val="0"/>
        <w:spacing w:after="0"/>
        <w:jc w:val="both"/>
        <w:rPr>
          <w:rFonts w:ascii="Arial" w:hAnsi="Arial" w:cs="Arial"/>
          <w:sz w:val="24"/>
          <w:szCs w:val="24"/>
        </w:rPr>
      </w:pPr>
    </w:p>
    <w:p w:rsidR="00B42543" w:rsidRPr="00AE360E" w:rsidRDefault="00B425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Le système de santé au Tchad, qui inclut des structures publiques et privées, est pyramidal à trois (3) niveaux de responsabilité et d’activités qui sont :</w:t>
      </w:r>
    </w:p>
    <w:p w:rsidR="00332432" w:rsidRPr="00AE360E" w:rsidRDefault="00332432" w:rsidP="00AE360E">
      <w:pPr>
        <w:autoSpaceDE w:val="0"/>
        <w:autoSpaceDN w:val="0"/>
        <w:adjustRightInd w:val="0"/>
        <w:spacing w:after="0"/>
        <w:jc w:val="both"/>
        <w:rPr>
          <w:rFonts w:ascii="Arial" w:hAnsi="Arial" w:cs="Arial"/>
          <w:sz w:val="24"/>
          <w:szCs w:val="24"/>
        </w:rPr>
      </w:pPr>
    </w:p>
    <w:p w:rsidR="00B42543" w:rsidRPr="00423518" w:rsidRDefault="00B42543" w:rsidP="00AE360E">
      <w:pPr>
        <w:pStyle w:val="Paragraphedeliste"/>
        <w:numPr>
          <w:ilvl w:val="0"/>
          <w:numId w:val="9"/>
        </w:numPr>
        <w:autoSpaceDE w:val="0"/>
        <w:autoSpaceDN w:val="0"/>
        <w:adjustRightInd w:val="0"/>
        <w:spacing w:after="0"/>
        <w:jc w:val="both"/>
        <w:rPr>
          <w:rFonts w:ascii="Arial" w:hAnsi="Arial" w:cs="Arial"/>
          <w:b/>
          <w:bCs/>
          <w:i/>
          <w:iCs/>
          <w:sz w:val="24"/>
          <w:szCs w:val="24"/>
        </w:rPr>
      </w:pPr>
      <w:r w:rsidRPr="00423518">
        <w:rPr>
          <w:rFonts w:ascii="Arial" w:hAnsi="Arial" w:cs="Arial"/>
          <w:b/>
          <w:i/>
          <w:iCs/>
          <w:sz w:val="24"/>
          <w:szCs w:val="24"/>
          <w:u w:val="single"/>
        </w:rPr>
        <w:t>Le niveau central</w:t>
      </w:r>
      <w:r w:rsidRPr="00423518">
        <w:rPr>
          <w:rFonts w:ascii="Arial" w:hAnsi="Arial" w:cs="Arial"/>
          <w:b/>
          <w:bCs/>
          <w:i/>
          <w:iCs/>
          <w:sz w:val="24"/>
          <w:szCs w:val="24"/>
        </w:rPr>
        <w:t>:</w:t>
      </w:r>
    </w:p>
    <w:p w:rsidR="00701119" w:rsidRPr="00AE360E" w:rsidRDefault="00701119" w:rsidP="00AE360E">
      <w:pPr>
        <w:autoSpaceDE w:val="0"/>
        <w:autoSpaceDN w:val="0"/>
        <w:adjustRightInd w:val="0"/>
        <w:spacing w:after="0"/>
        <w:jc w:val="both"/>
        <w:rPr>
          <w:rFonts w:ascii="Arial" w:hAnsi="Arial" w:cs="Arial"/>
          <w:sz w:val="24"/>
          <w:szCs w:val="24"/>
        </w:rPr>
      </w:pPr>
    </w:p>
    <w:p w:rsidR="0045496C" w:rsidRPr="00AE360E" w:rsidRDefault="0045496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 </w:t>
      </w:r>
      <w:r w:rsidR="00B42543" w:rsidRPr="00AE360E">
        <w:rPr>
          <w:rFonts w:ascii="Arial" w:hAnsi="Arial" w:cs="Arial"/>
          <w:sz w:val="24"/>
          <w:szCs w:val="24"/>
        </w:rPr>
        <w:t xml:space="preserve">niveau central a pour rôle la conception et l’orientation de la politique nationale sanitaire du pays. Il est chargé d’élaborer les </w:t>
      </w:r>
      <w:r w:rsidRPr="00AE360E">
        <w:rPr>
          <w:rFonts w:ascii="Arial" w:hAnsi="Arial" w:cs="Arial"/>
          <w:sz w:val="24"/>
          <w:szCs w:val="24"/>
        </w:rPr>
        <w:t>Plans, normes et directives,</w:t>
      </w:r>
      <w:r w:rsidR="00B42543" w:rsidRPr="00AE360E">
        <w:rPr>
          <w:rFonts w:ascii="Arial" w:hAnsi="Arial" w:cs="Arial"/>
          <w:sz w:val="24"/>
          <w:szCs w:val="24"/>
        </w:rPr>
        <w:t xml:space="preserve"> de mobiliser les ressources, de coordonner les différentes interventions des partenaires, </w:t>
      </w:r>
      <w:r w:rsidR="00B42543" w:rsidRPr="00AE360E">
        <w:rPr>
          <w:rFonts w:ascii="Arial" w:hAnsi="Arial" w:cs="Arial"/>
          <w:sz w:val="24"/>
          <w:szCs w:val="24"/>
        </w:rPr>
        <w:lastRenderedPageBreak/>
        <w:t xml:space="preserve">de superviser, d’évaluer et de contrôler la mise en </w:t>
      </w:r>
      <w:r w:rsidRPr="00AE360E">
        <w:rPr>
          <w:rFonts w:ascii="Arial" w:hAnsi="Arial" w:cs="Arial"/>
          <w:sz w:val="24"/>
          <w:szCs w:val="24"/>
        </w:rPr>
        <w:t>œuvre</w:t>
      </w:r>
      <w:r w:rsidR="00B42543" w:rsidRPr="00AE360E">
        <w:rPr>
          <w:rFonts w:ascii="Arial" w:hAnsi="Arial" w:cs="Arial"/>
          <w:sz w:val="24"/>
          <w:szCs w:val="24"/>
        </w:rPr>
        <w:t xml:space="preserve"> des programmes nationaux.</w:t>
      </w:r>
    </w:p>
    <w:p w:rsidR="00B42543" w:rsidRPr="00AE360E" w:rsidRDefault="00B425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 A ce niveau le PEV est rattaché à la DSRV qui est sous tutelle de la DGAS.</w:t>
      </w:r>
    </w:p>
    <w:p w:rsidR="00A1539F" w:rsidRPr="00AE360E" w:rsidRDefault="00A1539F" w:rsidP="00AE360E">
      <w:pPr>
        <w:autoSpaceDE w:val="0"/>
        <w:autoSpaceDN w:val="0"/>
        <w:adjustRightInd w:val="0"/>
        <w:spacing w:after="0"/>
        <w:jc w:val="both"/>
        <w:rPr>
          <w:rFonts w:ascii="Arial" w:hAnsi="Arial" w:cs="Arial"/>
          <w:sz w:val="24"/>
          <w:szCs w:val="24"/>
        </w:rPr>
      </w:pPr>
    </w:p>
    <w:p w:rsidR="00B42543" w:rsidRPr="00423518" w:rsidRDefault="00B42543" w:rsidP="00AE360E">
      <w:pPr>
        <w:pStyle w:val="Paragraphedeliste"/>
        <w:numPr>
          <w:ilvl w:val="0"/>
          <w:numId w:val="9"/>
        </w:numPr>
        <w:autoSpaceDE w:val="0"/>
        <w:autoSpaceDN w:val="0"/>
        <w:adjustRightInd w:val="0"/>
        <w:spacing w:after="0"/>
        <w:jc w:val="both"/>
        <w:rPr>
          <w:rFonts w:ascii="Arial" w:hAnsi="Arial" w:cs="Arial"/>
          <w:b/>
          <w:i/>
          <w:iCs/>
          <w:sz w:val="24"/>
          <w:szCs w:val="24"/>
          <w:u w:val="single"/>
        </w:rPr>
      </w:pPr>
      <w:r w:rsidRPr="00423518">
        <w:rPr>
          <w:rFonts w:ascii="Arial" w:hAnsi="Arial" w:cs="Arial"/>
          <w:b/>
          <w:i/>
          <w:iCs/>
          <w:sz w:val="24"/>
          <w:szCs w:val="24"/>
          <w:u w:val="single"/>
        </w:rPr>
        <w:t>Le niveau intermédiaire:</w:t>
      </w:r>
    </w:p>
    <w:p w:rsidR="002C0497" w:rsidRPr="00AE360E" w:rsidRDefault="002C0497" w:rsidP="00AE360E">
      <w:pPr>
        <w:autoSpaceDE w:val="0"/>
        <w:autoSpaceDN w:val="0"/>
        <w:adjustRightInd w:val="0"/>
        <w:spacing w:after="0"/>
        <w:jc w:val="both"/>
        <w:rPr>
          <w:rFonts w:ascii="Arial" w:hAnsi="Arial" w:cs="Arial"/>
          <w:i/>
          <w:iCs/>
        </w:rPr>
      </w:pPr>
    </w:p>
    <w:p w:rsidR="0045496C" w:rsidRPr="00AE360E" w:rsidRDefault="0045496C"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Il comprend les délégations sanitaires régionales qui sont au nombre de 23.</w:t>
      </w:r>
    </w:p>
    <w:p w:rsidR="0045496C" w:rsidRPr="00AE360E" w:rsidRDefault="00B425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 niveau intermédiaire est chargé de la coordination de la mise en œuvre des politiques nationales en les adaptant aux réalités locales tout en apportant un appui technique aux districts sanitaires. </w:t>
      </w:r>
    </w:p>
    <w:p w:rsidR="002C0497" w:rsidRPr="00AE360E" w:rsidRDefault="002C0497" w:rsidP="00AE360E">
      <w:pPr>
        <w:autoSpaceDE w:val="0"/>
        <w:autoSpaceDN w:val="0"/>
        <w:adjustRightInd w:val="0"/>
        <w:spacing w:after="0"/>
        <w:jc w:val="both"/>
        <w:rPr>
          <w:rFonts w:ascii="Arial" w:hAnsi="Arial" w:cs="Arial"/>
          <w:sz w:val="24"/>
          <w:szCs w:val="24"/>
        </w:rPr>
      </w:pPr>
    </w:p>
    <w:p w:rsidR="00B42543" w:rsidRPr="00423518" w:rsidRDefault="00B42543" w:rsidP="00AE360E">
      <w:pPr>
        <w:pStyle w:val="Paragraphedeliste"/>
        <w:numPr>
          <w:ilvl w:val="0"/>
          <w:numId w:val="9"/>
        </w:numPr>
        <w:autoSpaceDE w:val="0"/>
        <w:autoSpaceDN w:val="0"/>
        <w:adjustRightInd w:val="0"/>
        <w:spacing w:after="0"/>
        <w:jc w:val="both"/>
        <w:rPr>
          <w:rFonts w:ascii="Arial" w:hAnsi="Arial" w:cs="Arial"/>
          <w:b/>
          <w:i/>
          <w:iCs/>
          <w:sz w:val="24"/>
          <w:szCs w:val="24"/>
          <w:u w:val="single"/>
        </w:rPr>
      </w:pPr>
      <w:r w:rsidRPr="00423518">
        <w:rPr>
          <w:rFonts w:ascii="Arial" w:hAnsi="Arial" w:cs="Arial"/>
          <w:b/>
          <w:i/>
          <w:iCs/>
          <w:sz w:val="24"/>
          <w:szCs w:val="24"/>
          <w:u w:val="single"/>
        </w:rPr>
        <w:t>Le niveau périphérique:</w:t>
      </w:r>
    </w:p>
    <w:p w:rsidR="00701119" w:rsidRPr="00AE360E" w:rsidRDefault="00701119" w:rsidP="00AE360E">
      <w:pPr>
        <w:autoSpaceDE w:val="0"/>
        <w:autoSpaceDN w:val="0"/>
        <w:adjustRightInd w:val="0"/>
        <w:spacing w:after="0"/>
        <w:jc w:val="both"/>
        <w:rPr>
          <w:rFonts w:ascii="Arial" w:hAnsi="Arial" w:cs="Arial"/>
          <w:sz w:val="24"/>
          <w:szCs w:val="24"/>
        </w:rPr>
      </w:pPr>
    </w:p>
    <w:p w:rsidR="00B42543" w:rsidRPr="00AE360E" w:rsidRDefault="00B425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Le niveau périphérique comp</w:t>
      </w:r>
      <w:r w:rsidR="002C0497" w:rsidRPr="00AE360E">
        <w:rPr>
          <w:rFonts w:ascii="Arial" w:hAnsi="Arial" w:cs="Arial"/>
          <w:sz w:val="24"/>
          <w:szCs w:val="24"/>
        </w:rPr>
        <w:t>rend 77</w:t>
      </w:r>
      <w:r w:rsidRPr="00AE360E">
        <w:rPr>
          <w:rFonts w:ascii="Arial" w:hAnsi="Arial" w:cs="Arial"/>
          <w:sz w:val="24"/>
          <w:szCs w:val="24"/>
        </w:rPr>
        <w:t xml:space="preserve"> districts sanitaires fonctionnels sur 102 répartis entre les 23 DSR. Il y a en 2013, 1305 zones de responsabilité dont 1061 fonctionnelles, ce qui correspond à un taux de couverture sanitaire théorique de 81,30%.</w:t>
      </w:r>
    </w:p>
    <w:p w:rsidR="008F778B" w:rsidRPr="00AE360E" w:rsidRDefault="00B42543"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Le district sanitaire couvre une population variant entre 100.000 et 250.000 habitants. Il est divisé enplusieurs Zones de Responsabilité (ZR). Chaque zone de responsabilité assure la couverture sanitaire d’unepopulation d’environ 10.000 habitants et comprend au moins un Centre de Santé (CS) (1er échelon) qui offreun Paquet Minimum d’Activités (PMA) répondant aux besoins essentiels et les plus fréquents de lapopulation. C’est à ce niveau (CS) que la vaccination est assurée. </w:t>
      </w:r>
    </w:p>
    <w:p w:rsidR="003D0368" w:rsidRPr="00AE360E" w:rsidRDefault="003D0368" w:rsidP="00AE360E">
      <w:pPr>
        <w:autoSpaceDE w:val="0"/>
        <w:autoSpaceDN w:val="0"/>
        <w:adjustRightInd w:val="0"/>
        <w:spacing w:after="0"/>
        <w:jc w:val="both"/>
        <w:rPr>
          <w:rFonts w:ascii="Arial" w:hAnsi="Arial" w:cs="Arial"/>
          <w:sz w:val="24"/>
          <w:szCs w:val="24"/>
        </w:rPr>
      </w:pPr>
    </w:p>
    <w:p w:rsidR="008F778B" w:rsidRPr="00AE360E" w:rsidRDefault="007C0879"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Les</w:t>
      </w:r>
      <w:r w:rsidR="00A92355" w:rsidRPr="00AE360E">
        <w:rPr>
          <w:rFonts w:ascii="Arial" w:hAnsi="Arial" w:cs="Arial"/>
          <w:sz w:val="24"/>
          <w:szCs w:val="24"/>
        </w:rPr>
        <w:t>différentesstratégies de vaccination sont :</w:t>
      </w:r>
    </w:p>
    <w:p w:rsidR="00F65343" w:rsidRPr="00AE360E" w:rsidRDefault="00F65343" w:rsidP="00AE360E">
      <w:pPr>
        <w:autoSpaceDE w:val="0"/>
        <w:autoSpaceDN w:val="0"/>
        <w:adjustRightInd w:val="0"/>
        <w:spacing w:after="0"/>
        <w:jc w:val="both"/>
        <w:rPr>
          <w:rFonts w:ascii="Arial" w:hAnsi="Arial" w:cs="Arial"/>
          <w:sz w:val="24"/>
          <w:szCs w:val="24"/>
        </w:rPr>
      </w:pPr>
    </w:p>
    <w:p w:rsidR="00E66FEF" w:rsidRPr="00AE360E" w:rsidRDefault="005729CC" w:rsidP="00AE360E">
      <w:pPr>
        <w:pStyle w:val="Paragraphedeliste"/>
        <w:numPr>
          <w:ilvl w:val="0"/>
          <w:numId w:val="9"/>
        </w:numPr>
        <w:autoSpaceDE w:val="0"/>
        <w:autoSpaceDN w:val="0"/>
        <w:adjustRightInd w:val="0"/>
        <w:spacing w:after="0"/>
        <w:jc w:val="both"/>
        <w:rPr>
          <w:rFonts w:ascii="Arial" w:hAnsi="Arial" w:cs="Arial"/>
          <w:sz w:val="24"/>
          <w:szCs w:val="24"/>
        </w:rPr>
      </w:pPr>
      <w:r w:rsidRPr="00AE360E">
        <w:rPr>
          <w:rFonts w:ascii="Arial" w:hAnsi="Arial" w:cs="Arial"/>
          <w:sz w:val="24"/>
          <w:szCs w:val="24"/>
        </w:rPr>
        <w:t>Stratégie fixe</w:t>
      </w:r>
      <w:r w:rsidR="00B63100" w:rsidRPr="00AE360E">
        <w:rPr>
          <w:rFonts w:ascii="Arial" w:hAnsi="Arial" w:cs="Arial"/>
          <w:sz w:val="24"/>
          <w:szCs w:val="24"/>
        </w:rPr>
        <w:t> : couvre la zone située dans le rayon de 5 kilomètres du centre de santé ;</w:t>
      </w:r>
    </w:p>
    <w:p w:rsidR="005729CC" w:rsidRPr="00AE360E" w:rsidRDefault="005729CC" w:rsidP="00AE360E">
      <w:pPr>
        <w:pStyle w:val="Paragraphedeliste"/>
        <w:numPr>
          <w:ilvl w:val="0"/>
          <w:numId w:val="9"/>
        </w:numPr>
        <w:autoSpaceDE w:val="0"/>
        <w:autoSpaceDN w:val="0"/>
        <w:adjustRightInd w:val="0"/>
        <w:spacing w:after="0"/>
        <w:jc w:val="both"/>
        <w:rPr>
          <w:rFonts w:ascii="Arial" w:hAnsi="Arial" w:cs="Arial"/>
          <w:sz w:val="24"/>
          <w:szCs w:val="24"/>
        </w:rPr>
      </w:pPr>
      <w:r w:rsidRPr="00AE360E">
        <w:rPr>
          <w:rFonts w:ascii="Arial" w:hAnsi="Arial" w:cs="Arial"/>
          <w:sz w:val="24"/>
          <w:szCs w:val="24"/>
        </w:rPr>
        <w:t>Stratégie avancée</w:t>
      </w:r>
      <w:r w:rsidR="00B63100" w:rsidRPr="00AE360E">
        <w:rPr>
          <w:rFonts w:ascii="Arial" w:hAnsi="Arial" w:cs="Arial"/>
          <w:sz w:val="24"/>
          <w:szCs w:val="24"/>
        </w:rPr>
        <w:t xml:space="preserve"> : au niveau des villages, quartiers situés dans une entre </w:t>
      </w:r>
      <w:r w:rsidR="00BF38BC" w:rsidRPr="00AE360E">
        <w:rPr>
          <w:rFonts w:ascii="Arial" w:hAnsi="Arial" w:cs="Arial"/>
          <w:sz w:val="24"/>
          <w:szCs w:val="24"/>
        </w:rPr>
        <w:t xml:space="preserve">5 </w:t>
      </w:r>
      <w:r w:rsidR="00B63100" w:rsidRPr="00AE360E">
        <w:rPr>
          <w:rFonts w:ascii="Arial" w:hAnsi="Arial" w:cs="Arial"/>
          <w:sz w:val="24"/>
          <w:szCs w:val="24"/>
        </w:rPr>
        <w:t>et 15 kilomètres du centre de santé ;</w:t>
      </w:r>
    </w:p>
    <w:p w:rsidR="005729CC" w:rsidRDefault="005729CC" w:rsidP="00AE360E">
      <w:pPr>
        <w:pStyle w:val="Paragraphedeliste"/>
        <w:numPr>
          <w:ilvl w:val="0"/>
          <w:numId w:val="9"/>
        </w:numPr>
        <w:autoSpaceDE w:val="0"/>
        <w:autoSpaceDN w:val="0"/>
        <w:adjustRightInd w:val="0"/>
        <w:spacing w:after="0"/>
        <w:jc w:val="both"/>
        <w:rPr>
          <w:rFonts w:ascii="Arial" w:hAnsi="Arial" w:cs="Arial"/>
          <w:sz w:val="24"/>
          <w:szCs w:val="24"/>
        </w:rPr>
      </w:pPr>
      <w:r w:rsidRPr="00AE360E">
        <w:rPr>
          <w:rFonts w:ascii="Arial" w:hAnsi="Arial" w:cs="Arial"/>
          <w:sz w:val="24"/>
          <w:szCs w:val="24"/>
        </w:rPr>
        <w:t>Stratégie mobile</w:t>
      </w:r>
      <w:r w:rsidR="00B63100" w:rsidRPr="00AE360E">
        <w:rPr>
          <w:rFonts w:ascii="Arial" w:hAnsi="Arial" w:cs="Arial"/>
          <w:sz w:val="24"/>
          <w:szCs w:val="24"/>
        </w:rPr>
        <w:t> : elle couvre les localités situées dans un rayon de plus de 15 kilomètres.</w:t>
      </w:r>
    </w:p>
    <w:p w:rsidR="00DD6179" w:rsidRDefault="00DD6179" w:rsidP="00DD6179">
      <w:pPr>
        <w:autoSpaceDE w:val="0"/>
        <w:autoSpaceDN w:val="0"/>
        <w:adjustRightInd w:val="0"/>
        <w:spacing w:after="0"/>
        <w:jc w:val="both"/>
        <w:rPr>
          <w:rFonts w:ascii="Arial" w:hAnsi="Arial" w:cs="Arial"/>
          <w:sz w:val="24"/>
          <w:szCs w:val="24"/>
        </w:rPr>
      </w:pPr>
    </w:p>
    <w:p w:rsidR="00DD6179" w:rsidRDefault="00DD6179">
      <w:pPr>
        <w:rPr>
          <w:rFonts w:ascii="Arial" w:hAnsi="Arial" w:cs="Arial"/>
          <w:sz w:val="24"/>
          <w:szCs w:val="24"/>
        </w:rPr>
      </w:pPr>
      <w:r>
        <w:rPr>
          <w:rFonts w:ascii="Arial" w:hAnsi="Arial" w:cs="Arial"/>
          <w:sz w:val="24"/>
          <w:szCs w:val="24"/>
        </w:rPr>
        <w:br w:type="page"/>
      </w:r>
    </w:p>
    <w:p w:rsidR="00664F5A" w:rsidRPr="00CB067B" w:rsidRDefault="007E1ED6" w:rsidP="00AE360E">
      <w:pPr>
        <w:pStyle w:val="Style3"/>
        <w:spacing w:line="276" w:lineRule="auto"/>
        <w:jc w:val="both"/>
        <w:rPr>
          <w:rFonts w:ascii="Arial" w:hAnsi="Arial" w:cs="Arial"/>
          <w:color w:val="auto"/>
          <w:sz w:val="28"/>
          <w:lang w:val="fr-FR"/>
        </w:rPr>
      </w:pPr>
      <w:bookmarkStart w:id="16" w:name="_Toc397522422"/>
      <w:r w:rsidRPr="00CB067B">
        <w:rPr>
          <w:rFonts w:ascii="Arial" w:hAnsi="Arial" w:cs="Arial"/>
          <w:color w:val="auto"/>
          <w:sz w:val="28"/>
          <w:lang w:val="fr-FR"/>
        </w:rPr>
        <w:lastRenderedPageBreak/>
        <w:t>Obstacles géographiques, économiques, politiques, culturels, sexo</w:t>
      </w:r>
      <w:r w:rsidR="00A20D1A" w:rsidRPr="00CB067B">
        <w:rPr>
          <w:rFonts w:ascii="Arial" w:hAnsi="Arial" w:cs="Arial"/>
          <w:color w:val="auto"/>
          <w:sz w:val="28"/>
          <w:lang w:val="fr-FR"/>
        </w:rPr>
        <w:t>-</w:t>
      </w:r>
      <w:r w:rsidRPr="00CB067B">
        <w:rPr>
          <w:rFonts w:ascii="Arial" w:hAnsi="Arial" w:cs="Arial"/>
          <w:color w:val="auto"/>
          <w:sz w:val="28"/>
          <w:lang w:val="fr-FR"/>
        </w:rPr>
        <w:t>spécifiques et sociaux à la vaccination</w:t>
      </w:r>
      <w:bookmarkEnd w:id="16"/>
    </w:p>
    <w:p w:rsidR="00447042" w:rsidRPr="00AE360E" w:rsidRDefault="00447042" w:rsidP="00AE360E">
      <w:pPr>
        <w:pStyle w:val="Style3"/>
        <w:numPr>
          <w:ilvl w:val="0"/>
          <w:numId w:val="0"/>
        </w:numPr>
        <w:spacing w:line="276" w:lineRule="auto"/>
        <w:ind w:left="1080"/>
        <w:jc w:val="both"/>
        <w:rPr>
          <w:rFonts w:ascii="Arial" w:hAnsi="Arial" w:cs="Arial"/>
          <w:lang w:val="fr-FR"/>
        </w:rPr>
      </w:pPr>
    </w:p>
    <w:p w:rsidR="006E080A" w:rsidRDefault="00DD6179" w:rsidP="00AE360E">
      <w:pPr>
        <w:pStyle w:val="Paragraphedeliste"/>
        <w:numPr>
          <w:ilvl w:val="0"/>
          <w:numId w:val="10"/>
        </w:numPr>
        <w:jc w:val="both"/>
        <w:rPr>
          <w:rFonts w:ascii="Arial" w:hAnsi="Arial" w:cs="Arial"/>
          <w:b/>
          <w:sz w:val="24"/>
          <w:szCs w:val="24"/>
          <w:u w:val="single"/>
        </w:rPr>
      </w:pPr>
      <w:r w:rsidRPr="00AE360E">
        <w:rPr>
          <w:rFonts w:ascii="Arial" w:hAnsi="Arial" w:cs="Arial"/>
          <w:b/>
          <w:sz w:val="24"/>
          <w:szCs w:val="24"/>
          <w:u w:val="single"/>
        </w:rPr>
        <w:t>Analyse de la couverture vaccinale</w:t>
      </w:r>
    </w:p>
    <w:p w:rsidR="00D52697" w:rsidRPr="00D52697" w:rsidRDefault="00D52697" w:rsidP="00D52697">
      <w:pPr>
        <w:jc w:val="both"/>
        <w:rPr>
          <w:rFonts w:ascii="Arial" w:hAnsi="Arial" w:cs="Arial"/>
          <w:b/>
          <w:sz w:val="24"/>
          <w:szCs w:val="24"/>
          <w:u w:val="single"/>
        </w:rPr>
      </w:pPr>
      <w:r w:rsidRPr="003D1004">
        <w:rPr>
          <w:rFonts w:ascii="Arial" w:eastAsia="SimSun" w:hAnsi="Arial" w:cs="Arial"/>
          <w:b/>
          <w:color w:val="000000"/>
          <w:sz w:val="24"/>
          <w:szCs w:val="24"/>
          <w:u w:val="single"/>
          <w:lang w:eastAsia="en-GB"/>
        </w:rPr>
        <w:t xml:space="preserve">Tableau </w:t>
      </w:r>
      <w:r w:rsidR="001E6C1E">
        <w:rPr>
          <w:rFonts w:ascii="Arial" w:eastAsia="SimSun" w:hAnsi="Arial" w:cs="Arial"/>
          <w:b/>
          <w:color w:val="000000"/>
          <w:sz w:val="24"/>
          <w:szCs w:val="24"/>
          <w:u w:val="single"/>
          <w:lang w:eastAsia="en-GB"/>
        </w:rPr>
        <w:t>IX</w:t>
      </w:r>
      <w:r w:rsidRPr="003D1004">
        <w:rPr>
          <w:rFonts w:ascii="Arial" w:eastAsia="SimSun" w:hAnsi="Arial" w:cs="Arial"/>
          <w:color w:val="000000"/>
          <w:sz w:val="24"/>
          <w:szCs w:val="24"/>
          <w:lang w:eastAsia="en-GB"/>
        </w:rPr>
        <w:t xml:space="preserve">. </w:t>
      </w:r>
      <w:r w:rsidR="001E6C1E">
        <w:rPr>
          <w:rFonts w:ascii="Arial" w:eastAsia="SimSun" w:hAnsi="Arial" w:cs="Arial"/>
          <w:color w:val="000000"/>
          <w:sz w:val="24"/>
          <w:szCs w:val="24"/>
          <w:lang w:eastAsia="en-GB"/>
        </w:rPr>
        <w:t>Analyse de la couverture vaccinale en 2012-2013</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699"/>
        <w:gridCol w:w="2818"/>
        <w:gridCol w:w="1852"/>
        <w:gridCol w:w="1715"/>
      </w:tblGrid>
      <w:tr w:rsidR="00186764" w:rsidRPr="00AE360E" w:rsidTr="005C2FA0">
        <w:trPr>
          <w:trHeight w:val="377"/>
        </w:trPr>
        <w:tc>
          <w:tcPr>
            <w:tcW w:w="9838" w:type="dxa"/>
            <w:gridSpan w:val="5"/>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8"/>
                <w:szCs w:val="28"/>
                <w:lang w:eastAsia="en-GB"/>
              </w:rPr>
            </w:pPr>
            <w:r w:rsidRPr="00CB067B">
              <w:rPr>
                <w:rFonts w:ascii="Arial" w:eastAsia="Times New Roman" w:hAnsi="Arial" w:cs="Arial"/>
                <w:b/>
                <w:color w:val="000000"/>
                <w:sz w:val="24"/>
                <w:szCs w:val="28"/>
                <w:lang w:eastAsia="en-GB"/>
              </w:rPr>
              <w:t>Tendances de la couverture nationale (pourcentage)</w:t>
            </w:r>
          </w:p>
        </w:tc>
      </w:tr>
      <w:tr w:rsidR="00186764" w:rsidRPr="00AE360E" w:rsidTr="005C2FA0">
        <w:trPr>
          <w:trHeight w:val="404"/>
        </w:trPr>
        <w:tc>
          <w:tcPr>
            <w:tcW w:w="1754" w:type="dxa"/>
            <w:vMerge w:val="restart"/>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 xml:space="preserve">Vaccins </w:t>
            </w:r>
          </w:p>
        </w:tc>
        <w:tc>
          <w:tcPr>
            <w:tcW w:w="1699" w:type="dxa"/>
            <w:vMerge w:val="restart"/>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 xml:space="preserve">Vaccins utilisés </w:t>
            </w:r>
          </w:p>
        </w:tc>
        <w:tc>
          <w:tcPr>
            <w:tcW w:w="2818" w:type="dxa"/>
            <w:vMerge w:val="restart"/>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Population cible</w:t>
            </w:r>
          </w:p>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 xml:space="preserve">(données ventilées par </w:t>
            </w:r>
            <w:r w:rsidR="00701119" w:rsidRPr="00AE360E">
              <w:rPr>
                <w:rFonts w:ascii="Arial" w:eastAsia="Times New Roman" w:hAnsi="Arial" w:cs="Arial"/>
                <w:b/>
                <w:color w:val="000000"/>
                <w:sz w:val="26"/>
                <w:szCs w:val="26"/>
                <w:lang w:eastAsia="en-GB"/>
              </w:rPr>
              <w:t>âge) en</w:t>
            </w:r>
            <w:r w:rsidR="00857A95" w:rsidRPr="00AE360E">
              <w:rPr>
                <w:rFonts w:ascii="Arial" w:eastAsia="Times New Roman" w:hAnsi="Arial" w:cs="Arial"/>
                <w:b/>
                <w:color w:val="000000"/>
                <w:sz w:val="26"/>
                <w:szCs w:val="26"/>
                <w:lang w:eastAsia="en-GB"/>
              </w:rPr>
              <w:t xml:space="preserve"> 2013</w:t>
            </w:r>
          </w:p>
        </w:tc>
        <w:tc>
          <w:tcPr>
            <w:tcW w:w="3567" w:type="dxa"/>
            <w:gridSpan w:val="2"/>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Couverture relevée (formulaire de rapport conjoint)</w:t>
            </w:r>
          </w:p>
        </w:tc>
      </w:tr>
      <w:tr w:rsidR="00186764" w:rsidRPr="00AE360E" w:rsidTr="005C2FA0">
        <w:trPr>
          <w:trHeight w:val="404"/>
        </w:trPr>
        <w:tc>
          <w:tcPr>
            <w:tcW w:w="1754" w:type="dxa"/>
            <w:vMerge/>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p>
        </w:tc>
        <w:tc>
          <w:tcPr>
            <w:tcW w:w="1699" w:type="dxa"/>
            <w:vMerge/>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p>
        </w:tc>
        <w:tc>
          <w:tcPr>
            <w:tcW w:w="2818" w:type="dxa"/>
            <w:vMerge/>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p>
        </w:tc>
        <w:tc>
          <w:tcPr>
            <w:tcW w:w="1852" w:type="dxa"/>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2013</w:t>
            </w:r>
          </w:p>
        </w:tc>
        <w:tc>
          <w:tcPr>
            <w:tcW w:w="1715" w:type="dxa"/>
            <w:shd w:val="clear" w:color="auto" w:fill="auto"/>
            <w:vAlign w:val="center"/>
          </w:tcPr>
          <w:p w:rsidR="00186764" w:rsidRPr="00AE360E" w:rsidRDefault="00186764" w:rsidP="00AE360E">
            <w:pPr>
              <w:spacing w:after="0"/>
              <w:ind w:right="120"/>
              <w:jc w:val="both"/>
              <w:rPr>
                <w:rFonts w:ascii="Arial" w:eastAsia="Times New Roman" w:hAnsi="Arial" w:cs="Arial"/>
                <w:b/>
                <w:color w:val="000000"/>
                <w:sz w:val="26"/>
                <w:szCs w:val="26"/>
                <w:lang w:eastAsia="en-GB"/>
              </w:rPr>
            </w:pPr>
            <w:r w:rsidRPr="00AE360E">
              <w:rPr>
                <w:rFonts w:ascii="Arial" w:eastAsia="Times New Roman" w:hAnsi="Arial" w:cs="Arial"/>
                <w:b/>
                <w:color w:val="000000"/>
                <w:sz w:val="26"/>
                <w:szCs w:val="26"/>
                <w:lang w:eastAsia="en-GB"/>
              </w:rPr>
              <w:t>2012</w:t>
            </w:r>
          </w:p>
        </w:tc>
      </w:tr>
      <w:tr w:rsidR="00186764" w:rsidRPr="00AE360E" w:rsidTr="00186764">
        <w:trPr>
          <w:trHeight w:val="723"/>
        </w:trPr>
        <w:tc>
          <w:tcPr>
            <w:tcW w:w="1754" w:type="dxa"/>
            <w:shd w:val="clear" w:color="auto" w:fill="auto"/>
          </w:tcPr>
          <w:p w:rsidR="00186764" w:rsidRPr="00AE360E" w:rsidRDefault="00186764" w:rsidP="00AE360E">
            <w:pPr>
              <w:spacing w:after="0"/>
              <w:ind w:right="120"/>
              <w:jc w:val="both"/>
              <w:rPr>
                <w:rFonts w:ascii="Arial" w:eastAsia="Times New Roman" w:hAnsi="Arial" w:cs="Arial"/>
                <w:color w:val="000000"/>
                <w:sz w:val="26"/>
                <w:szCs w:val="26"/>
                <w:highlight w:val="red"/>
                <w:lang w:eastAsia="en-GB"/>
              </w:rPr>
            </w:pPr>
            <w:r w:rsidRPr="00AE360E">
              <w:rPr>
                <w:rFonts w:ascii="Arial" w:eastAsia="Times New Roman" w:hAnsi="Arial" w:cs="Arial"/>
                <w:color w:val="000000"/>
                <w:sz w:val="26"/>
                <w:szCs w:val="26"/>
                <w:lang w:eastAsia="en-GB"/>
              </w:rPr>
              <w:t>BCG</w:t>
            </w:r>
          </w:p>
        </w:tc>
        <w:tc>
          <w:tcPr>
            <w:tcW w:w="1699" w:type="dxa"/>
            <w:shd w:val="clear" w:color="auto" w:fill="auto"/>
          </w:tcPr>
          <w:p w:rsidR="00EF02B3" w:rsidRPr="00AE360E" w:rsidRDefault="00EF02B3"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BB-NCIPD Ltd</w:t>
            </w:r>
          </w:p>
          <w:p w:rsidR="00186764" w:rsidRPr="00AE360E" w:rsidRDefault="00186764" w:rsidP="00AE360E">
            <w:pPr>
              <w:spacing w:after="0"/>
              <w:jc w:val="both"/>
              <w:rPr>
                <w:rFonts w:ascii="Arial" w:eastAsia="Times New Roman" w:hAnsi="Arial" w:cs="Arial"/>
                <w:sz w:val="26"/>
                <w:szCs w:val="26"/>
                <w:lang w:eastAsia="en-GB"/>
              </w:rPr>
            </w:pPr>
          </w:p>
        </w:tc>
        <w:tc>
          <w:tcPr>
            <w:tcW w:w="2818" w:type="dxa"/>
            <w:shd w:val="clear" w:color="auto" w:fill="auto"/>
          </w:tcPr>
          <w:p w:rsidR="00186764"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564.556</w:t>
            </w:r>
            <w:r w:rsidR="00857A95" w:rsidRPr="00AE360E">
              <w:rPr>
                <w:rFonts w:ascii="Arial" w:eastAsia="Times New Roman" w:hAnsi="Arial" w:cs="Arial"/>
                <w:sz w:val="26"/>
                <w:szCs w:val="26"/>
                <w:lang w:eastAsia="en-GB"/>
              </w:rPr>
              <w:t xml:space="preserve"> (naissances vivantes)</w:t>
            </w:r>
          </w:p>
        </w:tc>
        <w:tc>
          <w:tcPr>
            <w:tcW w:w="1852" w:type="dxa"/>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83%</w:t>
            </w:r>
          </w:p>
        </w:tc>
        <w:tc>
          <w:tcPr>
            <w:tcW w:w="1715" w:type="dxa"/>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w:t>
            </w:r>
            <w:r w:rsidR="00857A95" w:rsidRPr="00AE360E">
              <w:rPr>
                <w:rFonts w:ascii="Arial" w:eastAsia="Times New Roman" w:hAnsi="Arial" w:cs="Arial"/>
                <w:sz w:val="26"/>
                <w:szCs w:val="26"/>
                <w:lang w:eastAsia="en-GB"/>
              </w:rPr>
              <w:t>9%</w:t>
            </w:r>
          </w:p>
        </w:tc>
      </w:tr>
      <w:tr w:rsidR="00186764" w:rsidRPr="00AE360E" w:rsidTr="005C2FA0">
        <w:tc>
          <w:tcPr>
            <w:tcW w:w="1754"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AE360E">
            <w:pPr>
              <w:spacing w:after="0"/>
              <w:ind w:right="120"/>
              <w:jc w:val="both"/>
              <w:rPr>
                <w:rFonts w:ascii="Arial" w:eastAsia="Times New Roman" w:hAnsi="Arial" w:cs="Arial"/>
                <w:color w:val="000000"/>
                <w:sz w:val="26"/>
                <w:szCs w:val="26"/>
                <w:lang w:eastAsia="en-GB"/>
              </w:rPr>
            </w:pPr>
            <w:r w:rsidRPr="00AE360E">
              <w:rPr>
                <w:rFonts w:ascii="Arial" w:eastAsia="Times New Roman" w:hAnsi="Arial" w:cs="Arial"/>
                <w:color w:val="000000"/>
                <w:sz w:val="26"/>
                <w:szCs w:val="26"/>
                <w:lang w:eastAsia="en-GB"/>
              </w:rPr>
              <w:t>VPO3</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EF02B3"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HAFKINE BIO</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495.707</w:t>
            </w:r>
          </w:p>
          <w:p w:rsidR="00857A95" w:rsidRPr="00AE360E" w:rsidRDefault="00857A9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(0-11mois)</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80%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w:t>
            </w:r>
            <w:r w:rsidR="00857A95" w:rsidRPr="00AE360E">
              <w:rPr>
                <w:rFonts w:ascii="Arial" w:eastAsia="Times New Roman" w:hAnsi="Arial" w:cs="Arial"/>
                <w:sz w:val="26"/>
                <w:szCs w:val="26"/>
                <w:lang w:eastAsia="en-GB"/>
              </w:rPr>
              <w:t>3%</w:t>
            </w:r>
          </w:p>
        </w:tc>
      </w:tr>
      <w:tr w:rsidR="00186764" w:rsidRPr="00AE360E" w:rsidTr="005C2FA0">
        <w:tc>
          <w:tcPr>
            <w:tcW w:w="1754"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CB067B">
            <w:pPr>
              <w:spacing w:after="0"/>
              <w:ind w:right="120"/>
              <w:rPr>
                <w:rFonts w:ascii="Arial" w:eastAsia="Times New Roman" w:hAnsi="Arial" w:cs="Arial"/>
                <w:color w:val="000000"/>
                <w:sz w:val="26"/>
                <w:szCs w:val="26"/>
                <w:lang w:eastAsia="en-GB"/>
              </w:rPr>
            </w:pPr>
            <w:r w:rsidRPr="00AE360E">
              <w:rPr>
                <w:rFonts w:ascii="Arial" w:eastAsia="Times New Roman" w:hAnsi="Arial" w:cs="Arial"/>
                <w:color w:val="000000"/>
                <w:sz w:val="26"/>
                <w:szCs w:val="26"/>
                <w:lang w:eastAsia="en-GB"/>
              </w:rPr>
              <w:t>DTC1 / Penta1</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SERUM INSTITUTE OF INDIA</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857A95"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495.707</w:t>
            </w:r>
          </w:p>
          <w:p w:rsidR="00186764" w:rsidRPr="00AE360E" w:rsidRDefault="00857A9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(0-11mois)</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98%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9</w:t>
            </w:r>
            <w:r w:rsidR="00857A95" w:rsidRPr="00AE360E">
              <w:rPr>
                <w:rFonts w:ascii="Arial" w:eastAsia="Times New Roman" w:hAnsi="Arial" w:cs="Arial"/>
                <w:sz w:val="26"/>
                <w:szCs w:val="26"/>
                <w:lang w:eastAsia="en-GB"/>
              </w:rPr>
              <w:t>3%</w:t>
            </w:r>
          </w:p>
        </w:tc>
      </w:tr>
      <w:tr w:rsidR="00186764" w:rsidRPr="00AE360E" w:rsidTr="005C2FA0">
        <w:tc>
          <w:tcPr>
            <w:tcW w:w="1754"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CB067B">
            <w:pPr>
              <w:spacing w:after="0"/>
              <w:ind w:right="120"/>
              <w:rPr>
                <w:rFonts w:ascii="Arial" w:eastAsia="Times New Roman" w:hAnsi="Arial" w:cs="Arial"/>
                <w:color w:val="000000"/>
                <w:sz w:val="26"/>
                <w:szCs w:val="26"/>
                <w:lang w:eastAsia="en-GB"/>
              </w:rPr>
            </w:pPr>
            <w:r w:rsidRPr="00AE360E">
              <w:rPr>
                <w:rFonts w:ascii="Arial" w:eastAsia="Times New Roman" w:hAnsi="Arial" w:cs="Arial"/>
                <w:color w:val="000000"/>
                <w:sz w:val="26"/>
                <w:szCs w:val="26"/>
                <w:lang w:eastAsia="en-GB"/>
              </w:rPr>
              <w:t>DTC3 / Penta3</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SERUM INSTITUTE OF INDIA</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857A95"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495.707</w:t>
            </w:r>
          </w:p>
          <w:p w:rsidR="00186764" w:rsidRPr="00AE360E" w:rsidRDefault="00857A9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(0-11mois)</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80</w:t>
            </w:r>
            <w:r w:rsidR="00857A95" w:rsidRPr="00AE360E">
              <w:rPr>
                <w:rFonts w:ascii="Arial" w:eastAsia="Times New Roman" w:hAnsi="Arial" w:cs="Arial"/>
                <w:sz w:val="26"/>
                <w:szCs w:val="26"/>
                <w:lang w:eastAsia="en-GB"/>
              </w:rPr>
              <w: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w:t>
            </w:r>
            <w:r w:rsidR="00857A95" w:rsidRPr="00AE360E">
              <w:rPr>
                <w:rFonts w:ascii="Arial" w:eastAsia="Times New Roman" w:hAnsi="Arial" w:cs="Arial"/>
                <w:sz w:val="26"/>
                <w:szCs w:val="26"/>
                <w:lang w:eastAsia="en-GB"/>
              </w:rPr>
              <w:t>2%</w:t>
            </w:r>
          </w:p>
        </w:tc>
      </w:tr>
      <w:tr w:rsidR="00186764" w:rsidRPr="00AE360E" w:rsidTr="005C2FA0">
        <w:tc>
          <w:tcPr>
            <w:tcW w:w="1754"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186764" w:rsidP="00AE360E">
            <w:pPr>
              <w:spacing w:after="0"/>
              <w:ind w:right="120"/>
              <w:jc w:val="both"/>
              <w:rPr>
                <w:rFonts w:ascii="Arial" w:eastAsia="Times New Roman" w:hAnsi="Arial" w:cs="Arial"/>
                <w:color w:val="000000"/>
                <w:sz w:val="26"/>
                <w:szCs w:val="26"/>
                <w:lang w:eastAsia="en-GB"/>
              </w:rPr>
            </w:pPr>
            <w:r w:rsidRPr="00AE360E">
              <w:rPr>
                <w:rFonts w:ascii="Arial" w:eastAsia="Times New Roman" w:hAnsi="Arial" w:cs="Arial"/>
                <w:color w:val="000000"/>
                <w:sz w:val="26"/>
                <w:szCs w:val="26"/>
                <w:lang w:eastAsia="en-GB"/>
              </w:rPr>
              <w:t>Rougeole 1</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EF02B3"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BIO FARMA</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857A95"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495.707</w:t>
            </w:r>
          </w:p>
          <w:p w:rsidR="00186764" w:rsidRPr="00AE360E" w:rsidRDefault="00857A9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(0-11mois)</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79</w:t>
            </w:r>
            <w:r w:rsidR="00857A95" w:rsidRPr="00AE360E">
              <w:rPr>
                <w:rFonts w:ascii="Arial" w:eastAsia="Times New Roman" w:hAnsi="Arial" w:cs="Arial"/>
                <w:sz w:val="26"/>
                <w:szCs w:val="26"/>
                <w:lang w:eastAsia="en-GB"/>
              </w:rPr>
              <w:t>%</w:t>
            </w:r>
          </w:p>
          <w:p w:rsidR="00480E35" w:rsidRPr="00AE360E" w:rsidRDefault="00480E35" w:rsidP="00AE360E">
            <w:pPr>
              <w:spacing w:after="0"/>
              <w:jc w:val="both"/>
              <w:rPr>
                <w:rFonts w:ascii="Arial" w:eastAsia="Times New Roman" w:hAnsi="Arial" w:cs="Arial"/>
                <w:sz w:val="26"/>
                <w:szCs w:val="26"/>
                <w:lang w:eastAsia="en-GB"/>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86764"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6</w:t>
            </w:r>
            <w:r w:rsidR="00857A95" w:rsidRPr="00AE360E">
              <w:rPr>
                <w:rFonts w:ascii="Arial" w:eastAsia="Times New Roman" w:hAnsi="Arial" w:cs="Arial"/>
                <w:sz w:val="26"/>
                <w:szCs w:val="26"/>
                <w:lang w:eastAsia="en-GB"/>
              </w:rPr>
              <w:t>9%</w:t>
            </w:r>
          </w:p>
        </w:tc>
      </w:tr>
      <w:tr w:rsidR="00531013" w:rsidRPr="00AE360E" w:rsidTr="005C2FA0">
        <w:tc>
          <w:tcPr>
            <w:tcW w:w="1754" w:type="dxa"/>
            <w:tcBorders>
              <w:top w:val="single" w:sz="4" w:space="0" w:color="auto"/>
              <w:left w:val="single" w:sz="4" w:space="0" w:color="auto"/>
              <w:bottom w:val="single" w:sz="4" w:space="0" w:color="auto"/>
              <w:right w:val="single" w:sz="4" w:space="0" w:color="auto"/>
            </w:tcBorders>
            <w:shd w:val="clear" w:color="auto" w:fill="auto"/>
          </w:tcPr>
          <w:p w:rsidR="00531013" w:rsidRPr="00AE360E" w:rsidRDefault="00EF02B3" w:rsidP="00AE360E">
            <w:pPr>
              <w:spacing w:after="0"/>
              <w:ind w:right="120"/>
              <w:jc w:val="both"/>
              <w:rPr>
                <w:rFonts w:ascii="Arial" w:eastAsia="Times New Roman" w:hAnsi="Arial" w:cs="Arial"/>
                <w:color w:val="000000"/>
                <w:sz w:val="26"/>
                <w:szCs w:val="26"/>
                <w:lang w:eastAsia="en-GB"/>
              </w:rPr>
            </w:pPr>
            <w:r w:rsidRPr="00AE360E">
              <w:rPr>
                <w:rFonts w:ascii="Arial" w:eastAsia="Times New Roman" w:hAnsi="Arial" w:cs="Arial"/>
                <w:color w:val="000000"/>
                <w:sz w:val="26"/>
                <w:szCs w:val="26"/>
                <w:lang w:eastAsia="en-GB"/>
              </w:rPr>
              <w:t>Anti amaril (Fièvre Jaune)</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531013" w:rsidRPr="00AE360E" w:rsidRDefault="00EF02B3"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FIOTEC</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857A95" w:rsidRPr="00AE360E" w:rsidRDefault="00480E3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495.707</w:t>
            </w:r>
          </w:p>
          <w:p w:rsidR="00531013" w:rsidRPr="00AE360E" w:rsidRDefault="00857A95"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(0-11mois)</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531013"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w:t>
            </w:r>
            <w:r w:rsidR="00857A95" w:rsidRPr="00AE360E">
              <w:rPr>
                <w:rFonts w:ascii="Arial" w:eastAsia="Times New Roman" w:hAnsi="Arial" w:cs="Arial"/>
                <w:sz w:val="26"/>
                <w:szCs w:val="26"/>
                <w:lang w:eastAsia="en-GB"/>
              </w:rPr>
              <w:t>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31013" w:rsidRPr="00AE360E" w:rsidRDefault="005D6924" w:rsidP="00AE360E">
            <w:pPr>
              <w:spacing w:after="0"/>
              <w:jc w:val="both"/>
              <w:rPr>
                <w:rFonts w:ascii="Arial" w:eastAsia="Times New Roman" w:hAnsi="Arial" w:cs="Arial"/>
                <w:sz w:val="26"/>
                <w:szCs w:val="26"/>
                <w:lang w:eastAsia="en-GB"/>
              </w:rPr>
            </w:pPr>
            <w:r w:rsidRPr="00AE360E">
              <w:rPr>
                <w:rFonts w:ascii="Arial" w:eastAsia="Times New Roman" w:hAnsi="Arial" w:cs="Arial"/>
                <w:sz w:val="26"/>
                <w:szCs w:val="26"/>
                <w:lang w:eastAsia="en-GB"/>
              </w:rPr>
              <w:t>70</w:t>
            </w:r>
            <w:r w:rsidR="00857A95" w:rsidRPr="00AE360E">
              <w:rPr>
                <w:rFonts w:ascii="Arial" w:eastAsia="Times New Roman" w:hAnsi="Arial" w:cs="Arial"/>
                <w:sz w:val="26"/>
                <w:szCs w:val="26"/>
                <w:lang w:eastAsia="en-GB"/>
              </w:rPr>
              <w:t>%</w:t>
            </w:r>
          </w:p>
        </w:tc>
      </w:tr>
    </w:tbl>
    <w:p w:rsidR="00A16EE5" w:rsidRDefault="00A16EE5" w:rsidP="00AE360E">
      <w:pPr>
        <w:pStyle w:val="Paragraphedeliste"/>
        <w:jc w:val="both"/>
        <w:rPr>
          <w:rFonts w:ascii="Arial" w:eastAsia="Times New Roman" w:hAnsi="Arial" w:cs="Arial"/>
          <w:color w:val="365F91"/>
          <w:sz w:val="28"/>
          <w:szCs w:val="28"/>
          <w:lang w:eastAsia="en-GB"/>
        </w:rPr>
      </w:pPr>
    </w:p>
    <w:p w:rsidR="00894E75" w:rsidRDefault="00894E75">
      <w:pPr>
        <w:rPr>
          <w:rFonts w:ascii="Arial" w:eastAsia="Times New Roman" w:hAnsi="Arial" w:cs="Arial"/>
          <w:color w:val="365F91"/>
          <w:sz w:val="28"/>
          <w:szCs w:val="28"/>
          <w:lang w:eastAsia="en-GB"/>
        </w:rPr>
      </w:pPr>
      <w:r>
        <w:rPr>
          <w:rFonts w:ascii="Arial" w:eastAsia="Times New Roman" w:hAnsi="Arial" w:cs="Arial"/>
          <w:color w:val="365F91"/>
          <w:sz w:val="28"/>
          <w:szCs w:val="28"/>
          <w:lang w:eastAsia="en-GB"/>
        </w:rPr>
        <w:br w:type="page"/>
      </w:r>
    </w:p>
    <w:p w:rsidR="00A16EE5" w:rsidRPr="00AE360E" w:rsidRDefault="00A16EE5" w:rsidP="00AE360E">
      <w:pPr>
        <w:pStyle w:val="Paragraphedeliste"/>
        <w:numPr>
          <w:ilvl w:val="0"/>
          <w:numId w:val="10"/>
        </w:numPr>
        <w:jc w:val="both"/>
        <w:rPr>
          <w:rFonts w:ascii="Arial" w:eastAsia="Times New Roman" w:hAnsi="Arial" w:cs="Arial"/>
          <w:color w:val="365F91"/>
          <w:sz w:val="28"/>
          <w:szCs w:val="28"/>
          <w:lang w:eastAsia="en-GB"/>
        </w:rPr>
      </w:pPr>
      <w:r w:rsidRPr="00AE360E">
        <w:rPr>
          <w:rFonts w:ascii="Arial" w:hAnsi="Arial" w:cs="Arial"/>
          <w:b/>
          <w:sz w:val="24"/>
          <w:szCs w:val="24"/>
          <w:u w:val="single"/>
        </w:rPr>
        <w:lastRenderedPageBreak/>
        <w:t>O</w:t>
      </w:r>
      <w:r w:rsidR="00447042" w:rsidRPr="00AE360E">
        <w:rPr>
          <w:rFonts w:ascii="Arial" w:hAnsi="Arial" w:cs="Arial"/>
          <w:b/>
          <w:sz w:val="24"/>
          <w:szCs w:val="24"/>
          <w:u w:val="single"/>
        </w:rPr>
        <w:t>bstacles géographiques, économiques, politiques, culturels, sexo-spécifiques et sociaux à la vaccination</w:t>
      </w:r>
    </w:p>
    <w:p w:rsidR="00CC679A" w:rsidRPr="00C249D2" w:rsidRDefault="001E6C1E" w:rsidP="00AA0336">
      <w:pPr>
        <w:pStyle w:val="ColorfulList-Accent11"/>
        <w:ind w:left="0"/>
        <w:jc w:val="both"/>
        <w:rPr>
          <w:rFonts w:ascii="Arial" w:hAnsi="Arial" w:cs="Arial"/>
          <w:sz w:val="24"/>
          <w:szCs w:val="24"/>
          <w:lang w:val="fr-FR"/>
        </w:rPr>
      </w:pPr>
      <w:r w:rsidRPr="003D1004">
        <w:rPr>
          <w:rFonts w:ascii="Arial" w:eastAsia="SimSun" w:hAnsi="Arial" w:cs="Arial"/>
          <w:b/>
          <w:color w:val="000000"/>
          <w:sz w:val="24"/>
          <w:szCs w:val="24"/>
          <w:u w:val="single"/>
          <w:lang w:val="fr-FR" w:eastAsia="en-GB"/>
        </w:rPr>
        <w:t xml:space="preserve">Tableau </w:t>
      </w:r>
      <w:r>
        <w:rPr>
          <w:rFonts w:ascii="Arial" w:eastAsia="SimSun" w:hAnsi="Arial" w:cs="Arial"/>
          <w:b/>
          <w:color w:val="000000"/>
          <w:sz w:val="24"/>
          <w:szCs w:val="24"/>
          <w:u w:val="single"/>
          <w:lang w:val="fr-FR" w:eastAsia="en-GB"/>
        </w:rPr>
        <w:t>X </w:t>
      </w:r>
      <w:r>
        <w:rPr>
          <w:rFonts w:ascii="Arial" w:eastAsia="SimSun" w:hAnsi="Arial" w:cs="Arial"/>
          <w:color w:val="000000"/>
          <w:sz w:val="24"/>
          <w:szCs w:val="24"/>
          <w:lang w:val="fr-FR" w:eastAsia="en-GB"/>
        </w:rPr>
        <w:t xml:space="preserve">: </w:t>
      </w:r>
      <w:r w:rsidR="00AA0336" w:rsidRPr="00C249D2">
        <w:rPr>
          <w:rFonts w:ascii="Arial" w:hAnsi="Arial" w:cs="Arial"/>
          <w:sz w:val="24"/>
          <w:szCs w:val="24"/>
          <w:lang w:val="fr-FR"/>
        </w:rPr>
        <w:t xml:space="preserve">Raisons de non vaccination ou de vaccination incomplète </w:t>
      </w:r>
      <w:r w:rsidR="00C873F8" w:rsidRPr="00C249D2">
        <w:rPr>
          <w:rFonts w:ascii="Arial" w:hAnsi="Arial" w:cs="Arial"/>
          <w:sz w:val="24"/>
          <w:szCs w:val="24"/>
          <w:lang w:val="fr-FR"/>
        </w:rPr>
        <w:t>(Revue PEV, Tchad</w:t>
      </w:r>
      <w:r w:rsidR="002D54AF" w:rsidRPr="00C249D2">
        <w:rPr>
          <w:rFonts w:ascii="Arial" w:hAnsi="Arial" w:cs="Arial"/>
          <w:sz w:val="24"/>
          <w:szCs w:val="24"/>
          <w:lang w:val="fr-FR"/>
        </w:rPr>
        <w:t>, Avril2012</w:t>
      </w:r>
      <w:r w:rsidR="00C873F8" w:rsidRPr="00C249D2">
        <w:rPr>
          <w:rFonts w:ascii="Arial" w:hAnsi="Arial" w:cs="Arial"/>
          <w:sz w:val="24"/>
          <w:szCs w:val="24"/>
          <w:lang w:val="fr-FR"/>
        </w:rPr>
        <w:t>)</w:t>
      </w:r>
      <w:r w:rsidR="002D54AF" w:rsidRPr="00C249D2">
        <w:rPr>
          <w:rFonts w:ascii="Arial" w:hAnsi="Arial" w:cs="Arial"/>
          <w:sz w:val="24"/>
          <w:szCs w:val="24"/>
          <w:lang w:val="fr-FR"/>
        </w:rPr>
        <w:t>.</w:t>
      </w:r>
    </w:p>
    <w:tbl>
      <w:tblPr>
        <w:tblW w:w="5000" w:type="pct"/>
        <w:tblCellMar>
          <w:left w:w="70" w:type="dxa"/>
          <w:right w:w="70" w:type="dxa"/>
        </w:tblCellMar>
        <w:tblLook w:val="04A0"/>
      </w:tblPr>
      <w:tblGrid>
        <w:gridCol w:w="7272"/>
        <w:gridCol w:w="1021"/>
        <w:gridCol w:w="919"/>
      </w:tblGrid>
      <w:tr w:rsidR="00C37E1A" w:rsidRPr="00CB067B" w:rsidTr="00C37E1A">
        <w:trPr>
          <w:trHeight w:val="264"/>
        </w:trPr>
        <w:tc>
          <w:tcPr>
            <w:tcW w:w="3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873F8" w:rsidRPr="00894E75" w:rsidRDefault="00CB067B" w:rsidP="00CB067B">
            <w:pPr>
              <w:rPr>
                <w:rFonts w:ascii="Arial" w:hAnsi="Arial" w:cs="Arial"/>
                <w:b/>
                <w:sz w:val="24"/>
                <w:szCs w:val="24"/>
                <w:lang w:eastAsia="fr-FR"/>
              </w:rPr>
            </w:pPr>
            <w:r w:rsidRPr="00894E75">
              <w:rPr>
                <w:rFonts w:ascii="Arial" w:hAnsi="Arial" w:cs="Arial"/>
                <w:b/>
                <w:sz w:val="24"/>
                <w:szCs w:val="24"/>
                <w:lang w:eastAsia="fr-FR"/>
              </w:rPr>
              <w:t>Raisons de non vaccination ou de vaccinations incomplètes</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873F8" w:rsidRPr="00894E75" w:rsidRDefault="00CB067B" w:rsidP="00CB067B">
            <w:pPr>
              <w:rPr>
                <w:rFonts w:ascii="Arial" w:hAnsi="Arial" w:cs="Arial"/>
                <w:b/>
                <w:sz w:val="24"/>
                <w:szCs w:val="24"/>
                <w:lang w:eastAsia="fr-FR"/>
              </w:rPr>
            </w:pPr>
            <w:r w:rsidRPr="00894E75">
              <w:rPr>
                <w:rFonts w:ascii="Arial" w:hAnsi="Arial" w:cs="Arial"/>
                <w:b/>
                <w:sz w:val="24"/>
                <w:szCs w:val="24"/>
                <w:lang w:eastAsia="fr-FR"/>
              </w:rPr>
              <w:t>nombre</w:t>
            </w:r>
          </w:p>
        </w:tc>
        <w:tc>
          <w:tcPr>
            <w:tcW w:w="499"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873F8" w:rsidRPr="00894E75" w:rsidRDefault="00CB067B" w:rsidP="00CB067B">
            <w:pPr>
              <w:rPr>
                <w:rFonts w:ascii="Arial" w:hAnsi="Arial" w:cs="Arial"/>
                <w:b/>
                <w:sz w:val="24"/>
                <w:szCs w:val="24"/>
                <w:lang w:eastAsia="fr-FR"/>
              </w:rPr>
            </w:pPr>
            <w:r w:rsidRPr="00894E75">
              <w:rPr>
                <w:rFonts w:ascii="Arial" w:hAnsi="Arial" w:cs="Arial"/>
                <w:b/>
                <w:sz w:val="24"/>
                <w:szCs w:val="24"/>
                <w:lang w:eastAsia="fr-FR"/>
              </w:rPr>
              <w:t>%</w:t>
            </w:r>
          </w:p>
        </w:tc>
      </w:tr>
      <w:tr w:rsidR="00C37E1A" w:rsidRPr="00C46AD6" w:rsidTr="00C37E1A">
        <w:trPr>
          <w:trHeight w:val="252"/>
        </w:trPr>
        <w:tc>
          <w:tcPr>
            <w:tcW w:w="3947" w:type="pc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873F8" w:rsidRPr="00C46AD6" w:rsidRDefault="00217A1F" w:rsidP="00CB067B">
            <w:pPr>
              <w:rPr>
                <w:rFonts w:ascii="Arial" w:hAnsi="Arial" w:cs="Arial"/>
                <w:b/>
                <w:smallCaps/>
                <w:sz w:val="24"/>
                <w:szCs w:val="24"/>
                <w:lang w:val="fr-CA" w:eastAsia="fr-FR"/>
              </w:rPr>
            </w:pPr>
            <w:r w:rsidRPr="00C46AD6">
              <w:rPr>
                <w:rFonts w:ascii="Arial" w:hAnsi="Arial" w:cs="Arial"/>
                <w:b/>
                <w:smallCaps/>
                <w:sz w:val="24"/>
                <w:szCs w:val="24"/>
                <w:lang w:val="fr-CA" w:eastAsia="fr-FR"/>
              </w:rPr>
              <w:t>manque d’information</w:t>
            </w:r>
          </w:p>
        </w:tc>
        <w:tc>
          <w:tcPr>
            <w:tcW w:w="554"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873F8" w:rsidP="00CB067B">
            <w:pPr>
              <w:rPr>
                <w:rFonts w:ascii="Arial" w:hAnsi="Arial" w:cs="Arial"/>
                <w:b/>
                <w:sz w:val="24"/>
                <w:szCs w:val="24"/>
                <w:lang w:eastAsia="fr-FR"/>
              </w:rPr>
            </w:pPr>
          </w:p>
        </w:tc>
        <w:tc>
          <w:tcPr>
            <w:tcW w:w="499"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B067B" w:rsidP="00CB067B">
            <w:pPr>
              <w:rPr>
                <w:rFonts w:ascii="Arial" w:hAnsi="Arial" w:cs="Arial"/>
                <w:b/>
                <w:sz w:val="24"/>
                <w:szCs w:val="24"/>
                <w:lang w:eastAsia="fr-FR"/>
              </w:rPr>
            </w:pPr>
            <w:r w:rsidRPr="00C46AD6">
              <w:rPr>
                <w:rFonts w:ascii="Arial" w:hAnsi="Arial" w:cs="Arial"/>
                <w:b/>
                <w:sz w:val="24"/>
                <w:szCs w:val="24"/>
                <w:lang w:eastAsia="fr-FR"/>
              </w:rPr>
              <w:t>40%</w:t>
            </w:r>
          </w:p>
        </w:tc>
      </w:tr>
      <w:tr w:rsidR="00C873F8" w:rsidRPr="00CB067B" w:rsidTr="00C37E1A">
        <w:trPr>
          <w:trHeight w:val="528"/>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manque d’information et communication (ne savais pas qu’il fallait retourner au centre de vaccination, ne savais pas quel jour il fallait retourner au centre)</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1458</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23%</w:t>
            </w:r>
          </w:p>
        </w:tc>
      </w:tr>
      <w:tr w:rsidR="00C873F8" w:rsidRPr="00CB067B" w:rsidTr="00C37E1A">
        <w:trPr>
          <w:trHeight w:val="212"/>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eastAsia="ja-JP"/>
              </w:rPr>
              <w:t>ne savais pas ou aller faire vacciner</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632</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10%</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peur des effets secondaire (l’enfant a eu une réaction au vaccin)</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425</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7%</w:t>
            </w:r>
          </w:p>
        </w:tc>
      </w:tr>
      <w:tr w:rsidR="00C37E1A" w:rsidRPr="00C46AD6" w:rsidTr="00C37E1A">
        <w:trPr>
          <w:trHeight w:val="235"/>
        </w:trPr>
        <w:tc>
          <w:tcPr>
            <w:tcW w:w="3947" w:type="pc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873F8" w:rsidRPr="00C46AD6" w:rsidRDefault="00023253" w:rsidP="00CB067B">
            <w:pPr>
              <w:rPr>
                <w:rFonts w:ascii="Arial" w:hAnsi="Arial" w:cs="Arial"/>
                <w:b/>
                <w:sz w:val="24"/>
                <w:szCs w:val="24"/>
                <w:lang w:eastAsia="ja-JP"/>
              </w:rPr>
            </w:pPr>
            <w:r w:rsidRPr="00C46AD6">
              <w:rPr>
                <w:rFonts w:ascii="Arial" w:hAnsi="Arial" w:cs="Arial"/>
                <w:b/>
                <w:smallCaps/>
                <w:sz w:val="24"/>
                <w:szCs w:val="24"/>
                <w:lang w:val="fr-CA" w:eastAsia="fr-FR"/>
              </w:rPr>
              <w:t>QUALITE DE L’OFFRE DES SERVICES</w:t>
            </w:r>
          </w:p>
        </w:tc>
        <w:tc>
          <w:tcPr>
            <w:tcW w:w="554"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873F8" w:rsidP="00CB067B">
            <w:pPr>
              <w:rPr>
                <w:rFonts w:ascii="Arial" w:hAnsi="Arial" w:cs="Arial"/>
                <w:b/>
                <w:sz w:val="24"/>
                <w:szCs w:val="24"/>
                <w:lang w:eastAsia="fr-FR"/>
              </w:rPr>
            </w:pPr>
          </w:p>
        </w:tc>
        <w:tc>
          <w:tcPr>
            <w:tcW w:w="499"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B067B" w:rsidP="00CB067B">
            <w:pPr>
              <w:rPr>
                <w:rFonts w:ascii="Arial" w:hAnsi="Arial" w:cs="Arial"/>
                <w:b/>
                <w:sz w:val="24"/>
                <w:szCs w:val="24"/>
                <w:lang w:eastAsia="fr-FR"/>
              </w:rPr>
            </w:pPr>
            <w:r w:rsidRPr="00C46AD6">
              <w:rPr>
                <w:rFonts w:ascii="Arial" w:hAnsi="Arial" w:cs="Arial"/>
                <w:b/>
                <w:sz w:val="24"/>
                <w:szCs w:val="24"/>
                <w:lang w:eastAsia="fr-FR"/>
              </w:rPr>
              <w:t>33%</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éloignement du centre de vaccination</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1216</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19%</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indisponibilité des vaccins ou personnel de sante</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606</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9%</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eastAsia="ja-JP"/>
              </w:rPr>
              <w:t xml:space="preserve">temps d’attente trop </w:t>
            </w:r>
            <w:r w:rsidR="00100A1E">
              <w:rPr>
                <w:rFonts w:ascii="Arial" w:hAnsi="Arial" w:cs="Arial"/>
                <w:smallCaps/>
                <w:sz w:val="24"/>
                <w:szCs w:val="24"/>
                <w:lang w:eastAsia="ja-JP"/>
              </w:rPr>
              <w:t>long</w:t>
            </w:r>
            <w:r w:rsidRPr="00CB067B">
              <w:rPr>
                <w:rFonts w:ascii="Arial" w:hAnsi="Arial" w:cs="Arial"/>
                <w:smallCaps/>
                <w:sz w:val="24"/>
                <w:szCs w:val="24"/>
                <w:lang w:eastAsia="ja-JP"/>
              </w:rPr>
              <w:t>, mauvaise accueil</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203</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3%</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manque de confiance au personnel de santé</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131</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2%</w:t>
            </w:r>
          </w:p>
        </w:tc>
      </w:tr>
      <w:tr w:rsidR="00C37E1A" w:rsidRPr="00C46AD6" w:rsidTr="00C37E1A">
        <w:trPr>
          <w:trHeight w:val="264"/>
        </w:trPr>
        <w:tc>
          <w:tcPr>
            <w:tcW w:w="3947" w:type="pc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873F8" w:rsidRPr="00C46AD6" w:rsidRDefault="00CB067B" w:rsidP="00CB067B">
            <w:pPr>
              <w:rPr>
                <w:rFonts w:ascii="Arial" w:hAnsi="Arial" w:cs="Arial"/>
                <w:b/>
                <w:smallCaps/>
                <w:sz w:val="24"/>
                <w:szCs w:val="24"/>
                <w:lang w:val="fr-CA" w:eastAsia="fr-FR"/>
              </w:rPr>
            </w:pPr>
            <w:r w:rsidRPr="00C46AD6">
              <w:rPr>
                <w:rFonts w:ascii="Arial" w:hAnsi="Arial" w:cs="Arial"/>
                <w:b/>
                <w:smallCaps/>
                <w:sz w:val="24"/>
                <w:szCs w:val="24"/>
                <w:lang w:val="fr-CA" w:eastAsia="fr-FR"/>
              </w:rPr>
              <w:t>obstacles</w:t>
            </w:r>
          </w:p>
        </w:tc>
        <w:tc>
          <w:tcPr>
            <w:tcW w:w="554"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873F8" w:rsidP="00CB067B">
            <w:pPr>
              <w:rPr>
                <w:rFonts w:ascii="Arial" w:hAnsi="Arial" w:cs="Arial"/>
                <w:b/>
                <w:sz w:val="24"/>
                <w:szCs w:val="24"/>
                <w:lang w:eastAsia="fr-FR"/>
              </w:rPr>
            </w:pPr>
          </w:p>
        </w:tc>
        <w:tc>
          <w:tcPr>
            <w:tcW w:w="499"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B067B" w:rsidP="00CB067B">
            <w:pPr>
              <w:rPr>
                <w:rFonts w:ascii="Arial" w:hAnsi="Arial" w:cs="Arial"/>
                <w:b/>
                <w:sz w:val="24"/>
                <w:szCs w:val="24"/>
                <w:lang w:eastAsia="fr-FR"/>
              </w:rPr>
            </w:pPr>
            <w:r w:rsidRPr="00C46AD6">
              <w:rPr>
                <w:rFonts w:ascii="Arial" w:hAnsi="Arial" w:cs="Arial"/>
                <w:b/>
                <w:sz w:val="24"/>
                <w:szCs w:val="24"/>
                <w:lang w:eastAsia="fr-FR"/>
              </w:rPr>
              <w:t>27%</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ja-JP"/>
              </w:rPr>
              <w:t>obligations sociales (j’étais occupé ala maison, des malades a s’occuper)</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473</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7%</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 xml:space="preserve">les activités économiques </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444</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7%</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n’est pas décideur au sein de la famille</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396</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6%</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croyances religieuses (ma religion me l’a déconseille)</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194</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3%</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manque de moyen financier</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178</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3%</w:t>
            </w:r>
          </w:p>
        </w:tc>
      </w:tr>
      <w:tr w:rsidR="00C873F8" w:rsidRPr="00CB067B" w:rsidTr="00C37E1A">
        <w:trPr>
          <w:trHeight w:val="264"/>
        </w:trPr>
        <w:tc>
          <w:tcPr>
            <w:tcW w:w="3947" w:type="pct"/>
            <w:tcBorders>
              <w:top w:val="nil"/>
              <w:left w:val="single" w:sz="4" w:space="0" w:color="auto"/>
              <w:bottom w:val="single" w:sz="4" w:space="0" w:color="auto"/>
              <w:right w:val="single" w:sz="4" w:space="0" w:color="auto"/>
            </w:tcBorders>
            <w:shd w:val="clear" w:color="auto" w:fill="auto"/>
          </w:tcPr>
          <w:p w:rsidR="00C873F8" w:rsidRPr="00CB067B" w:rsidRDefault="00CB067B" w:rsidP="00CB067B">
            <w:pPr>
              <w:rPr>
                <w:rFonts w:ascii="Arial" w:hAnsi="Arial" w:cs="Arial"/>
                <w:sz w:val="24"/>
                <w:szCs w:val="24"/>
                <w:lang w:eastAsia="fr-FR"/>
              </w:rPr>
            </w:pPr>
            <w:r w:rsidRPr="00CB067B">
              <w:rPr>
                <w:rFonts w:ascii="Arial" w:hAnsi="Arial" w:cs="Arial"/>
                <w:smallCaps/>
                <w:sz w:val="24"/>
                <w:szCs w:val="24"/>
                <w:lang w:val="fr-CA" w:eastAsia="fr-FR"/>
              </w:rPr>
              <w:t>peur de la sorcellerie</w:t>
            </w:r>
          </w:p>
        </w:tc>
        <w:tc>
          <w:tcPr>
            <w:tcW w:w="554"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83</w:t>
            </w:r>
          </w:p>
        </w:tc>
        <w:tc>
          <w:tcPr>
            <w:tcW w:w="499" w:type="pct"/>
            <w:tcBorders>
              <w:top w:val="nil"/>
              <w:left w:val="nil"/>
              <w:bottom w:val="single" w:sz="4" w:space="0" w:color="auto"/>
              <w:right w:val="single" w:sz="4" w:space="0" w:color="auto"/>
            </w:tcBorders>
            <w:shd w:val="clear" w:color="auto" w:fill="auto"/>
            <w:noWrap/>
            <w:vAlign w:val="bottom"/>
          </w:tcPr>
          <w:p w:rsidR="00C873F8" w:rsidRPr="00CB067B" w:rsidRDefault="00CB067B" w:rsidP="00CB067B">
            <w:pPr>
              <w:rPr>
                <w:rFonts w:ascii="Arial" w:hAnsi="Arial" w:cs="Arial"/>
                <w:sz w:val="24"/>
                <w:szCs w:val="24"/>
                <w:lang w:eastAsia="fr-FR"/>
              </w:rPr>
            </w:pPr>
            <w:r w:rsidRPr="00CB067B">
              <w:rPr>
                <w:rFonts w:ascii="Arial" w:hAnsi="Arial" w:cs="Arial"/>
                <w:sz w:val="24"/>
                <w:szCs w:val="24"/>
                <w:lang w:eastAsia="fr-FR"/>
              </w:rPr>
              <w:t>1%</w:t>
            </w:r>
          </w:p>
        </w:tc>
      </w:tr>
      <w:tr w:rsidR="00C37E1A" w:rsidRPr="00C46AD6" w:rsidTr="00C37E1A">
        <w:trPr>
          <w:trHeight w:val="264"/>
        </w:trPr>
        <w:tc>
          <w:tcPr>
            <w:tcW w:w="3947"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C873F8" w:rsidRPr="00C46AD6" w:rsidRDefault="00023253" w:rsidP="00CB067B">
            <w:pPr>
              <w:rPr>
                <w:rFonts w:ascii="Arial" w:hAnsi="Arial" w:cs="Arial"/>
                <w:b/>
                <w:sz w:val="24"/>
                <w:szCs w:val="24"/>
                <w:lang w:eastAsia="fr-FR"/>
              </w:rPr>
            </w:pPr>
            <w:r w:rsidRPr="00C46AD6">
              <w:rPr>
                <w:rFonts w:ascii="Arial" w:hAnsi="Arial" w:cs="Arial"/>
                <w:b/>
                <w:sz w:val="24"/>
                <w:szCs w:val="24"/>
                <w:lang w:eastAsia="fr-FR"/>
              </w:rPr>
              <w:t>TOTAL DES REPONSES</w:t>
            </w:r>
          </w:p>
        </w:tc>
        <w:tc>
          <w:tcPr>
            <w:tcW w:w="554"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B067B" w:rsidP="00CB067B">
            <w:pPr>
              <w:rPr>
                <w:rFonts w:ascii="Arial" w:hAnsi="Arial" w:cs="Arial"/>
                <w:b/>
                <w:sz w:val="24"/>
                <w:szCs w:val="24"/>
                <w:lang w:eastAsia="fr-FR"/>
              </w:rPr>
            </w:pPr>
            <w:r w:rsidRPr="00C46AD6">
              <w:rPr>
                <w:rFonts w:ascii="Arial" w:hAnsi="Arial" w:cs="Arial"/>
                <w:b/>
                <w:sz w:val="24"/>
                <w:szCs w:val="24"/>
                <w:lang w:eastAsia="fr-FR"/>
              </w:rPr>
              <w:t>6439</w:t>
            </w:r>
          </w:p>
        </w:tc>
        <w:tc>
          <w:tcPr>
            <w:tcW w:w="499" w:type="pct"/>
            <w:tcBorders>
              <w:top w:val="single" w:sz="4" w:space="0" w:color="auto"/>
              <w:left w:val="nil"/>
              <w:bottom w:val="single" w:sz="4" w:space="0" w:color="auto"/>
              <w:right w:val="single" w:sz="4" w:space="0" w:color="auto"/>
            </w:tcBorders>
            <w:shd w:val="clear" w:color="auto" w:fill="B6DDE8" w:themeFill="accent5" w:themeFillTint="66"/>
            <w:noWrap/>
            <w:vAlign w:val="bottom"/>
          </w:tcPr>
          <w:p w:rsidR="00C873F8" w:rsidRPr="00C46AD6" w:rsidRDefault="00C873F8" w:rsidP="00CB067B">
            <w:pPr>
              <w:rPr>
                <w:rFonts w:ascii="Arial" w:hAnsi="Arial" w:cs="Arial"/>
                <w:b/>
                <w:sz w:val="24"/>
                <w:szCs w:val="24"/>
                <w:lang w:eastAsia="fr-FR"/>
              </w:rPr>
            </w:pPr>
          </w:p>
        </w:tc>
      </w:tr>
    </w:tbl>
    <w:p w:rsidR="00872AB3" w:rsidRDefault="00872AB3" w:rsidP="00AE360E">
      <w:pPr>
        <w:spacing w:before="120" w:after="120"/>
        <w:jc w:val="both"/>
        <w:rPr>
          <w:rFonts w:ascii="Arial" w:eastAsia="MS Mincho" w:hAnsi="Arial" w:cs="Arial"/>
          <w:b/>
          <w:lang w:eastAsia="ja-JP"/>
        </w:rPr>
      </w:pPr>
    </w:p>
    <w:p w:rsidR="00C249D2" w:rsidRDefault="00C249D2" w:rsidP="00AE360E">
      <w:pPr>
        <w:spacing w:before="120" w:after="120"/>
        <w:jc w:val="both"/>
        <w:rPr>
          <w:rFonts w:ascii="Arial" w:eastAsia="MS Mincho" w:hAnsi="Arial" w:cs="Arial"/>
          <w:b/>
          <w:lang w:eastAsia="ja-JP"/>
        </w:rPr>
      </w:pPr>
    </w:p>
    <w:p w:rsidR="00100A1E" w:rsidRPr="00AE360E" w:rsidRDefault="00100A1E" w:rsidP="00AE360E">
      <w:pPr>
        <w:spacing w:before="120" w:after="120"/>
        <w:jc w:val="both"/>
        <w:rPr>
          <w:rFonts w:ascii="Arial" w:eastAsia="MS Mincho" w:hAnsi="Arial" w:cs="Arial"/>
          <w:b/>
          <w:lang w:eastAsia="ja-JP"/>
        </w:rPr>
      </w:pPr>
    </w:p>
    <w:p w:rsidR="00C25A2A" w:rsidRPr="00AE360E" w:rsidRDefault="000D444C" w:rsidP="00AE360E">
      <w:pPr>
        <w:jc w:val="both"/>
        <w:rPr>
          <w:rFonts w:ascii="Arial" w:hAnsi="Arial" w:cs="Arial"/>
          <w:sz w:val="24"/>
          <w:szCs w:val="24"/>
        </w:rPr>
      </w:pPr>
      <w:r w:rsidRPr="00AE360E">
        <w:rPr>
          <w:rFonts w:ascii="Arial" w:hAnsi="Arial" w:cs="Arial"/>
          <w:b/>
          <w:sz w:val="24"/>
          <w:szCs w:val="24"/>
          <w:u w:val="single"/>
        </w:rPr>
        <w:lastRenderedPageBreak/>
        <w:t>Sur le plan sexo-</w:t>
      </w:r>
      <w:r w:rsidR="00BA2F2D" w:rsidRPr="00AE360E">
        <w:rPr>
          <w:rFonts w:ascii="Arial" w:hAnsi="Arial" w:cs="Arial"/>
          <w:b/>
          <w:sz w:val="24"/>
          <w:szCs w:val="24"/>
          <w:u w:val="single"/>
        </w:rPr>
        <w:t>spécifique</w:t>
      </w:r>
      <w:r w:rsidR="00BA2F2D" w:rsidRPr="00AE360E">
        <w:rPr>
          <w:rFonts w:ascii="Arial" w:hAnsi="Arial" w:cs="Arial"/>
          <w:sz w:val="24"/>
          <w:szCs w:val="24"/>
        </w:rPr>
        <w:t>,</w:t>
      </w:r>
      <w:r w:rsidRPr="00AE360E">
        <w:rPr>
          <w:rFonts w:ascii="Arial" w:hAnsi="Arial" w:cs="Arial"/>
          <w:sz w:val="24"/>
          <w:szCs w:val="24"/>
        </w:rPr>
        <w:t xml:space="preserve"> il n’existe pas de différence entre la couverture vaccinale des filles et celle des garçons selon l’enquête MICS de </w:t>
      </w:r>
      <w:r w:rsidR="00BA2F2D" w:rsidRPr="00AE360E">
        <w:rPr>
          <w:rFonts w:ascii="Arial" w:hAnsi="Arial" w:cs="Arial"/>
          <w:sz w:val="24"/>
          <w:szCs w:val="24"/>
        </w:rPr>
        <w:t xml:space="preserve">2010. </w:t>
      </w:r>
      <w:r w:rsidRPr="00AE360E">
        <w:rPr>
          <w:rFonts w:ascii="Arial" w:hAnsi="Arial" w:cs="Arial"/>
          <w:sz w:val="24"/>
          <w:szCs w:val="24"/>
        </w:rPr>
        <w:t>Cette question sera encore adressée durant l’enquête MICS prévue cette année en 2014 en vue de recueillir des données plus exhaustives.</w:t>
      </w:r>
    </w:p>
    <w:p w:rsidR="007E1ED6" w:rsidRPr="005C4627" w:rsidRDefault="007E1ED6" w:rsidP="00AE360E">
      <w:pPr>
        <w:pStyle w:val="Style3"/>
        <w:spacing w:line="276" w:lineRule="auto"/>
        <w:jc w:val="both"/>
        <w:rPr>
          <w:rFonts w:ascii="Arial" w:hAnsi="Arial" w:cs="Arial"/>
          <w:color w:val="auto"/>
          <w:sz w:val="28"/>
          <w:lang w:val="fr-FR"/>
        </w:rPr>
      </w:pPr>
      <w:bookmarkStart w:id="17" w:name="_Toc397522423"/>
      <w:r w:rsidRPr="005C4627">
        <w:rPr>
          <w:rFonts w:ascii="Arial" w:hAnsi="Arial" w:cs="Arial"/>
          <w:color w:val="auto"/>
          <w:sz w:val="28"/>
          <w:lang w:val="fr-FR"/>
        </w:rPr>
        <w:t>Conclusions des récentes évaluations de programmes</w:t>
      </w:r>
      <w:bookmarkEnd w:id="17"/>
    </w:p>
    <w:p w:rsidR="00DF5C83" w:rsidRPr="00AE360E" w:rsidRDefault="00DF5C83" w:rsidP="00AE360E">
      <w:pPr>
        <w:pStyle w:val="Paragraphedeliste"/>
        <w:autoSpaceDE w:val="0"/>
        <w:autoSpaceDN w:val="0"/>
        <w:adjustRightInd w:val="0"/>
        <w:spacing w:after="0"/>
        <w:jc w:val="both"/>
        <w:rPr>
          <w:rFonts w:ascii="Arial" w:hAnsi="Arial" w:cs="Arial"/>
          <w:b/>
          <w:sz w:val="28"/>
          <w:szCs w:val="28"/>
          <w:u w:val="single"/>
        </w:rPr>
      </w:pPr>
    </w:p>
    <w:p w:rsidR="00872AB3" w:rsidRPr="00AE360E" w:rsidRDefault="00C25A2A" w:rsidP="00AE360E">
      <w:pPr>
        <w:pStyle w:val="Paragraphedeliste"/>
        <w:numPr>
          <w:ilvl w:val="0"/>
          <w:numId w:val="10"/>
        </w:numPr>
        <w:autoSpaceDE w:val="0"/>
        <w:autoSpaceDN w:val="0"/>
        <w:adjustRightInd w:val="0"/>
        <w:spacing w:after="0"/>
        <w:jc w:val="both"/>
        <w:rPr>
          <w:rFonts w:ascii="Arial" w:hAnsi="Arial" w:cs="Arial"/>
          <w:b/>
          <w:sz w:val="24"/>
          <w:szCs w:val="24"/>
          <w:u w:val="single"/>
        </w:rPr>
      </w:pPr>
      <w:r w:rsidRPr="00AE360E">
        <w:rPr>
          <w:rFonts w:ascii="Arial" w:hAnsi="Arial" w:cs="Arial"/>
          <w:b/>
          <w:sz w:val="24"/>
          <w:szCs w:val="24"/>
          <w:u w:val="single"/>
        </w:rPr>
        <w:t xml:space="preserve">Revue </w:t>
      </w:r>
      <w:r w:rsidR="00CB5A70" w:rsidRPr="00AE360E">
        <w:rPr>
          <w:rFonts w:ascii="Arial" w:hAnsi="Arial" w:cs="Arial"/>
          <w:b/>
          <w:sz w:val="24"/>
          <w:szCs w:val="24"/>
          <w:u w:val="single"/>
        </w:rPr>
        <w:t>PEV,</w:t>
      </w:r>
      <w:r w:rsidRPr="00AE360E">
        <w:rPr>
          <w:rFonts w:ascii="Arial" w:hAnsi="Arial" w:cs="Arial"/>
          <w:b/>
          <w:sz w:val="24"/>
          <w:szCs w:val="24"/>
          <w:u w:val="single"/>
        </w:rPr>
        <w:t xml:space="preserve"> 201</w:t>
      </w:r>
      <w:r w:rsidR="00DD1036" w:rsidRPr="00AE360E">
        <w:rPr>
          <w:rFonts w:ascii="Arial" w:hAnsi="Arial" w:cs="Arial"/>
          <w:b/>
          <w:sz w:val="24"/>
          <w:szCs w:val="24"/>
          <w:u w:val="single"/>
        </w:rPr>
        <w:t>2</w:t>
      </w:r>
    </w:p>
    <w:p w:rsidR="00CB5A70" w:rsidRPr="00AE360E" w:rsidRDefault="00CB5A70" w:rsidP="00AE360E">
      <w:pPr>
        <w:pStyle w:val="Paragraphedeliste"/>
        <w:autoSpaceDE w:val="0"/>
        <w:autoSpaceDN w:val="0"/>
        <w:adjustRightInd w:val="0"/>
        <w:spacing w:after="0"/>
        <w:jc w:val="both"/>
        <w:rPr>
          <w:rFonts w:ascii="Arial" w:hAnsi="Arial" w:cs="Arial"/>
          <w:b/>
          <w:sz w:val="28"/>
          <w:szCs w:val="28"/>
          <w:u w:val="single"/>
        </w:rPr>
      </w:pPr>
    </w:p>
    <w:p w:rsidR="009E31FB" w:rsidRPr="00AE360E" w:rsidRDefault="006D4381" w:rsidP="003F1453">
      <w:pPr>
        <w:pStyle w:val="Paragraphedeliste"/>
        <w:autoSpaceDE w:val="0"/>
        <w:autoSpaceDN w:val="0"/>
        <w:adjustRightInd w:val="0"/>
        <w:spacing w:after="120"/>
        <w:contextualSpacing w:val="0"/>
        <w:jc w:val="both"/>
        <w:rPr>
          <w:rFonts w:ascii="Arial" w:hAnsi="Arial" w:cs="Arial"/>
          <w:sz w:val="24"/>
          <w:szCs w:val="24"/>
        </w:rPr>
      </w:pPr>
      <w:r w:rsidRPr="00AE360E">
        <w:rPr>
          <w:rFonts w:ascii="Arial" w:hAnsi="Arial" w:cs="Arial"/>
          <w:b/>
          <w:sz w:val="24"/>
          <w:szCs w:val="24"/>
          <w:u w:val="single"/>
        </w:rPr>
        <w:t>Problèmes prioritaires</w:t>
      </w:r>
      <w:r w:rsidRPr="00AE360E">
        <w:rPr>
          <w:rFonts w:ascii="Arial" w:eastAsia="MS Mincho" w:hAnsi="Arial" w:cs="Arial"/>
          <w:b/>
          <w:sz w:val="28"/>
          <w:szCs w:val="28"/>
          <w:lang w:eastAsia="ja-JP"/>
        </w:rPr>
        <w:t> </w:t>
      </w:r>
      <w:r w:rsidRPr="00AE360E">
        <w:rPr>
          <w:rFonts w:ascii="Arial" w:hAnsi="Arial" w:cs="Arial"/>
          <w:sz w:val="24"/>
          <w:szCs w:val="24"/>
        </w:rPr>
        <w:t xml:space="preserve">: </w:t>
      </w:r>
    </w:p>
    <w:p w:rsidR="009E31FB" w:rsidRPr="000544F1" w:rsidRDefault="009E31FB" w:rsidP="000544F1">
      <w:pPr>
        <w:pStyle w:val="Paragraphedeliste"/>
        <w:numPr>
          <w:ilvl w:val="0"/>
          <w:numId w:val="9"/>
        </w:numPr>
        <w:autoSpaceDE w:val="0"/>
        <w:autoSpaceDN w:val="0"/>
        <w:adjustRightInd w:val="0"/>
        <w:spacing w:after="0"/>
        <w:ind w:left="0"/>
        <w:jc w:val="both"/>
        <w:rPr>
          <w:rFonts w:ascii="Arial" w:hAnsi="Arial" w:cs="Arial"/>
          <w:sz w:val="24"/>
        </w:rPr>
      </w:pPr>
      <w:r w:rsidRPr="000544F1">
        <w:rPr>
          <w:rFonts w:ascii="Arial" w:hAnsi="Arial" w:cs="Arial"/>
          <w:sz w:val="24"/>
        </w:rPr>
        <w:t xml:space="preserve">l’insuffisance de la </w:t>
      </w:r>
      <w:r w:rsidR="00780B77" w:rsidRPr="000544F1">
        <w:rPr>
          <w:rFonts w:ascii="Arial" w:hAnsi="Arial" w:cs="Arial"/>
          <w:sz w:val="24"/>
        </w:rPr>
        <w:t>mise en œuvre de l’approche ACD ;</w:t>
      </w:r>
    </w:p>
    <w:p w:rsidR="00780B77" w:rsidRPr="000544F1" w:rsidRDefault="00780B77" w:rsidP="000544F1">
      <w:pPr>
        <w:pStyle w:val="Paragraphedeliste"/>
        <w:numPr>
          <w:ilvl w:val="0"/>
          <w:numId w:val="9"/>
        </w:numPr>
        <w:autoSpaceDE w:val="0"/>
        <w:autoSpaceDN w:val="0"/>
        <w:adjustRightInd w:val="0"/>
        <w:spacing w:after="0"/>
        <w:ind w:left="0"/>
        <w:jc w:val="both"/>
        <w:rPr>
          <w:rFonts w:ascii="Arial" w:hAnsi="Arial" w:cs="Arial"/>
          <w:sz w:val="24"/>
        </w:rPr>
      </w:pPr>
      <w:r w:rsidRPr="000544F1">
        <w:rPr>
          <w:rFonts w:ascii="Arial" w:hAnsi="Arial" w:cs="Arial"/>
          <w:sz w:val="24"/>
        </w:rPr>
        <w:t>l’approvisionnement irrégulier en vaccins et autres intrants au niveau opérationnel du  une mauvaise gestion ;</w:t>
      </w:r>
    </w:p>
    <w:p w:rsidR="00780B77" w:rsidRPr="000544F1" w:rsidRDefault="00780B77" w:rsidP="000544F1">
      <w:pPr>
        <w:pStyle w:val="Paragraphedeliste"/>
        <w:numPr>
          <w:ilvl w:val="0"/>
          <w:numId w:val="9"/>
        </w:numPr>
        <w:autoSpaceDE w:val="0"/>
        <w:autoSpaceDN w:val="0"/>
        <w:adjustRightInd w:val="0"/>
        <w:spacing w:after="0"/>
        <w:ind w:left="0"/>
        <w:jc w:val="both"/>
        <w:rPr>
          <w:rFonts w:ascii="Arial" w:hAnsi="Arial" w:cs="Arial"/>
          <w:sz w:val="24"/>
        </w:rPr>
      </w:pPr>
      <w:r w:rsidRPr="000544F1">
        <w:rPr>
          <w:rFonts w:ascii="Arial" w:hAnsi="Arial" w:cs="Arial"/>
          <w:sz w:val="24"/>
        </w:rPr>
        <w:t xml:space="preserve">l’insuffisance des supervisions formatives de qualité au niveau intermédiaire et opérationnel </w:t>
      </w:r>
    </w:p>
    <w:p w:rsidR="00780B77" w:rsidRPr="000544F1" w:rsidRDefault="00780B77" w:rsidP="000544F1">
      <w:pPr>
        <w:pStyle w:val="Paragraphedeliste"/>
        <w:numPr>
          <w:ilvl w:val="0"/>
          <w:numId w:val="9"/>
        </w:numPr>
        <w:autoSpaceDE w:val="0"/>
        <w:autoSpaceDN w:val="0"/>
        <w:adjustRightInd w:val="0"/>
        <w:spacing w:after="0"/>
        <w:ind w:left="0"/>
        <w:jc w:val="both"/>
        <w:rPr>
          <w:rFonts w:ascii="Arial" w:hAnsi="Arial" w:cs="Arial"/>
          <w:sz w:val="24"/>
        </w:rPr>
      </w:pPr>
      <w:r w:rsidRPr="000544F1">
        <w:rPr>
          <w:rFonts w:ascii="Arial" w:hAnsi="Arial" w:cs="Arial"/>
          <w:sz w:val="24"/>
        </w:rPr>
        <w:t>Non atteinte des enfants dans les zones de santé d’accès difficile, à l’instabilité et à une logistique insuffisante pour la mise en œuvre des activités</w:t>
      </w:r>
    </w:p>
    <w:p w:rsidR="00E2463B" w:rsidRPr="000544F1" w:rsidRDefault="00E2463B" w:rsidP="00AE360E">
      <w:pPr>
        <w:autoSpaceDE w:val="0"/>
        <w:autoSpaceDN w:val="0"/>
        <w:adjustRightInd w:val="0"/>
        <w:spacing w:after="0"/>
        <w:jc w:val="both"/>
        <w:rPr>
          <w:rFonts w:ascii="Arial" w:eastAsia="MS Mincho" w:hAnsi="Arial" w:cs="Arial"/>
          <w:sz w:val="24"/>
          <w:lang w:eastAsia="ja-JP"/>
        </w:rPr>
      </w:pPr>
    </w:p>
    <w:p w:rsidR="00E82114" w:rsidRPr="000544F1" w:rsidRDefault="00502A8C" w:rsidP="00AE360E">
      <w:pPr>
        <w:autoSpaceDE w:val="0"/>
        <w:autoSpaceDN w:val="0"/>
        <w:adjustRightInd w:val="0"/>
        <w:spacing w:after="0"/>
        <w:jc w:val="both"/>
        <w:rPr>
          <w:rFonts w:ascii="Arial" w:eastAsia="MS Mincho" w:hAnsi="Arial" w:cs="Arial"/>
          <w:sz w:val="24"/>
          <w:lang w:eastAsia="ja-JP"/>
        </w:rPr>
      </w:pPr>
      <w:r w:rsidRPr="000544F1">
        <w:rPr>
          <w:rFonts w:ascii="Arial" w:hAnsi="Arial" w:cs="Arial"/>
          <w:sz w:val="24"/>
        </w:rPr>
        <w:t>Les recommandations ont été prises en c</w:t>
      </w:r>
      <w:r w:rsidR="00C13C29" w:rsidRPr="000544F1">
        <w:rPr>
          <w:rFonts w:ascii="Arial" w:hAnsi="Arial" w:cs="Arial"/>
          <w:sz w:val="24"/>
        </w:rPr>
        <w:t>ompte dans le PPAC 2013-2017 et traduites dans les plans de mise en œuvre (POA) de 2013 et de 2014</w:t>
      </w:r>
      <w:r w:rsidR="00C13C29" w:rsidRPr="000544F1">
        <w:rPr>
          <w:rFonts w:ascii="Arial" w:eastAsia="MS Mincho" w:hAnsi="Arial" w:cs="Arial"/>
          <w:sz w:val="24"/>
          <w:lang w:eastAsia="ja-JP"/>
        </w:rPr>
        <w:t>.</w:t>
      </w:r>
    </w:p>
    <w:p w:rsidR="00E82114" w:rsidRPr="00AE360E" w:rsidRDefault="00E82114" w:rsidP="00AE360E">
      <w:pPr>
        <w:autoSpaceDE w:val="0"/>
        <w:autoSpaceDN w:val="0"/>
        <w:adjustRightInd w:val="0"/>
        <w:spacing w:after="0"/>
        <w:jc w:val="both"/>
        <w:rPr>
          <w:rFonts w:ascii="Arial" w:eastAsia="MS Mincho" w:hAnsi="Arial" w:cs="Arial"/>
          <w:sz w:val="28"/>
          <w:szCs w:val="28"/>
          <w:lang w:eastAsia="ja-JP"/>
        </w:rPr>
      </w:pPr>
    </w:p>
    <w:p w:rsidR="00E82114" w:rsidRPr="00A06A1A" w:rsidRDefault="00A06A1A" w:rsidP="00A06A1A">
      <w:pPr>
        <w:pStyle w:val="ColorfulList-Accent11"/>
        <w:ind w:left="0"/>
        <w:jc w:val="both"/>
        <w:rPr>
          <w:rFonts w:ascii="Arial" w:eastAsia="SimSun" w:hAnsi="Arial" w:cs="Arial"/>
          <w:color w:val="000000"/>
          <w:sz w:val="24"/>
          <w:szCs w:val="24"/>
          <w:lang w:val="fr-FR" w:eastAsia="en-GB"/>
        </w:rPr>
      </w:pPr>
      <w:r w:rsidRPr="003D1004">
        <w:rPr>
          <w:rFonts w:ascii="Arial" w:eastAsia="SimSun" w:hAnsi="Arial" w:cs="Arial"/>
          <w:b/>
          <w:color w:val="000000"/>
          <w:sz w:val="24"/>
          <w:szCs w:val="24"/>
          <w:u w:val="single"/>
          <w:lang w:val="fr-FR" w:eastAsia="en-GB"/>
        </w:rPr>
        <w:t xml:space="preserve">Tableau </w:t>
      </w:r>
      <w:r>
        <w:rPr>
          <w:rFonts w:ascii="Arial" w:eastAsia="SimSun" w:hAnsi="Arial" w:cs="Arial"/>
          <w:b/>
          <w:color w:val="000000"/>
          <w:sz w:val="24"/>
          <w:szCs w:val="24"/>
          <w:u w:val="single"/>
          <w:lang w:val="fr-FR" w:eastAsia="en-GB"/>
        </w:rPr>
        <w:t>XI </w:t>
      </w:r>
      <w:r>
        <w:rPr>
          <w:rFonts w:ascii="Arial" w:eastAsia="SimSun" w:hAnsi="Arial" w:cs="Arial"/>
          <w:color w:val="000000"/>
          <w:sz w:val="24"/>
          <w:szCs w:val="24"/>
          <w:lang w:val="fr-FR" w:eastAsia="en-GB"/>
        </w:rPr>
        <w:t xml:space="preserve">: </w:t>
      </w:r>
      <w:r w:rsidRPr="00A06A1A">
        <w:rPr>
          <w:rFonts w:ascii="Arial" w:eastAsia="SimSun" w:hAnsi="Arial" w:cs="Arial"/>
          <w:color w:val="000000"/>
          <w:sz w:val="24"/>
          <w:szCs w:val="24"/>
          <w:lang w:val="fr-FR" w:eastAsia="en-GB"/>
        </w:rPr>
        <w:t>Etat de mise en œuvre des recommandations de la Revue PEV, Tchad, Avril2012</w:t>
      </w:r>
    </w:p>
    <w:tbl>
      <w:tblPr>
        <w:tblStyle w:val="Grilledutableau"/>
        <w:tblW w:w="9923" w:type="dxa"/>
        <w:tblInd w:w="-176" w:type="dxa"/>
        <w:tblLook w:val="04A0"/>
      </w:tblPr>
      <w:tblGrid>
        <w:gridCol w:w="2978"/>
        <w:gridCol w:w="4110"/>
        <w:gridCol w:w="2835"/>
      </w:tblGrid>
      <w:tr w:rsidR="00E82114" w:rsidRPr="006239F6" w:rsidTr="0014399C">
        <w:tc>
          <w:tcPr>
            <w:tcW w:w="2978" w:type="dxa"/>
          </w:tcPr>
          <w:p w:rsidR="00E82114" w:rsidRPr="006239F6" w:rsidRDefault="00E82114" w:rsidP="00AE360E">
            <w:pPr>
              <w:autoSpaceDE w:val="0"/>
              <w:autoSpaceDN w:val="0"/>
              <w:adjustRightInd w:val="0"/>
              <w:spacing w:line="276" w:lineRule="auto"/>
              <w:jc w:val="both"/>
              <w:rPr>
                <w:rFonts w:ascii="Arial" w:eastAsia="MS Mincho" w:hAnsi="Arial" w:cs="Arial"/>
                <w:b/>
                <w:szCs w:val="20"/>
                <w:lang w:eastAsia="ja-JP"/>
              </w:rPr>
            </w:pPr>
            <w:r w:rsidRPr="006239F6">
              <w:rPr>
                <w:rFonts w:ascii="Arial" w:eastAsia="MS Mincho" w:hAnsi="Arial" w:cs="Arial"/>
                <w:b/>
                <w:szCs w:val="20"/>
                <w:lang w:eastAsia="ja-JP"/>
              </w:rPr>
              <w:t>Recommandations</w:t>
            </w:r>
          </w:p>
        </w:tc>
        <w:tc>
          <w:tcPr>
            <w:tcW w:w="4110" w:type="dxa"/>
          </w:tcPr>
          <w:p w:rsidR="00E82114" w:rsidRPr="006239F6" w:rsidRDefault="00E2463B" w:rsidP="00AE360E">
            <w:pPr>
              <w:autoSpaceDE w:val="0"/>
              <w:autoSpaceDN w:val="0"/>
              <w:adjustRightInd w:val="0"/>
              <w:spacing w:line="276" w:lineRule="auto"/>
              <w:jc w:val="both"/>
              <w:rPr>
                <w:rFonts w:ascii="Arial" w:eastAsia="MS Mincho" w:hAnsi="Arial" w:cs="Arial"/>
                <w:b/>
                <w:szCs w:val="20"/>
                <w:lang w:eastAsia="ja-JP"/>
              </w:rPr>
            </w:pPr>
            <w:r w:rsidRPr="006239F6">
              <w:rPr>
                <w:rFonts w:ascii="Arial" w:eastAsia="MS Mincho" w:hAnsi="Arial" w:cs="Arial"/>
                <w:b/>
                <w:szCs w:val="20"/>
                <w:lang w:eastAsia="ja-JP"/>
              </w:rPr>
              <w:t xml:space="preserve">Etat </w:t>
            </w:r>
            <w:r w:rsidR="00E82114" w:rsidRPr="006239F6">
              <w:rPr>
                <w:rFonts w:ascii="Arial" w:eastAsia="MS Mincho" w:hAnsi="Arial" w:cs="Arial"/>
                <w:b/>
                <w:szCs w:val="20"/>
                <w:lang w:eastAsia="ja-JP"/>
              </w:rPr>
              <w:t xml:space="preserve"> de mise en œuvre </w:t>
            </w:r>
          </w:p>
        </w:tc>
        <w:tc>
          <w:tcPr>
            <w:tcW w:w="2835" w:type="dxa"/>
          </w:tcPr>
          <w:p w:rsidR="00E82114" w:rsidRPr="006239F6" w:rsidRDefault="00E82114" w:rsidP="00AE360E">
            <w:pPr>
              <w:autoSpaceDE w:val="0"/>
              <w:autoSpaceDN w:val="0"/>
              <w:adjustRightInd w:val="0"/>
              <w:spacing w:line="276" w:lineRule="auto"/>
              <w:jc w:val="both"/>
              <w:rPr>
                <w:rFonts w:ascii="Arial" w:eastAsia="MS Mincho" w:hAnsi="Arial" w:cs="Arial"/>
                <w:b/>
                <w:szCs w:val="20"/>
                <w:lang w:eastAsia="ja-JP"/>
              </w:rPr>
            </w:pPr>
            <w:r w:rsidRPr="006239F6">
              <w:rPr>
                <w:rFonts w:ascii="Arial" w:eastAsia="MS Mincho" w:hAnsi="Arial" w:cs="Arial"/>
                <w:b/>
                <w:szCs w:val="20"/>
                <w:lang w:eastAsia="ja-JP"/>
              </w:rPr>
              <w:t>Observations</w:t>
            </w:r>
          </w:p>
        </w:tc>
      </w:tr>
      <w:tr w:rsidR="00E82114" w:rsidRPr="006239F6" w:rsidTr="0014399C">
        <w:tc>
          <w:tcPr>
            <w:tcW w:w="2978" w:type="dxa"/>
          </w:tcPr>
          <w:p w:rsidR="00E82114" w:rsidRPr="006239F6" w:rsidRDefault="00E82114" w:rsidP="00AE360E">
            <w:pPr>
              <w:autoSpaceDE w:val="0"/>
              <w:autoSpaceDN w:val="0"/>
              <w:adjustRightInd w:val="0"/>
              <w:spacing w:line="276" w:lineRule="auto"/>
              <w:jc w:val="both"/>
              <w:rPr>
                <w:rFonts w:ascii="Arial" w:eastAsia="MS Mincho" w:hAnsi="Arial" w:cs="Arial"/>
                <w:szCs w:val="20"/>
                <w:lang w:eastAsia="ja-JP"/>
              </w:rPr>
            </w:pPr>
          </w:p>
          <w:p w:rsidR="00E82114" w:rsidRPr="006239F6" w:rsidRDefault="00E82114" w:rsidP="00AE360E">
            <w:pPr>
              <w:autoSpaceDE w:val="0"/>
              <w:autoSpaceDN w:val="0"/>
              <w:adjustRightInd w:val="0"/>
              <w:spacing w:line="276" w:lineRule="auto"/>
              <w:jc w:val="both"/>
              <w:rPr>
                <w:rFonts w:ascii="Arial" w:eastAsia="MS Mincho" w:hAnsi="Arial" w:cs="Arial"/>
                <w:szCs w:val="20"/>
                <w:lang w:eastAsia="ja-JP"/>
              </w:rPr>
            </w:pPr>
          </w:p>
          <w:p w:rsidR="00E82114" w:rsidRPr="006239F6" w:rsidRDefault="00E82114" w:rsidP="00B00368">
            <w:pPr>
              <w:autoSpaceDE w:val="0"/>
              <w:autoSpaceDN w:val="0"/>
              <w:adjustRightInd w:val="0"/>
              <w:spacing w:line="276" w:lineRule="auto"/>
              <w:rPr>
                <w:rFonts w:ascii="Arial" w:eastAsia="MS Mincho" w:hAnsi="Arial" w:cs="Arial"/>
                <w:b/>
                <w:szCs w:val="20"/>
                <w:u w:val="single"/>
                <w:lang w:eastAsia="ja-JP"/>
              </w:rPr>
            </w:pPr>
            <w:r w:rsidRPr="006239F6">
              <w:rPr>
                <w:rFonts w:ascii="Arial" w:eastAsia="MS Mincho" w:hAnsi="Arial" w:cs="Arial"/>
                <w:b/>
                <w:szCs w:val="20"/>
                <w:u w:val="single"/>
                <w:lang w:eastAsia="ja-JP"/>
              </w:rPr>
              <w:t>Renforcement de la Gestion du Programme</w:t>
            </w:r>
          </w:p>
        </w:tc>
        <w:tc>
          <w:tcPr>
            <w:tcW w:w="4110" w:type="dxa"/>
          </w:tcPr>
          <w:p w:rsidR="00E82114" w:rsidRPr="006239F6" w:rsidRDefault="00E82114" w:rsidP="00AE360E">
            <w:pPr>
              <w:autoSpaceDE w:val="0"/>
              <w:autoSpaceDN w:val="0"/>
              <w:adjustRightInd w:val="0"/>
              <w:spacing w:line="276" w:lineRule="auto"/>
              <w:jc w:val="both"/>
              <w:rPr>
                <w:rFonts w:ascii="Arial" w:eastAsia="MS Mincho" w:hAnsi="Arial" w:cs="Arial"/>
                <w:szCs w:val="20"/>
                <w:lang w:eastAsia="ja-JP"/>
              </w:rPr>
            </w:pPr>
          </w:p>
          <w:p w:rsidR="001070C1" w:rsidRPr="006239F6" w:rsidRDefault="00934C5D"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Utilisation des acquis de l’IEP pour le renforcement de la vaccination de routine :</w:t>
            </w:r>
          </w:p>
          <w:p w:rsidR="00934C5D" w:rsidRPr="006239F6" w:rsidRDefault="00934C5D"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ressources humaines déployées par les partenaires composés du staff de l’OMS et de l’Unicef, des consultants nationaux et des Stop Team CDC/OMS (156 dont 48 internationaux) pour la polio qui appuient techniquement</w:t>
            </w:r>
          </w:p>
          <w:p w:rsidR="00934C5D" w:rsidRPr="006239F6" w:rsidRDefault="00934C5D"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les activités de routine</w:t>
            </w:r>
            <w:r w:rsidRPr="006239F6">
              <w:rPr>
                <w:rFonts w:ascii="Arial" w:hAnsi="Arial" w:cs="Arial"/>
                <w:szCs w:val="20"/>
              </w:rPr>
              <w:t>.</w:t>
            </w:r>
          </w:p>
          <w:p w:rsidR="00934C5D" w:rsidRPr="006239F6" w:rsidRDefault="00934C5D" w:rsidP="00AE360E">
            <w:pPr>
              <w:autoSpaceDE w:val="0"/>
              <w:autoSpaceDN w:val="0"/>
              <w:adjustRightInd w:val="0"/>
              <w:spacing w:line="276" w:lineRule="auto"/>
              <w:jc w:val="both"/>
              <w:rPr>
                <w:rFonts w:ascii="Arial" w:eastAsia="MS Mincho" w:hAnsi="Arial" w:cs="Arial"/>
                <w:szCs w:val="20"/>
                <w:lang w:eastAsia="ja-JP"/>
              </w:rPr>
            </w:pPr>
          </w:p>
        </w:tc>
        <w:tc>
          <w:tcPr>
            <w:tcW w:w="2835" w:type="dxa"/>
          </w:tcPr>
          <w:p w:rsidR="00E82114" w:rsidRPr="006239F6" w:rsidRDefault="00E82114" w:rsidP="00AE360E">
            <w:pPr>
              <w:autoSpaceDE w:val="0"/>
              <w:autoSpaceDN w:val="0"/>
              <w:adjustRightInd w:val="0"/>
              <w:spacing w:line="276" w:lineRule="auto"/>
              <w:jc w:val="both"/>
              <w:rPr>
                <w:rFonts w:ascii="Arial" w:eastAsia="MS Mincho" w:hAnsi="Arial" w:cs="Arial"/>
                <w:szCs w:val="20"/>
                <w:lang w:eastAsia="ja-JP"/>
              </w:rPr>
            </w:pPr>
          </w:p>
          <w:p w:rsidR="00934C5D" w:rsidRPr="006239F6" w:rsidRDefault="00934C5D"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Ce staff appui tout le processus de </w:t>
            </w:r>
            <w:r w:rsidR="0014399C" w:rsidRPr="006239F6">
              <w:rPr>
                <w:rFonts w:ascii="Arial" w:eastAsia="MS Mincho" w:hAnsi="Arial" w:cs="Arial"/>
                <w:szCs w:val="20"/>
                <w:lang w:eastAsia="ja-JP"/>
              </w:rPr>
              <w:t>micro -planification, de mise en œuvre et de suivi-évaluation</w:t>
            </w:r>
            <w:r w:rsidRPr="006239F6">
              <w:rPr>
                <w:rFonts w:ascii="Arial" w:eastAsia="MS Mincho" w:hAnsi="Arial" w:cs="Arial"/>
                <w:szCs w:val="20"/>
                <w:lang w:eastAsia="ja-JP"/>
              </w:rPr>
              <w:t xml:space="preserve"> du PEV de routine dans les Districts sanitaires.</w:t>
            </w:r>
          </w:p>
        </w:tc>
      </w:tr>
      <w:tr w:rsidR="00E82114" w:rsidRPr="006239F6" w:rsidTr="0014399C">
        <w:tc>
          <w:tcPr>
            <w:tcW w:w="2978" w:type="dxa"/>
          </w:tcPr>
          <w:p w:rsidR="00E82114" w:rsidRPr="006239F6" w:rsidRDefault="0014399C" w:rsidP="00B00368">
            <w:pPr>
              <w:autoSpaceDE w:val="0"/>
              <w:autoSpaceDN w:val="0"/>
              <w:adjustRightInd w:val="0"/>
              <w:spacing w:line="276" w:lineRule="auto"/>
              <w:rPr>
                <w:rFonts w:ascii="Arial" w:eastAsia="MS Mincho" w:hAnsi="Arial" w:cs="Arial"/>
                <w:szCs w:val="20"/>
                <w:lang w:eastAsia="ja-JP"/>
              </w:rPr>
            </w:pPr>
            <w:r w:rsidRPr="006239F6">
              <w:rPr>
                <w:rFonts w:ascii="Arial" w:eastAsia="MS Mincho" w:hAnsi="Arial" w:cs="Arial"/>
                <w:b/>
                <w:szCs w:val="20"/>
                <w:u w:val="single"/>
                <w:lang w:eastAsia="ja-JP"/>
              </w:rPr>
              <w:t>Renforcement des capacités</w:t>
            </w:r>
          </w:p>
        </w:tc>
        <w:tc>
          <w:tcPr>
            <w:tcW w:w="4110" w:type="dxa"/>
          </w:tcPr>
          <w:p w:rsidR="0014399C" w:rsidRPr="006239F6" w:rsidRDefault="0014399C"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u w:val="single"/>
                <w:lang w:eastAsia="ja-JP"/>
              </w:rPr>
              <w:t>Organisation d’un cours MLM en2013</w:t>
            </w:r>
            <w:r w:rsidRPr="006239F6">
              <w:rPr>
                <w:rFonts w:ascii="Arial" w:eastAsia="MS Mincho" w:hAnsi="Arial" w:cs="Arial"/>
                <w:szCs w:val="20"/>
                <w:lang w:eastAsia="ja-JP"/>
              </w:rPr>
              <w:t> : 33 agents du niveau central, des Régions et Districts ont bénéficié de cette formation</w:t>
            </w:r>
          </w:p>
          <w:p w:rsidR="00E82114" w:rsidRPr="006239F6" w:rsidRDefault="0014399C"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u w:val="single"/>
                <w:lang w:eastAsia="ja-JP"/>
              </w:rPr>
              <w:t>Formation en PEV pratique</w:t>
            </w:r>
            <w:r w:rsidRPr="006239F6">
              <w:rPr>
                <w:rFonts w:ascii="Arial" w:eastAsia="MS Mincho" w:hAnsi="Arial" w:cs="Arial"/>
                <w:szCs w:val="20"/>
                <w:lang w:eastAsia="ja-JP"/>
              </w:rPr>
              <w:t> en 2013: 208 formateurs et 1567 RCS et RPEV de ZR  formés dans 42districts.</w:t>
            </w:r>
          </w:p>
        </w:tc>
        <w:tc>
          <w:tcPr>
            <w:tcW w:w="2835" w:type="dxa"/>
          </w:tcPr>
          <w:p w:rsidR="00E82114" w:rsidRPr="006239F6" w:rsidRDefault="0014399C"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Deux sessions de MLM sont programmées pour 2014.</w:t>
            </w:r>
          </w:p>
          <w:p w:rsidR="0014399C" w:rsidRPr="006239F6" w:rsidRDefault="0014399C"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La formation PEV pratique </w:t>
            </w:r>
            <w:r w:rsidR="00BD5E63" w:rsidRPr="006239F6">
              <w:rPr>
                <w:rFonts w:ascii="Arial" w:eastAsia="MS Mincho" w:hAnsi="Arial" w:cs="Arial"/>
                <w:szCs w:val="20"/>
                <w:lang w:eastAsia="ja-JP"/>
              </w:rPr>
              <w:t>se poursuit</w:t>
            </w:r>
            <w:r w:rsidRPr="006239F6">
              <w:rPr>
                <w:rFonts w:ascii="Arial" w:eastAsia="MS Mincho" w:hAnsi="Arial" w:cs="Arial"/>
                <w:szCs w:val="20"/>
                <w:lang w:eastAsia="ja-JP"/>
              </w:rPr>
              <w:t xml:space="preserve"> en 2014 et va couvrir les 30 districts restants.</w:t>
            </w:r>
          </w:p>
        </w:tc>
      </w:tr>
      <w:tr w:rsidR="00E82114" w:rsidRPr="006239F6" w:rsidTr="0014399C">
        <w:tc>
          <w:tcPr>
            <w:tcW w:w="2978" w:type="dxa"/>
          </w:tcPr>
          <w:p w:rsidR="00E82114" w:rsidRPr="006239F6" w:rsidRDefault="00BD5E63" w:rsidP="00B00368">
            <w:pPr>
              <w:autoSpaceDE w:val="0"/>
              <w:autoSpaceDN w:val="0"/>
              <w:adjustRightInd w:val="0"/>
              <w:spacing w:line="276" w:lineRule="auto"/>
              <w:rPr>
                <w:rFonts w:ascii="Arial" w:eastAsia="MS Mincho" w:hAnsi="Arial" w:cs="Arial"/>
                <w:szCs w:val="20"/>
                <w:lang w:eastAsia="ja-JP"/>
              </w:rPr>
            </w:pPr>
            <w:r w:rsidRPr="006239F6">
              <w:rPr>
                <w:rFonts w:ascii="Arial" w:eastAsia="MS Mincho" w:hAnsi="Arial" w:cs="Arial"/>
                <w:b/>
                <w:szCs w:val="20"/>
                <w:u w:val="single"/>
                <w:lang w:eastAsia="ja-JP"/>
              </w:rPr>
              <w:t xml:space="preserve">Mise en œuvre de </w:t>
            </w:r>
            <w:r w:rsidRPr="006239F6">
              <w:rPr>
                <w:rFonts w:ascii="Arial" w:eastAsia="MS Mincho" w:hAnsi="Arial" w:cs="Arial"/>
                <w:b/>
                <w:szCs w:val="20"/>
                <w:u w:val="single"/>
                <w:lang w:eastAsia="ja-JP"/>
              </w:rPr>
              <w:lastRenderedPageBreak/>
              <w:t>l’approche ACD et d’autres stratégies novatrices.</w:t>
            </w:r>
          </w:p>
        </w:tc>
        <w:tc>
          <w:tcPr>
            <w:tcW w:w="4110" w:type="dxa"/>
          </w:tcPr>
          <w:p w:rsidR="00E82114" w:rsidRPr="006239F6" w:rsidRDefault="00430E59"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lastRenderedPageBreak/>
              <w:t xml:space="preserve">ACD : </w:t>
            </w:r>
            <w:r w:rsidR="00BD5E63" w:rsidRPr="006239F6">
              <w:rPr>
                <w:rFonts w:ascii="Arial" w:eastAsia="MS Mincho" w:hAnsi="Arial" w:cs="Arial"/>
                <w:szCs w:val="20"/>
                <w:lang w:eastAsia="ja-JP"/>
              </w:rPr>
              <w:t xml:space="preserve">40 Districts prioritaires </w:t>
            </w:r>
            <w:r w:rsidR="00BD5E63" w:rsidRPr="006239F6">
              <w:rPr>
                <w:rFonts w:ascii="Arial" w:eastAsia="MS Mincho" w:hAnsi="Arial" w:cs="Arial"/>
                <w:szCs w:val="20"/>
                <w:lang w:eastAsia="ja-JP"/>
              </w:rPr>
              <w:lastRenderedPageBreak/>
              <w:t>ciblés en 2013 ont reçu un appui financier du Gouvernement, de l’OMS et de l’Unicef.</w:t>
            </w:r>
            <w:r w:rsidRPr="006239F6">
              <w:rPr>
                <w:rFonts w:ascii="Arial" w:eastAsia="MS Mincho" w:hAnsi="Arial" w:cs="Arial"/>
                <w:szCs w:val="20"/>
                <w:lang w:eastAsia="ja-JP"/>
              </w:rPr>
              <w:t xml:space="preserve"> Ces districts ont aussi organisé des activités de vaccination intensifiées (AVI) en fin d’année 2013.</w:t>
            </w:r>
          </w:p>
          <w:p w:rsidR="00430E59" w:rsidRPr="006239F6" w:rsidRDefault="00430E59"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Stratégies spéciales : en 2013, 07 séances de vaccination ont été organisées (avec tous les antigènes) pour les populations nomades, insulaires et déplacées.</w:t>
            </w:r>
          </w:p>
        </w:tc>
        <w:tc>
          <w:tcPr>
            <w:tcW w:w="2835" w:type="dxa"/>
          </w:tcPr>
          <w:p w:rsidR="00F977BE" w:rsidRPr="006239F6" w:rsidRDefault="00F977BE"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lastRenderedPageBreak/>
              <w:t xml:space="preserve">-  la mise en œuvre de </w:t>
            </w:r>
            <w:r w:rsidRPr="006239F6">
              <w:rPr>
                <w:rFonts w:ascii="Arial" w:eastAsia="MS Mincho" w:hAnsi="Arial" w:cs="Arial"/>
                <w:szCs w:val="20"/>
                <w:lang w:eastAsia="ja-JP"/>
              </w:rPr>
              <w:lastRenderedPageBreak/>
              <w:t>l’ACD se poursuit en 2014 avec l’enrôlement de 10DS portant le nombre total de DS prioritaires appuyés à 50</w:t>
            </w:r>
          </w:p>
          <w:p w:rsidR="00E82114" w:rsidRPr="006239F6" w:rsidRDefault="00F977BE"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 </w:t>
            </w:r>
            <w:r w:rsidR="00430E59" w:rsidRPr="006239F6">
              <w:rPr>
                <w:rFonts w:ascii="Arial" w:eastAsia="MS Mincho" w:hAnsi="Arial" w:cs="Arial"/>
                <w:szCs w:val="20"/>
                <w:lang w:eastAsia="ja-JP"/>
              </w:rPr>
              <w:t>La vaccination des populations nomades et des populations insulaires et frontalières avec le Nigeria se poursuit en 2014.</w:t>
            </w:r>
          </w:p>
        </w:tc>
      </w:tr>
      <w:tr w:rsidR="00E82114" w:rsidRPr="006239F6" w:rsidTr="0014399C">
        <w:tc>
          <w:tcPr>
            <w:tcW w:w="2978" w:type="dxa"/>
          </w:tcPr>
          <w:p w:rsidR="00E82114" w:rsidRPr="006239F6" w:rsidRDefault="00430E59" w:rsidP="00B00368">
            <w:pPr>
              <w:autoSpaceDE w:val="0"/>
              <w:autoSpaceDN w:val="0"/>
              <w:adjustRightInd w:val="0"/>
              <w:spacing w:line="276" w:lineRule="auto"/>
              <w:rPr>
                <w:rFonts w:ascii="Arial" w:eastAsia="MS Mincho" w:hAnsi="Arial" w:cs="Arial"/>
                <w:szCs w:val="20"/>
                <w:lang w:eastAsia="ja-JP"/>
              </w:rPr>
            </w:pPr>
            <w:r w:rsidRPr="006239F6">
              <w:rPr>
                <w:rFonts w:ascii="Arial" w:eastAsia="MS Mincho" w:hAnsi="Arial" w:cs="Arial"/>
                <w:b/>
                <w:szCs w:val="20"/>
                <w:u w:val="single"/>
                <w:lang w:eastAsia="ja-JP"/>
              </w:rPr>
              <w:lastRenderedPageBreak/>
              <w:t>Renforcement de la Gestion des vaccins et de la Logistique.</w:t>
            </w:r>
          </w:p>
        </w:tc>
        <w:tc>
          <w:tcPr>
            <w:tcW w:w="4110" w:type="dxa"/>
          </w:tcPr>
          <w:p w:rsidR="00E82114" w:rsidRPr="006239F6" w:rsidRDefault="00430E59"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0</w:t>
            </w:r>
            <w:r w:rsidR="005316D7" w:rsidRPr="006239F6">
              <w:rPr>
                <w:rFonts w:ascii="Arial" w:eastAsia="MS Mincho" w:hAnsi="Arial" w:cs="Arial"/>
                <w:szCs w:val="20"/>
                <w:lang w:eastAsia="ja-JP"/>
              </w:rPr>
              <w:t>7</w:t>
            </w:r>
            <w:r w:rsidRPr="006239F6">
              <w:rPr>
                <w:rFonts w:ascii="Arial" w:eastAsia="MS Mincho" w:hAnsi="Arial" w:cs="Arial"/>
                <w:szCs w:val="20"/>
                <w:lang w:eastAsia="ja-JP"/>
              </w:rPr>
              <w:t xml:space="preserve"> chambres froides  </w:t>
            </w:r>
            <w:r w:rsidR="005316D7" w:rsidRPr="006239F6">
              <w:rPr>
                <w:rFonts w:ascii="Arial" w:eastAsia="MS Mincho" w:hAnsi="Arial" w:cs="Arial"/>
                <w:szCs w:val="20"/>
                <w:lang w:eastAsia="ja-JP"/>
              </w:rPr>
              <w:t xml:space="preserve">positives de 40 m3, 141 </w:t>
            </w:r>
            <w:r w:rsidRPr="006239F6">
              <w:rPr>
                <w:rFonts w:ascii="Arial" w:eastAsia="MS Mincho" w:hAnsi="Arial" w:cs="Arial"/>
                <w:szCs w:val="20"/>
                <w:lang w:eastAsia="ja-JP"/>
              </w:rPr>
              <w:t xml:space="preserve">réfrigérateurs </w:t>
            </w:r>
            <w:r w:rsidR="00045824" w:rsidRPr="006239F6">
              <w:rPr>
                <w:rFonts w:ascii="Arial" w:eastAsia="MS Mincho" w:hAnsi="Arial" w:cs="Arial"/>
                <w:szCs w:val="20"/>
                <w:lang w:eastAsia="ja-JP"/>
              </w:rPr>
              <w:t>solaires</w:t>
            </w:r>
            <w:r w:rsidR="005316D7" w:rsidRPr="006239F6">
              <w:rPr>
                <w:rFonts w:ascii="Arial" w:eastAsia="MS Mincho" w:hAnsi="Arial" w:cs="Arial"/>
                <w:szCs w:val="20"/>
                <w:lang w:eastAsia="ja-JP"/>
              </w:rPr>
              <w:t>de 100 l</w:t>
            </w:r>
            <w:r w:rsidRPr="006239F6">
              <w:rPr>
                <w:rFonts w:ascii="Arial" w:eastAsia="MS Mincho" w:hAnsi="Arial" w:cs="Arial"/>
                <w:szCs w:val="20"/>
                <w:lang w:eastAsia="ja-JP"/>
              </w:rPr>
              <w:t xml:space="preserve"> ont été reçus</w:t>
            </w:r>
            <w:r w:rsidR="005316D7" w:rsidRPr="006239F6">
              <w:rPr>
                <w:rFonts w:ascii="Arial" w:eastAsia="MS Mincho" w:hAnsi="Arial" w:cs="Arial"/>
                <w:szCs w:val="20"/>
                <w:lang w:eastAsia="ja-JP"/>
              </w:rPr>
              <w:t xml:space="preserve"> et installes</w:t>
            </w:r>
          </w:p>
          <w:p w:rsidR="005316D7" w:rsidRPr="006239F6" w:rsidRDefault="00045824"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80 motos ont été livrées aux régions </w:t>
            </w:r>
          </w:p>
          <w:p w:rsidR="00045824" w:rsidRPr="006239F6" w:rsidRDefault="00045824" w:rsidP="00AE360E">
            <w:pPr>
              <w:pStyle w:val="Paragraphedeliste"/>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du lac et du moyen Chari.</w:t>
            </w:r>
          </w:p>
          <w:p w:rsidR="005316D7" w:rsidRPr="006239F6" w:rsidRDefault="005316D7"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 137 motos  dans les districts ACD</w:t>
            </w:r>
            <w:r w:rsidR="00DD1F12" w:rsidRPr="006239F6">
              <w:rPr>
                <w:rFonts w:ascii="Arial" w:eastAsia="MS Mincho" w:hAnsi="Arial" w:cs="Arial"/>
                <w:szCs w:val="20"/>
                <w:lang w:eastAsia="ja-JP"/>
              </w:rPr>
              <w:t xml:space="preserve"> en complément de 80 motos livres en 2012</w:t>
            </w:r>
          </w:p>
          <w:p w:rsidR="005316D7" w:rsidRPr="006239F6" w:rsidRDefault="005316D7" w:rsidP="00AE360E">
            <w:pPr>
              <w:pStyle w:val="Paragraphedeliste"/>
              <w:numPr>
                <w:ilvl w:val="0"/>
                <w:numId w:val="1"/>
              </w:num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4 </w:t>
            </w:r>
            <w:r w:rsidR="00DD1F12" w:rsidRPr="006239F6">
              <w:rPr>
                <w:rFonts w:ascii="Arial" w:eastAsia="MS Mincho" w:hAnsi="Arial" w:cs="Arial"/>
                <w:szCs w:val="20"/>
                <w:lang w:eastAsia="ja-JP"/>
              </w:rPr>
              <w:t>véhicules</w:t>
            </w:r>
            <w:r w:rsidRPr="006239F6">
              <w:rPr>
                <w:rFonts w:ascii="Arial" w:eastAsia="MS Mincho" w:hAnsi="Arial" w:cs="Arial"/>
                <w:szCs w:val="20"/>
                <w:lang w:eastAsia="ja-JP"/>
              </w:rPr>
              <w:t xml:space="preserve"> 4x4 en </w:t>
            </w:r>
            <w:r w:rsidR="007B02D5" w:rsidRPr="006239F6">
              <w:rPr>
                <w:rFonts w:ascii="Arial" w:eastAsia="MS Mincho" w:hAnsi="Arial" w:cs="Arial"/>
                <w:szCs w:val="20"/>
                <w:lang w:eastAsia="ja-JP"/>
              </w:rPr>
              <w:t>complément</w:t>
            </w:r>
            <w:r w:rsidRPr="006239F6">
              <w:rPr>
                <w:rFonts w:ascii="Arial" w:eastAsia="MS Mincho" w:hAnsi="Arial" w:cs="Arial"/>
                <w:szCs w:val="20"/>
                <w:lang w:eastAsia="ja-JP"/>
              </w:rPr>
              <w:t xml:space="preserve"> de 2</w:t>
            </w:r>
            <w:r w:rsidR="007B02D5" w:rsidRPr="006239F6">
              <w:rPr>
                <w:rFonts w:ascii="Arial" w:eastAsia="MS Mincho" w:hAnsi="Arial" w:cs="Arial"/>
                <w:szCs w:val="20"/>
                <w:lang w:eastAsia="ja-JP"/>
              </w:rPr>
              <w:t>0</w:t>
            </w:r>
            <w:r w:rsidRPr="006239F6">
              <w:rPr>
                <w:rFonts w:ascii="Arial" w:eastAsia="MS Mincho" w:hAnsi="Arial" w:cs="Arial"/>
                <w:szCs w:val="20"/>
                <w:lang w:eastAsia="ja-JP"/>
              </w:rPr>
              <w:t xml:space="preserve"> livres en 2012</w:t>
            </w:r>
          </w:p>
        </w:tc>
        <w:tc>
          <w:tcPr>
            <w:tcW w:w="2835" w:type="dxa"/>
          </w:tcPr>
          <w:p w:rsidR="00E82114" w:rsidRPr="006239F6" w:rsidRDefault="00E82114" w:rsidP="00AE360E">
            <w:pPr>
              <w:autoSpaceDE w:val="0"/>
              <w:autoSpaceDN w:val="0"/>
              <w:adjustRightInd w:val="0"/>
              <w:spacing w:line="276" w:lineRule="auto"/>
              <w:jc w:val="both"/>
              <w:rPr>
                <w:rFonts w:ascii="Arial" w:eastAsia="MS Mincho" w:hAnsi="Arial" w:cs="Arial"/>
                <w:szCs w:val="20"/>
                <w:lang w:eastAsia="ja-JP"/>
              </w:rPr>
            </w:pPr>
          </w:p>
        </w:tc>
      </w:tr>
      <w:tr w:rsidR="00045824" w:rsidRPr="006239F6" w:rsidTr="0014399C">
        <w:tc>
          <w:tcPr>
            <w:tcW w:w="2978" w:type="dxa"/>
          </w:tcPr>
          <w:p w:rsidR="00045824" w:rsidRPr="006239F6" w:rsidRDefault="00045824" w:rsidP="00B00368">
            <w:pPr>
              <w:autoSpaceDE w:val="0"/>
              <w:autoSpaceDN w:val="0"/>
              <w:adjustRightInd w:val="0"/>
              <w:spacing w:line="276" w:lineRule="auto"/>
              <w:rPr>
                <w:rFonts w:ascii="Arial" w:eastAsia="MS Mincho" w:hAnsi="Arial" w:cs="Arial"/>
                <w:b/>
                <w:szCs w:val="20"/>
                <w:u w:val="single"/>
                <w:lang w:eastAsia="ja-JP"/>
              </w:rPr>
            </w:pPr>
            <w:r w:rsidRPr="006239F6">
              <w:rPr>
                <w:rFonts w:ascii="Arial" w:eastAsia="MS Mincho" w:hAnsi="Arial" w:cs="Arial"/>
                <w:b/>
                <w:szCs w:val="20"/>
                <w:u w:val="single"/>
                <w:lang w:eastAsia="ja-JP"/>
              </w:rPr>
              <w:t>Renforcement de la communication</w:t>
            </w:r>
          </w:p>
          <w:p w:rsidR="00045824" w:rsidRPr="006239F6" w:rsidRDefault="00045824" w:rsidP="00AE360E">
            <w:pPr>
              <w:autoSpaceDE w:val="0"/>
              <w:autoSpaceDN w:val="0"/>
              <w:adjustRightInd w:val="0"/>
              <w:spacing w:line="276" w:lineRule="auto"/>
              <w:jc w:val="both"/>
              <w:rPr>
                <w:rFonts w:ascii="Arial" w:eastAsia="MS Mincho" w:hAnsi="Arial" w:cs="Arial"/>
                <w:szCs w:val="20"/>
                <w:lang w:eastAsia="ja-JP"/>
              </w:rPr>
            </w:pPr>
          </w:p>
        </w:tc>
        <w:tc>
          <w:tcPr>
            <w:tcW w:w="4110" w:type="dxa"/>
          </w:tcPr>
          <w:p w:rsidR="00045824" w:rsidRPr="006239F6" w:rsidRDefault="0090590F"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 </w:t>
            </w:r>
            <w:r w:rsidR="00F977BE" w:rsidRPr="006239F6">
              <w:rPr>
                <w:rFonts w:ascii="Arial" w:eastAsia="MS Mincho" w:hAnsi="Arial" w:cs="Arial"/>
                <w:szCs w:val="20"/>
                <w:lang w:eastAsia="ja-JP"/>
              </w:rPr>
              <w:t>U</w:t>
            </w:r>
            <w:r w:rsidR="00045824" w:rsidRPr="006239F6">
              <w:rPr>
                <w:rFonts w:ascii="Arial" w:eastAsia="MS Mincho" w:hAnsi="Arial" w:cs="Arial"/>
                <w:szCs w:val="20"/>
                <w:lang w:eastAsia="ja-JP"/>
              </w:rPr>
              <w:t>tilis</w:t>
            </w:r>
            <w:r w:rsidR="00F977BE" w:rsidRPr="006239F6">
              <w:rPr>
                <w:rFonts w:ascii="Arial" w:eastAsia="MS Mincho" w:hAnsi="Arial" w:cs="Arial"/>
                <w:szCs w:val="20"/>
                <w:lang w:eastAsia="ja-JP"/>
              </w:rPr>
              <w:t>ation des relais pour la recherche des enfants perdus de vue a commencé.</w:t>
            </w:r>
          </w:p>
          <w:p w:rsidR="0090590F" w:rsidRPr="006239F6" w:rsidRDefault="0090590F"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Formation en CIP des responsables des ZR et DS des Régions de Ndjamena et Chari-Baguirmi</w:t>
            </w:r>
          </w:p>
          <w:p w:rsidR="0090590F" w:rsidRPr="006239F6" w:rsidRDefault="0090590F"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Production des supports de communication, boites à images</w:t>
            </w:r>
          </w:p>
        </w:tc>
        <w:tc>
          <w:tcPr>
            <w:tcW w:w="2835" w:type="dxa"/>
          </w:tcPr>
          <w:p w:rsidR="00045824" w:rsidRPr="006239F6" w:rsidRDefault="00F977BE" w:rsidP="00AE360E">
            <w:pPr>
              <w:autoSpaceDE w:val="0"/>
              <w:autoSpaceDN w:val="0"/>
              <w:adjustRightInd w:val="0"/>
              <w:spacing w:line="276" w:lineRule="auto"/>
              <w:jc w:val="both"/>
              <w:rPr>
                <w:rFonts w:ascii="Arial" w:eastAsia="MS Mincho" w:hAnsi="Arial" w:cs="Arial"/>
                <w:szCs w:val="20"/>
                <w:lang w:eastAsia="ja-JP"/>
              </w:rPr>
            </w:pPr>
            <w:r w:rsidRPr="006239F6">
              <w:rPr>
                <w:rFonts w:ascii="Arial" w:eastAsia="MS Mincho" w:hAnsi="Arial" w:cs="Arial"/>
                <w:szCs w:val="20"/>
                <w:lang w:eastAsia="ja-JP"/>
              </w:rPr>
              <w:t xml:space="preserve"> -</w:t>
            </w:r>
            <w:r w:rsidR="0090590F" w:rsidRPr="006239F6">
              <w:rPr>
                <w:rFonts w:ascii="Arial" w:eastAsia="MS Mincho" w:hAnsi="Arial" w:cs="Arial"/>
                <w:szCs w:val="20"/>
                <w:lang w:eastAsia="ja-JP"/>
              </w:rPr>
              <w:t xml:space="preserve"> Le Renforcement </w:t>
            </w:r>
            <w:r w:rsidRPr="006239F6">
              <w:rPr>
                <w:rFonts w:ascii="Arial" w:eastAsia="MS Mincho" w:hAnsi="Arial" w:cs="Arial"/>
                <w:szCs w:val="20"/>
                <w:lang w:eastAsia="ja-JP"/>
              </w:rPr>
              <w:t xml:space="preserve"> des structures communautaires est inscrit dans le Plan d’action 2014</w:t>
            </w:r>
          </w:p>
        </w:tc>
      </w:tr>
    </w:tbl>
    <w:p w:rsidR="00E82114" w:rsidRPr="00AE360E" w:rsidRDefault="00E82114" w:rsidP="00AE360E">
      <w:pPr>
        <w:autoSpaceDE w:val="0"/>
        <w:autoSpaceDN w:val="0"/>
        <w:adjustRightInd w:val="0"/>
        <w:spacing w:after="0"/>
        <w:jc w:val="both"/>
        <w:rPr>
          <w:rFonts w:ascii="Arial" w:eastAsia="MS Mincho" w:hAnsi="Arial" w:cs="Arial"/>
          <w:sz w:val="20"/>
          <w:szCs w:val="20"/>
          <w:lang w:eastAsia="ja-JP"/>
        </w:rPr>
      </w:pPr>
    </w:p>
    <w:p w:rsidR="00C25A2A" w:rsidRPr="00AE360E" w:rsidRDefault="00C25A2A" w:rsidP="00AE360E">
      <w:pPr>
        <w:pStyle w:val="Paragraphedeliste"/>
        <w:numPr>
          <w:ilvl w:val="0"/>
          <w:numId w:val="10"/>
        </w:numPr>
        <w:autoSpaceDE w:val="0"/>
        <w:autoSpaceDN w:val="0"/>
        <w:adjustRightInd w:val="0"/>
        <w:spacing w:after="0"/>
        <w:jc w:val="both"/>
        <w:rPr>
          <w:rFonts w:ascii="Arial" w:hAnsi="Arial" w:cs="Arial"/>
          <w:b/>
          <w:sz w:val="24"/>
          <w:szCs w:val="24"/>
        </w:rPr>
      </w:pPr>
      <w:r w:rsidRPr="00AE360E">
        <w:rPr>
          <w:rFonts w:ascii="Arial" w:hAnsi="Arial" w:cs="Arial"/>
          <w:b/>
          <w:sz w:val="24"/>
          <w:szCs w:val="24"/>
          <w:u w:val="single"/>
        </w:rPr>
        <w:t>Evaluation de la Gestion des Vaccins (EGV) , 2010</w:t>
      </w:r>
    </w:p>
    <w:p w:rsidR="00E2463B" w:rsidRPr="00AE360E" w:rsidRDefault="00E2463B" w:rsidP="00AE360E">
      <w:pPr>
        <w:autoSpaceDE w:val="0"/>
        <w:autoSpaceDN w:val="0"/>
        <w:adjustRightInd w:val="0"/>
        <w:spacing w:after="0"/>
        <w:jc w:val="both"/>
        <w:rPr>
          <w:rFonts w:ascii="Arial" w:eastAsia="MS Mincho" w:hAnsi="Arial" w:cs="Arial"/>
          <w:b/>
          <w:sz w:val="28"/>
          <w:szCs w:val="28"/>
          <w:lang w:eastAsia="ja-JP"/>
        </w:rPr>
      </w:pPr>
    </w:p>
    <w:p w:rsidR="00FA26A6" w:rsidRPr="00AE360E" w:rsidRDefault="00531BC8" w:rsidP="00AE360E">
      <w:pPr>
        <w:ind w:left="-567" w:right="-567"/>
        <w:jc w:val="both"/>
        <w:rPr>
          <w:rFonts w:ascii="Arial" w:eastAsia="Calibri" w:hAnsi="Arial" w:cs="Arial"/>
          <w:color w:val="17365D"/>
          <w:sz w:val="24"/>
          <w:szCs w:val="24"/>
        </w:rPr>
      </w:pPr>
      <w:r w:rsidRPr="00AE360E">
        <w:rPr>
          <w:rFonts w:ascii="Arial" w:hAnsi="Arial" w:cs="Arial"/>
          <w:sz w:val="24"/>
          <w:szCs w:val="24"/>
        </w:rPr>
        <w:t>La première évaluation de la gestion efficace des vaccins (GEV) menée en 2010 a révélé  les insuffisances relatives à la  gestion de vaccins au Tchad. Aucun critère n’était satisfait tant au niveau central que celui de la périphérie</w:t>
      </w:r>
      <w:r w:rsidRPr="00AE360E">
        <w:rPr>
          <w:rFonts w:ascii="Arial" w:eastAsia="Calibri" w:hAnsi="Arial" w:cs="Arial"/>
          <w:color w:val="000000"/>
        </w:rPr>
        <w:t>.</w:t>
      </w:r>
    </w:p>
    <w:p w:rsidR="00531BC8" w:rsidRPr="00AE360E" w:rsidRDefault="003F1453" w:rsidP="00AE360E">
      <w:pPr>
        <w:pStyle w:val="Paragraphedeliste"/>
        <w:ind w:left="1440" w:right="-567"/>
        <w:jc w:val="both"/>
        <w:rPr>
          <w:rFonts w:ascii="Arial" w:eastAsia="Calibri" w:hAnsi="Arial" w:cs="Arial"/>
          <w:color w:val="000000"/>
          <w:sz w:val="28"/>
          <w:szCs w:val="28"/>
        </w:rPr>
      </w:pPr>
      <w:r>
        <w:rPr>
          <w:rFonts w:ascii="Arial" w:hAnsi="Arial" w:cs="Arial"/>
          <w:b/>
          <w:sz w:val="24"/>
          <w:szCs w:val="24"/>
          <w:u w:val="single"/>
        </w:rPr>
        <w:t xml:space="preserve">Constats majeurs </w:t>
      </w:r>
      <w:r w:rsidR="00FA26A6" w:rsidRPr="00AE360E">
        <w:rPr>
          <w:rFonts w:ascii="Arial" w:hAnsi="Arial" w:cs="Arial"/>
          <w:b/>
          <w:sz w:val="24"/>
          <w:szCs w:val="24"/>
          <w:u w:val="single"/>
        </w:rPr>
        <w:t xml:space="preserve">EGV </w:t>
      </w:r>
      <w:r w:rsidR="00531BC8" w:rsidRPr="00AE360E">
        <w:rPr>
          <w:rFonts w:ascii="Arial" w:hAnsi="Arial" w:cs="Arial"/>
          <w:b/>
          <w:sz w:val="24"/>
          <w:szCs w:val="24"/>
          <w:u w:val="single"/>
        </w:rPr>
        <w:t>2010</w:t>
      </w:r>
      <w:r w:rsidR="00531BC8" w:rsidRPr="00AE360E">
        <w:rPr>
          <w:rFonts w:ascii="Arial" w:eastAsia="Calibri" w:hAnsi="Arial" w:cs="Arial"/>
          <w:color w:val="000000"/>
          <w:sz w:val="28"/>
          <w:szCs w:val="28"/>
        </w:rPr>
        <w:t> :</w:t>
      </w:r>
    </w:p>
    <w:p w:rsidR="00531BC8" w:rsidRPr="003F1453" w:rsidRDefault="00531BC8" w:rsidP="003F1453">
      <w:pPr>
        <w:pStyle w:val="Paragraphedeliste"/>
        <w:numPr>
          <w:ilvl w:val="0"/>
          <w:numId w:val="1"/>
        </w:numPr>
        <w:spacing w:after="0"/>
        <w:ind w:left="0"/>
        <w:jc w:val="both"/>
        <w:rPr>
          <w:rFonts w:ascii="Arial" w:hAnsi="Arial" w:cs="Arial"/>
          <w:sz w:val="24"/>
          <w:szCs w:val="24"/>
        </w:rPr>
      </w:pPr>
      <w:r w:rsidRPr="003F1453">
        <w:rPr>
          <w:rFonts w:ascii="Arial" w:hAnsi="Arial" w:cs="Arial"/>
          <w:sz w:val="24"/>
          <w:szCs w:val="24"/>
        </w:rPr>
        <w:t>Faiblesse très prononcée dans l’acheminement des vaccins et des consommables (critères : E6 : 27%, E7 : 16%, E8 : 39%)</w:t>
      </w:r>
    </w:p>
    <w:p w:rsidR="00531BC8" w:rsidRPr="003F1453" w:rsidRDefault="00531BC8" w:rsidP="003F1453">
      <w:pPr>
        <w:pStyle w:val="Paragraphedeliste"/>
        <w:numPr>
          <w:ilvl w:val="0"/>
          <w:numId w:val="1"/>
        </w:numPr>
        <w:spacing w:after="0"/>
        <w:ind w:left="0"/>
        <w:jc w:val="both"/>
        <w:rPr>
          <w:rFonts w:ascii="Arial" w:hAnsi="Arial" w:cs="Arial"/>
          <w:sz w:val="24"/>
          <w:szCs w:val="24"/>
        </w:rPr>
      </w:pPr>
      <w:r w:rsidRPr="003F1453">
        <w:rPr>
          <w:rFonts w:ascii="Arial" w:hAnsi="Arial" w:cs="Arial"/>
          <w:sz w:val="24"/>
          <w:szCs w:val="24"/>
        </w:rPr>
        <w:t xml:space="preserve">La maintenance insuffisante, pas de prévision et plans effectifs de la maintenance tant préventive que curative: (critère : E5 : 36%) </w:t>
      </w:r>
    </w:p>
    <w:p w:rsidR="00531BC8" w:rsidRPr="00AE360E" w:rsidRDefault="00531BC8" w:rsidP="003F1453">
      <w:pPr>
        <w:pStyle w:val="Paragraphedeliste"/>
        <w:numPr>
          <w:ilvl w:val="0"/>
          <w:numId w:val="1"/>
        </w:numPr>
        <w:spacing w:after="0"/>
        <w:ind w:left="0"/>
        <w:jc w:val="both"/>
        <w:rPr>
          <w:rFonts w:ascii="Arial" w:hAnsi="Arial" w:cs="Arial"/>
          <w:sz w:val="24"/>
          <w:szCs w:val="24"/>
        </w:rPr>
      </w:pPr>
      <w:r w:rsidRPr="00AE360E">
        <w:rPr>
          <w:rFonts w:ascii="Arial" w:hAnsi="Arial" w:cs="Arial"/>
          <w:sz w:val="24"/>
          <w:szCs w:val="24"/>
        </w:rPr>
        <w:lastRenderedPageBreak/>
        <w:t>Le monitorage de température insuffisant : les relevés irréguliers et insuffisants plages des températures sont en souffrance à tous les niveaux ; aucune action n’est entreprise en cas d’écarts importants (test d’agi</w:t>
      </w:r>
      <w:r w:rsidR="00F92944">
        <w:rPr>
          <w:rFonts w:ascii="Arial" w:hAnsi="Arial" w:cs="Arial"/>
          <w:sz w:val="24"/>
          <w:szCs w:val="24"/>
        </w:rPr>
        <w:t xml:space="preserve">tation, réglage de températures </w:t>
      </w:r>
      <w:r w:rsidRPr="00AE360E">
        <w:rPr>
          <w:rFonts w:ascii="Arial" w:hAnsi="Arial" w:cs="Arial"/>
          <w:sz w:val="24"/>
          <w:szCs w:val="24"/>
        </w:rPr>
        <w:t>critère : E2 : 51%)</w:t>
      </w:r>
    </w:p>
    <w:p w:rsidR="00531BC8" w:rsidRPr="00AE360E" w:rsidRDefault="00531BC8" w:rsidP="003F1453">
      <w:pPr>
        <w:pStyle w:val="Paragraphedeliste"/>
        <w:numPr>
          <w:ilvl w:val="0"/>
          <w:numId w:val="1"/>
        </w:numPr>
        <w:spacing w:after="0"/>
        <w:ind w:left="0"/>
        <w:jc w:val="both"/>
        <w:rPr>
          <w:rFonts w:ascii="Arial" w:hAnsi="Arial" w:cs="Arial"/>
          <w:sz w:val="24"/>
          <w:szCs w:val="24"/>
        </w:rPr>
      </w:pPr>
      <w:r w:rsidRPr="00AE360E">
        <w:rPr>
          <w:rFonts w:ascii="Arial" w:hAnsi="Arial" w:cs="Arial"/>
          <w:sz w:val="24"/>
          <w:szCs w:val="24"/>
        </w:rPr>
        <w:t xml:space="preserve">La capacité de stockage insuffisante et chaine du froid moins décentralisée (critère : E3 : 43%) </w:t>
      </w:r>
    </w:p>
    <w:p w:rsidR="00531BC8" w:rsidRPr="003F1453" w:rsidRDefault="00531BC8" w:rsidP="003F1453">
      <w:pPr>
        <w:pStyle w:val="Paragraphedeliste"/>
        <w:numPr>
          <w:ilvl w:val="0"/>
          <w:numId w:val="1"/>
        </w:numPr>
        <w:spacing w:after="0"/>
        <w:ind w:left="0"/>
        <w:jc w:val="both"/>
        <w:rPr>
          <w:rFonts w:ascii="Arial" w:hAnsi="Arial" w:cs="Arial"/>
          <w:sz w:val="24"/>
          <w:szCs w:val="24"/>
        </w:rPr>
      </w:pPr>
      <w:r w:rsidRPr="003F1453">
        <w:rPr>
          <w:rFonts w:ascii="Arial" w:hAnsi="Arial" w:cs="Arial"/>
          <w:sz w:val="24"/>
          <w:szCs w:val="24"/>
        </w:rPr>
        <w:t>Les conditions de stockage et de conservation ne sont pas satisfaisantes (critères : E6 : 27%, E7 : 16%, E8 : 39%)</w:t>
      </w:r>
    </w:p>
    <w:p w:rsidR="00531BC8" w:rsidRPr="003F1453" w:rsidRDefault="00531BC8" w:rsidP="003F1453">
      <w:pPr>
        <w:pStyle w:val="Paragraphedeliste"/>
        <w:numPr>
          <w:ilvl w:val="0"/>
          <w:numId w:val="1"/>
        </w:numPr>
        <w:spacing w:after="0"/>
        <w:ind w:left="0"/>
        <w:jc w:val="both"/>
        <w:rPr>
          <w:rFonts w:ascii="Arial" w:hAnsi="Arial" w:cs="Arial"/>
          <w:sz w:val="24"/>
          <w:szCs w:val="24"/>
        </w:rPr>
      </w:pPr>
      <w:r w:rsidRPr="003F1453">
        <w:rPr>
          <w:rFonts w:ascii="Arial" w:hAnsi="Arial" w:cs="Arial"/>
          <w:sz w:val="24"/>
          <w:szCs w:val="24"/>
        </w:rPr>
        <w:t>Pas de concordance entre couverture vaccinale et utilisation des vaccins(critères : E8 : 39%, E9 : 56%)</w:t>
      </w:r>
    </w:p>
    <w:p w:rsidR="00A16EE5" w:rsidRPr="003F1453" w:rsidRDefault="003F1453" w:rsidP="003F1453">
      <w:pPr>
        <w:pStyle w:val="Paragraphedeliste"/>
        <w:numPr>
          <w:ilvl w:val="0"/>
          <w:numId w:val="1"/>
        </w:numPr>
        <w:spacing w:after="0"/>
        <w:ind w:left="0"/>
        <w:jc w:val="both"/>
        <w:rPr>
          <w:rFonts w:ascii="Arial" w:hAnsi="Arial" w:cs="Arial"/>
          <w:sz w:val="24"/>
          <w:szCs w:val="24"/>
        </w:rPr>
      </w:pPr>
      <w:r>
        <w:rPr>
          <w:rFonts w:ascii="Arial" w:hAnsi="Arial" w:cs="Arial"/>
          <w:sz w:val="24"/>
          <w:szCs w:val="24"/>
        </w:rPr>
        <w:t xml:space="preserve">Il n’existe pas </w:t>
      </w:r>
      <w:r w:rsidR="00531BC8" w:rsidRPr="00AE360E">
        <w:rPr>
          <w:rFonts w:ascii="Arial" w:hAnsi="Arial" w:cs="Arial"/>
          <w:sz w:val="24"/>
          <w:szCs w:val="24"/>
        </w:rPr>
        <w:t>de politique effective de gestion des déchets contondants (critère : E8 39%)</w:t>
      </w:r>
    </w:p>
    <w:p w:rsidR="00E2463B" w:rsidRPr="003F1453" w:rsidRDefault="00531BC8" w:rsidP="00AE360E">
      <w:pPr>
        <w:pStyle w:val="Paragraphedeliste"/>
        <w:autoSpaceDE w:val="0"/>
        <w:autoSpaceDN w:val="0"/>
        <w:adjustRightInd w:val="0"/>
        <w:spacing w:after="0"/>
        <w:jc w:val="both"/>
        <w:rPr>
          <w:rFonts w:ascii="Arial" w:hAnsi="Arial" w:cs="Arial"/>
          <w:b/>
          <w:sz w:val="24"/>
          <w:szCs w:val="28"/>
          <w:u w:val="single"/>
        </w:rPr>
      </w:pPr>
      <w:r w:rsidRPr="003F1453">
        <w:rPr>
          <w:rFonts w:ascii="Arial" w:hAnsi="Arial" w:cs="Arial"/>
          <w:b/>
          <w:sz w:val="24"/>
          <w:szCs w:val="28"/>
          <w:u w:val="single"/>
        </w:rPr>
        <w:t>Etat de mise en œuvre des recommandations de EGV de 2010</w:t>
      </w:r>
    </w:p>
    <w:p w:rsidR="00531BC8" w:rsidRPr="00AE360E" w:rsidRDefault="00531BC8" w:rsidP="00AE360E">
      <w:pPr>
        <w:autoSpaceDE w:val="0"/>
        <w:autoSpaceDN w:val="0"/>
        <w:adjustRightInd w:val="0"/>
        <w:spacing w:after="0"/>
        <w:jc w:val="both"/>
        <w:rPr>
          <w:rFonts w:ascii="Arial" w:eastAsia="Calibri" w:hAnsi="Arial" w:cs="Arial"/>
          <w:color w:val="000000"/>
        </w:rPr>
      </w:pPr>
    </w:p>
    <w:p w:rsidR="00531BC8" w:rsidRPr="00AE360E" w:rsidRDefault="00E70F84" w:rsidP="00AE360E">
      <w:pPr>
        <w:autoSpaceDE w:val="0"/>
        <w:autoSpaceDN w:val="0"/>
        <w:adjustRightInd w:val="0"/>
        <w:spacing w:after="0"/>
        <w:jc w:val="both"/>
        <w:rPr>
          <w:rFonts w:ascii="Arial" w:eastAsia="Calibri" w:hAnsi="Arial" w:cs="Arial"/>
          <w:b/>
          <w:bCs/>
        </w:rPr>
      </w:pPr>
      <w:r w:rsidRPr="00AE360E">
        <w:rPr>
          <w:rFonts w:ascii="Arial" w:eastAsia="Calibri" w:hAnsi="Arial" w:cs="Arial"/>
          <w:b/>
          <w:bCs/>
          <w:u w:val="single"/>
        </w:rPr>
        <w:t>Distribution</w:t>
      </w:r>
      <w:r w:rsidR="000304BA" w:rsidRPr="00AE360E">
        <w:rPr>
          <w:rFonts w:ascii="Arial" w:eastAsia="Calibri" w:hAnsi="Arial" w:cs="Arial"/>
          <w:b/>
          <w:bCs/>
        </w:rPr>
        <w:t> :</w:t>
      </w:r>
    </w:p>
    <w:p w:rsidR="00E70F84" w:rsidRPr="00AE360E" w:rsidRDefault="00E70F84" w:rsidP="00AE360E">
      <w:pPr>
        <w:spacing w:after="0"/>
        <w:ind w:left="-567" w:right="-567"/>
        <w:jc w:val="both"/>
        <w:rPr>
          <w:rFonts w:ascii="Arial" w:eastAsia="Calibri" w:hAnsi="Arial" w:cs="Arial"/>
          <w:sz w:val="24"/>
          <w:szCs w:val="24"/>
        </w:rPr>
      </w:pPr>
    </w:p>
    <w:p w:rsidR="00E70F84" w:rsidRPr="00AE360E" w:rsidRDefault="00E70F84" w:rsidP="00AE360E">
      <w:pPr>
        <w:numPr>
          <w:ilvl w:val="0"/>
          <w:numId w:val="8"/>
        </w:numPr>
        <w:spacing w:after="0"/>
        <w:ind w:right="-567"/>
        <w:jc w:val="both"/>
        <w:rPr>
          <w:rFonts w:ascii="Arial" w:hAnsi="Arial" w:cs="Arial"/>
          <w:sz w:val="24"/>
          <w:szCs w:val="24"/>
        </w:rPr>
      </w:pPr>
      <w:r w:rsidRPr="00AE360E">
        <w:rPr>
          <w:rFonts w:ascii="Arial" w:hAnsi="Arial" w:cs="Arial"/>
          <w:sz w:val="24"/>
          <w:szCs w:val="24"/>
        </w:rPr>
        <w:t xml:space="preserve">Le PEV a été doté d’un camion frigorifique ce qui peut solutionner pas mal des problèmes jadis constatés. </w:t>
      </w:r>
    </w:p>
    <w:p w:rsidR="002C400C" w:rsidRPr="00AE360E" w:rsidRDefault="00E70F84" w:rsidP="00AE360E">
      <w:pPr>
        <w:numPr>
          <w:ilvl w:val="0"/>
          <w:numId w:val="8"/>
        </w:numPr>
        <w:spacing w:after="0"/>
        <w:ind w:right="-567"/>
        <w:jc w:val="both"/>
        <w:rPr>
          <w:rFonts w:ascii="Arial" w:hAnsi="Arial" w:cs="Arial"/>
          <w:sz w:val="24"/>
          <w:szCs w:val="24"/>
        </w:rPr>
      </w:pPr>
      <w:r w:rsidRPr="00AE360E">
        <w:rPr>
          <w:rFonts w:ascii="Arial" w:hAnsi="Arial" w:cs="Arial"/>
          <w:sz w:val="24"/>
          <w:szCs w:val="24"/>
        </w:rPr>
        <w:t xml:space="preserve">Le PEV a également équipé vingt (20) districts sanitaires en véhicule 4x4 en 2012 sur les fonds de l’Etat, Cinq  véhicules sur fonds des partenaires.  </w:t>
      </w:r>
    </w:p>
    <w:p w:rsidR="00E70F84" w:rsidRPr="00AE360E" w:rsidRDefault="002C400C" w:rsidP="00AE360E">
      <w:pPr>
        <w:numPr>
          <w:ilvl w:val="0"/>
          <w:numId w:val="8"/>
        </w:numPr>
        <w:spacing w:after="0"/>
        <w:ind w:right="-567"/>
        <w:jc w:val="both"/>
        <w:rPr>
          <w:rFonts w:ascii="Arial" w:hAnsi="Arial" w:cs="Arial"/>
          <w:sz w:val="24"/>
          <w:szCs w:val="24"/>
        </w:rPr>
      </w:pPr>
      <w:r w:rsidRPr="00AE360E">
        <w:rPr>
          <w:rFonts w:ascii="Arial" w:hAnsi="Arial" w:cs="Arial"/>
          <w:sz w:val="24"/>
          <w:szCs w:val="24"/>
        </w:rPr>
        <w:t xml:space="preserve">La répartition du pays  en pools d’approvisionnement a été adoptée avec la construction de quatre dépôts </w:t>
      </w:r>
      <w:r w:rsidR="00347567" w:rsidRPr="00AE360E">
        <w:rPr>
          <w:rFonts w:ascii="Arial" w:hAnsi="Arial" w:cs="Arial"/>
          <w:sz w:val="24"/>
          <w:szCs w:val="24"/>
        </w:rPr>
        <w:t>subnationaux</w:t>
      </w:r>
      <w:r w:rsidRPr="00AE360E">
        <w:rPr>
          <w:rFonts w:ascii="Arial" w:hAnsi="Arial" w:cs="Arial"/>
          <w:sz w:val="24"/>
          <w:szCs w:val="24"/>
        </w:rPr>
        <w:t>.</w:t>
      </w:r>
    </w:p>
    <w:p w:rsidR="002C400C" w:rsidRPr="00AE360E" w:rsidRDefault="002C400C" w:rsidP="00AE360E">
      <w:pPr>
        <w:spacing w:after="0"/>
        <w:ind w:left="-567" w:right="-567"/>
        <w:jc w:val="both"/>
        <w:rPr>
          <w:rFonts w:ascii="Arial" w:eastAsia="Calibri" w:hAnsi="Arial" w:cs="Arial"/>
        </w:rPr>
      </w:pPr>
    </w:p>
    <w:p w:rsidR="00E2463B" w:rsidRPr="00AE360E" w:rsidRDefault="002C400C" w:rsidP="00AE360E">
      <w:pPr>
        <w:autoSpaceDE w:val="0"/>
        <w:autoSpaceDN w:val="0"/>
        <w:adjustRightInd w:val="0"/>
        <w:spacing w:after="0"/>
        <w:jc w:val="both"/>
        <w:rPr>
          <w:rFonts w:ascii="Arial" w:eastAsia="Calibri" w:hAnsi="Arial" w:cs="Arial"/>
          <w:b/>
          <w:bCs/>
        </w:rPr>
      </w:pPr>
      <w:r w:rsidRPr="00AE360E">
        <w:rPr>
          <w:rFonts w:ascii="Arial" w:eastAsia="Calibri" w:hAnsi="Arial" w:cs="Arial"/>
          <w:b/>
          <w:bCs/>
          <w:u w:val="single"/>
        </w:rPr>
        <w:t>Gestion de vaccins</w:t>
      </w:r>
      <w:r w:rsidR="000304BA" w:rsidRPr="00AE360E">
        <w:rPr>
          <w:rFonts w:ascii="Arial" w:eastAsia="Calibri" w:hAnsi="Arial" w:cs="Arial"/>
          <w:b/>
          <w:bCs/>
        </w:rPr>
        <w:t> :</w:t>
      </w:r>
    </w:p>
    <w:p w:rsidR="002C400C" w:rsidRPr="00AE360E" w:rsidRDefault="002C400C" w:rsidP="00AE360E">
      <w:pPr>
        <w:autoSpaceDE w:val="0"/>
        <w:autoSpaceDN w:val="0"/>
        <w:adjustRightInd w:val="0"/>
        <w:spacing w:after="0"/>
        <w:jc w:val="both"/>
        <w:rPr>
          <w:rFonts w:ascii="Arial" w:eastAsia="Calibri" w:hAnsi="Arial" w:cs="Arial"/>
          <w:b/>
          <w:bCs/>
          <w:u w:val="single"/>
        </w:rPr>
      </w:pPr>
    </w:p>
    <w:p w:rsidR="002C400C" w:rsidRPr="00AE360E" w:rsidRDefault="002C400C" w:rsidP="00347567">
      <w:pPr>
        <w:autoSpaceDE w:val="0"/>
        <w:autoSpaceDN w:val="0"/>
        <w:adjustRightInd w:val="0"/>
        <w:spacing w:after="0"/>
        <w:jc w:val="both"/>
        <w:rPr>
          <w:rFonts w:ascii="Arial" w:eastAsia="Calibri" w:hAnsi="Arial" w:cs="Arial"/>
          <w:color w:val="000000" w:themeColor="text1"/>
          <w:sz w:val="24"/>
          <w:szCs w:val="24"/>
        </w:rPr>
      </w:pPr>
      <w:r w:rsidRPr="00AE360E">
        <w:rPr>
          <w:rFonts w:ascii="Arial" w:hAnsi="Arial" w:cs="Arial"/>
          <w:sz w:val="24"/>
          <w:szCs w:val="24"/>
        </w:rPr>
        <w:t>Le monitorage de température pour action a été instauré par la formation de tous les superviseurs PEV (23) des régions et ceux des districts (65) de même que la dotation de structures en outils électroniques de suivi notamment les Fridge-Tag</w:t>
      </w:r>
      <w:r w:rsidRPr="00AE360E">
        <w:rPr>
          <w:rFonts w:ascii="Arial" w:eastAsia="Calibri" w:hAnsi="Arial" w:cs="Arial"/>
          <w:color w:val="000000" w:themeColor="text1"/>
          <w:sz w:val="24"/>
          <w:szCs w:val="24"/>
        </w:rPr>
        <w:t>.</w:t>
      </w:r>
    </w:p>
    <w:p w:rsidR="00C25A2A" w:rsidRPr="00AE360E" w:rsidRDefault="00C25A2A" w:rsidP="00AE360E">
      <w:pPr>
        <w:autoSpaceDE w:val="0"/>
        <w:autoSpaceDN w:val="0"/>
        <w:adjustRightInd w:val="0"/>
        <w:spacing w:after="0"/>
        <w:jc w:val="both"/>
        <w:rPr>
          <w:rFonts w:ascii="Arial" w:eastAsia="Calibri" w:hAnsi="Arial" w:cs="Arial"/>
          <w:b/>
          <w:bCs/>
          <w:u w:val="single"/>
        </w:rPr>
      </w:pPr>
    </w:p>
    <w:p w:rsidR="002C400C" w:rsidRPr="00AE360E" w:rsidRDefault="002C400C" w:rsidP="00AE360E">
      <w:pPr>
        <w:autoSpaceDE w:val="0"/>
        <w:autoSpaceDN w:val="0"/>
        <w:adjustRightInd w:val="0"/>
        <w:spacing w:after="0"/>
        <w:jc w:val="both"/>
        <w:rPr>
          <w:rFonts w:ascii="Arial" w:eastAsia="Calibri" w:hAnsi="Arial" w:cs="Arial"/>
          <w:b/>
          <w:bCs/>
        </w:rPr>
      </w:pPr>
      <w:r w:rsidRPr="00AE360E">
        <w:rPr>
          <w:rFonts w:ascii="Arial" w:eastAsia="Calibri" w:hAnsi="Arial" w:cs="Arial"/>
          <w:b/>
          <w:bCs/>
          <w:u w:val="single"/>
        </w:rPr>
        <w:t>Maintenance</w:t>
      </w:r>
      <w:r w:rsidR="000304BA" w:rsidRPr="00AE360E">
        <w:rPr>
          <w:rFonts w:ascii="Arial" w:eastAsia="Calibri" w:hAnsi="Arial" w:cs="Arial"/>
          <w:b/>
          <w:bCs/>
        </w:rPr>
        <w:t> :</w:t>
      </w:r>
    </w:p>
    <w:p w:rsidR="002C400C" w:rsidRPr="00AE360E" w:rsidRDefault="002C400C" w:rsidP="00AE360E">
      <w:pPr>
        <w:autoSpaceDE w:val="0"/>
        <w:autoSpaceDN w:val="0"/>
        <w:adjustRightInd w:val="0"/>
        <w:spacing w:after="0"/>
        <w:jc w:val="both"/>
        <w:rPr>
          <w:rFonts w:ascii="Arial" w:eastAsia="Calibri" w:hAnsi="Arial" w:cs="Arial"/>
          <w:b/>
          <w:bCs/>
          <w:u w:val="single"/>
        </w:rPr>
      </w:pPr>
    </w:p>
    <w:p w:rsidR="002C400C" w:rsidRPr="00AE360E" w:rsidRDefault="002C400C" w:rsidP="00347567">
      <w:pPr>
        <w:autoSpaceDE w:val="0"/>
        <w:autoSpaceDN w:val="0"/>
        <w:adjustRightInd w:val="0"/>
        <w:spacing w:after="0"/>
        <w:jc w:val="both"/>
        <w:rPr>
          <w:rFonts w:ascii="Arial" w:hAnsi="Arial" w:cs="Arial"/>
          <w:sz w:val="24"/>
          <w:szCs w:val="24"/>
        </w:rPr>
      </w:pPr>
      <w:r w:rsidRPr="00AE360E">
        <w:rPr>
          <w:rFonts w:ascii="Arial" w:hAnsi="Arial" w:cs="Arial"/>
          <w:sz w:val="24"/>
          <w:szCs w:val="24"/>
        </w:rPr>
        <w:t>Un stock de pièces de rechange a été constitué avec l’appui UNICEF et les voyages de réparation financés pour remettre les appareils en panne sur pieds.</w:t>
      </w:r>
    </w:p>
    <w:p w:rsidR="002C400C" w:rsidRPr="00AE360E" w:rsidRDefault="002C400C" w:rsidP="00347567">
      <w:pPr>
        <w:autoSpaceDE w:val="0"/>
        <w:autoSpaceDN w:val="0"/>
        <w:adjustRightInd w:val="0"/>
        <w:spacing w:after="0"/>
        <w:jc w:val="both"/>
        <w:rPr>
          <w:rFonts w:ascii="Arial" w:hAnsi="Arial" w:cs="Arial"/>
          <w:sz w:val="24"/>
          <w:szCs w:val="24"/>
        </w:rPr>
      </w:pPr>
      <w:r w:rsidRPr="00AE360E">
        <w:rPr>
          <w:rFonts w:ascii="Arial" w:hAnsi="Arial" w:cs="Arial"/>
          <w:sz w:val="24"/>
          <w:szCs w:val="24"/>
        </w:rPr>
        <w:t xml:space="preserve">Des nouvelles politiques ont été adoptées tendant à amoindrir les pannes à travers la conversion d’achat vers les appareils solaires de deuxième génération. </w:t>
      </w:r>
    </w:p>
    <w:p w:rsidR="00BF5ED4" w:rsidRPr="00AE360E" w:rsidRDefault="002C400C" w:rsidP="00347567">
      <w:pPr>
        <w:autoSpaceDE w:val="0"/>
        <w:autoSpaceDN w:val="0"/>
        <w:adjustRightInd w:val="0"/>
        <w:spacing w:after="0"/>
        <w:jc w:val="both"/>
        <w:rPr>
          <w:rFonts w:ascii="Arial" w:hAnsi="Arial" w:cs="Arial"/>
          <w:sz w:val="24"/>
          <w:szCs w:val="24"/>
        </w:rPr>
      </w:pPr>
      <w:r w:rsidRPr="00AE360E">
        <w:rPr>
          <w:rFonts w:ascii="Arial" w:hAnsi="Arial" w:cs="Arial"/>
          <w:sz w:val="24"/>
          <w:szCs w:val="24"/>
        </w:rPr>
        <w:t>Les pièces détachées de chambres froides ont été achetées, la formation des techniciens effectuée et les supports techniques rendus disponibles.</w:t>
      </w:r>
    </w:p>
    <w:p w:rsidR="00BF5ED4" w:rsidRPr="00AE360E" w:rsidRDefault="00BF5ED4" w:rsidP="00AE360E">
      <w:pPr>
        <w:spacing w:after="0"/>
        <w:ind w:left="-567" w:right="-567"/>
        <w:jc w:val="both"/>
        <w:rPr>
          <w:rFonts w:ascii="Arial" w:hAnsi="Arial" w:cs="Arial"/>
          <w:sz w:val="24"/>
          <w:szCs w:val="24"/>
        </w:rPr>
      </w:pPr>
    </w:p>
    <w:p w:rsidR="002C400C" w:rsidRPr="00AE360E" w:rsidRDefault="002C400C" w:rsidP="00347567">
      <w:pPr>
        <w:spacing w:after="0"/>
        <w:ind w:right="-567"/>
        <w:jc w:val="both"/>
        <w:rPr>
          <w:rFonts w:ascii="Arial" w:hAnsi="Arial" w:cs="Arial"/>
          <w:sz w:val="24"/>
          <w:szCs w:val="24"/>
        </w:rPr>
      </w:pPr>
      <w:r w:rsidRPr="00AE360E">
        <w:rPr>
          <w:rFonts w:ascii="Arial" w:eastAsia="Calibri" w:hAnsi="Arial" w:cs="Arial"/>
          <w:b/>
          <w:bCs/>
          <w:u w:val="single"/>
        </w:rPr>
        <w:t>Capacité de stockage magasins secs</w:t>
      </w:r>
      <w:r w:rsidR="000304BA" w:rsidRPr="00AE360E">
        <w:rPr>
          <w:rFonts w:ascii="Arial" w:eastAsia="Calibri" w:hAnsi="Arial" w:cs="Arial"/>
          <w:b/>
          <w:bCs/>
        </w:rPr>
        <w:t> :</w:t>
      </w:r>
    </w:p>
    <w:p w:rsidR="000304BA" w:rsidRPr="00AE360E" w:rsidRDefault="000304BA" w:rsidP="00AE360E">
      <w:pPr>
        <w:autoSpaceDE w:val="0"/>
        <w:autoSpaceDN w:val="0"/>
        <w:adjustRightInd w:val="0"/>
        <w:spacing w:after="0"/>
        <w:jc w:val="both"/>
        <w:rPr>
          <w:rFonts w:ascii="Arial" w:eastAsia="Calibri" w:hAnsi="Arial" w:cs="Arial"/>
          <w:b/>
          <w:bCs/>
        </w:rPr>
      </w:pPr>
    </w:p>
    <w:p w:rsidR="002C400C" w:rsidRPr="00AE360E" w:rsidRDefault="00316339" w:rsidP="00347567">
      <w:pPr>
        <w:autoSpaceDE w:val="0"/>
        <w:autoSpaceDN w:val="0"/>
        <w:adjustRightInd w:val="0"/>
        <w:spacing w:after="0"/>
        <w:jc w:val="both"/>
        <w:rPr>
          <w:rFonts w:ascii="Arial" w:hAnsi="Arial" w:cs="Arial"/>
          <w:sz w:val="24"/>
          <w:szCs w:val="24"/>
        </w:rPr>
      </w:pPr>
      <w:r w:rsidRPr="00AE360E">
        <w:rPr>
          <w:rFonts w:ascii="Arial" w:hAnsi="Arial" w:cs="Arial"/>
          <w:sz w:val="24"/>
          <w:szCs w:val="24"/>
        </w:rPr>
        <w:t>Un plan de réhabilitation des bâtiments   du dépôt central est en cours de finition</w:t>
      </w:r>
    </w:p>
    <w:p w:rsidR="00316339" w:rsidRPr="00AE360E" w:rsidRDefault="00316339" w:rsidP="00347567">
      <w:pPr>
        <w:autoSpaceDE w:val="0"/>
        <w:autoSpaceDN w:val="0"/>
        <w:adjustRightInd w:val="0"/>
        <w:spacing w:after="0"/>
        <w:jc w:val="both"/>
        <w:rPr>
          <w:rFonts w:ascii="Arial" w:hAnsi="Arial" w:cs="Arial"/>
          <w:sz w:val="24"/>
          <w:szCs w:val="24"/>
        </w:rPr>
      </w:pPr>
      <w:r w:rsidRPr="00AE360E">
        <w:rPr>
          <w:rFonts w:ascii="Arial" w:hAnsi="Arial" w:cs="Arial"/>
          <w:sz w:val="24"/>
          <w:szCs w:val="24"/>
        </w:rPr>
        <w:t>Le volume de stockage sec qui était d’environ 350 mètres cubes est passé à 1 500 mètres cubes avec l’acquisition des quatre chambres froides au niveau central.</w:t>
      </w:r>
    </w:p>
    <w:p w:rsidR="002C400C" w:rsidRPr="00AE360E" w:rsidRDefault="00316339" w:rsidP="00347567">
      <w:pPr>
        <w:autoSpaceDE w:val="0"/>
        <w:autoSpaceDN w:val="0"/>
        <w:adjustRightInd w:val="0"/>
        <w:spacing w:after="0"/>
        <w:jc w:val="both"/>
        <w:rPr>
          <w:rFonts w:ascii="Arial" w:eastAsia="Calibri" w:hAnsi="Arial" w:cs="Arial"/>
          <w:color w:val="000000"/>
        </w:rPr>
      </w:pPr>
      <w:r w:rsidRPr="00AE360E">
        <w:rPr>
          <w:rFonts w:ascii="Arial" w:hAnsi="Arial" w:cs="Arial"/>
          <w:sz w:val="24"/>
          <w:szCs w:val="24"/>
        </w:rPr>
        <w:lastRenderedPageBreak/>
        <w:t>Au nivea</w:t>
      </w:r>
      <w:r w:rsidR="00E84D87">
        <w:rPr>
          <w:rFonts w:ascii="Arial" w:hAnsi="Arial" w:cs="Arial"/>
          <w:sz w:val="24"/>
          <w:szCs w:val="24"/>
        </w:rPr>
        <w:t>u intermédiaire les dépôts sub</w:t>
      </w:r>
      <w:r w:rsidRPr="00AE360E">
        <w:rPr>
          <w:rFonts w:ascii="Arial" w:hAnsi="Arial" w:cs="Arial"/>
          <w:sz w:val="24"/>
          <w:szCs w:val="24"/>
        </w:rPr>
        <w:t>nationaux en cours de finition  devront connaitre des améliorations allant à 10 mètres cubes en négatif 40 mètres cubes de positif</w:t>
      </w:r>
      <w:r w:rsidRPr="00AE360E">
        <w:rPr>
          <w:rFonts w:ascii="Arial" w:eastAsia="Calibri" w:hAnsi="Arial" w:cs="Arial"/>
          <w:color w:val="000000"/>
        </w:rPr>
        <w:t>.</w:t>
      </w:r>
    </w:p>
    <w:p w:rsidR="002C400C" w:rsidRPr="00AE360E" w:rsidRDefault="002C400C" w:rsidP="00AE360E">
      <w:pPr>
        <w:spacing w:after="0"/>
        <w:ind w:left="-567" w:right="-567"/>
        <w:jc w:val="both"/>
        <w:rPr>
          <w:rFonts w:ascii="Arial" w:eastAsia="Calibri" w:hAnsi="Arial" w:cs="Arial"/>
          <w:color w:val="000000"/>
        </w:rPr>
      </w:pPr>
    </w:p>
    <w:p w:rsidR="007E1ED6" w:rsidRPr="00AE360E" w:rsidRDefault="007E1ED6" w:rsidP="00AE360E">
      <w:pPr>
        <w:pStyle w:val="Style3"/>
        <w:spacing w:line="276" w:lineRule="auto"/>
        <w:jc w:val="both"/>
        <w:rPr>
          <w:rFonts w:ascii="Arial" w:hAnsi="Arial" w:cs="Arial"/>
          <w:color w:val="auto"/>
        </w:rPr>
      </w:pPr>
      <w:bookmarkStart w:id="18" w:name="_Toc397522424"/>
      <w:r w:rsidRPr="00AE360E">
        <w:rPr>
          <w:rFonts w:ascii="Arial" w:hAnsi="Arial" w:cs="Arial"/>
          <w:color w:val="auto"/>
          <w:lang w:val="fr-FR"/>
        </w:rPr>
        <w:t>Gestion</w:t>
      </w:r>
      <w:r w:rsidRPr="00AE360E">
        <w:rPr>
          <w:rFonts w:ascii="Arial" w:hAnsi="Arial" w:cs="Arial"/>
          <w:color w:val="auto"/>
        </w:rPr>
        <w:t xml:space="preserve"> des stocks</w:t>
      </w:r>
      <w:bookmarkEnd w:id="18"/>
    </w:p>
    <w:p w:rsidR="007E1ED6" w:rsidRPr="00AE360E" w:rsidRDefault="00B0794B" w:rsidP="006239F6">
      <w:pPr>
        <w:pStyle w:val="Paragraphedeliste"/>
        <w:numPr>
          <w:ilvl w:val="0"/>
          <w:numId w:val="6"/>
        </w:numPr>
        <w:spacing w:before="120" w:after="0"/>
        <w:ind w:right="115"/>
        <w:jc w:val="both"/>
        <w:rPr>
          <w:rFonts w:ascii="Arial" w:hAnsi="Arial" w:cs="Arial"/>
        </w:rPr>
      </w:pPr>
      <w:r w:rsidRPr="00AE360E">
        <w:rPr>
          <w:rFonts w:ascii="Arial" w:hAnsi="Arial" w:cs="Arial"/>
          <w:sz w:val="24"/>
          <w:szCs w:val="24"/>
        </w:rPr>
        <w:t xml:space="preserve">La gestion informatisée des stocks avec les </w:t>
      </w:r>
      <w:r w:rsidR="00FD31B8" w:rsidRPr="00AE360E">
        <w:rPr>
          <w:rFonts w:ascii="Arial" w:hAnsi="Arial" w:cs="Arial"/>
          <w:sz w:val="24"/>
          <w:szCs w:val="24"/>
        </w:rPr>
        <w:t>o</w:t>
      </w:r>
      <w:r w:rsidR="004802D3" w:rsidRPr="00AE360E">
        <w:rPr>
          <w:rFonts w:ascii="Arial" w:hAnsi="Arial" w:cs="Arial"/>
          <w:sz w:val="24"/>
          <w:szCs w:val="24"/>
        </w:rPr>
        <w:t>utils SMT et DVD MT sera étendue</w:t>
      </w:r>
      <w:r w:rsidRPr="00AE360E">
        <w:rPr>
          <w:rFonts w:ascii="Arial" w:hAnsi="Arial" w:cs="Arial"/>
          <w:sz w:val="24"/>
          <w:szCs w:val="24"/>
        </w:rPr>
        <w:t xml:space="preserve"> à tous les Districts</w:t>
      </w:r>
      <w:r w:rsidR="00BF5ED4" w:rsidRPr="00AE360E">
        <w:rPr>
          <w:rFonts w:ascii="Arial" w:hAnsi="Arial" w:cs="Arial"/>
          <w:sz w:val="24"/>
          <w:szCs w:val="24"/>
        </w:rPr>
        <w:t xml:space="preserve"> d’ici fin 2014</w:t>
      </w:r>
      <w:r w:rsidRPr="00AE360E">
        <w:rPr>
          <w:rFonts w:ascii="Arial" w:hAnsi="Arial" w:cs="Arial"/>
          <w:sz w:val="24"/>
          <w:szCs w:val="24"/>
        </w:rPr>
        <w:t>.  La formation des acteurs principaux  sur l’utilisation du DVD MT et l’acquisition d’équipements informatiques pour tous les districts devront améliorer la gestion des  données de vaccination et des vaccins</w:t>
      </w:r>
      <w:r w:rsidRPr="00AE360E">
        <w:rPr>
          <w:rFonts w:ascii="Arial" w:hAnsi="Arial" w:cs="Arial"/>
        </w:rPr>
        <w:t>.</w:t>
      </w:r>
    </w:p>
    <w:p w:rsidR="00B0794B" w:rsidRPr="00AE360E" w:rsidRDefault="00B0794B" w:rsidP="00AE360E">
      <w:pPr>
        <w:pStyle w:val="Paragraphedeliste"/>
        <w:numPr>
          <w:ilvl w:val="0"/>
          <w:numId w:val="6"/>
        </w:numPr>
        <w:spacing w:after="0"/>
        <w:ind w:right="115"/>
        <w:jc w:val="both"/>
        <w:rPr>
          <w:rFonts w:ascii="Arial" w:hAnsi="Arial" w:cs="Arial"/>
          <w:sz w:val="24"/>
          <w:szCs w:val="24"/>
        </w:rPr>
      </w:pPr>
      <w:r w:rsidRPr="00AE360E">
        <w:rPr>
          <w:rFonts w:ascii="Arial" w:hAnsi="Arial" w:cs="Arial"/>
          <w:sz w:val="24"/>
          <w:szCs w:val="24"/>
        </w:rPr>
        <w:t xml:space="preserve">un plan d’approvisionnement en vaccins et consommables est élaboré chaque année à partir de l’outil </w:t>
      </w:r>
      <w:r w:rsidR="00765F21" w:rsidRPr="00AE360E">
        <w:rPr>
          <w:rFonts w:ascii="Arial" w:hAnsi="Arial" w:cs="Arial"/>
          <w:sz w:val="24"/>
          <w:szCs w:val="24"/>
        </w:rPr>
        <w:t>forecast</w:t>
      </w:r>
      <w:r w:rsidRPr="00AE360E">
        <w:rPr>
          <w:rFonts w:ascii="Arial" w:hAnsi="Arial" w:cs="Arial"/>
          <w:sz w:val="24"/>
          <w:szCs w:val="24"/>
        </w:rPr>
        <w:t>, ce qui permet d’avoir  une disponibilité permanente en vaccins et consommables au niveau central et intermédiaire. Les procédures standards de réception des vaccins et consommables et du transport de l’aéroport/port jusqu’au dépôt central sont généralement respectées</w:t>
      </w:r>
      <w:r w:rsidR="00BF5ED4" w:rsidRPr="00AE360E">
        <w:rPr>
          <w:rFonts w:ascii="Arial" w:hAnsi="Arial" w:cs="Arial"/>
          <w:sz w:val="24"/>
          <w:szCs w:val="24"/>
        </w:rPr>
        <w:t>.</w:t>
      </w:r>
    </w:p>
    <w:p w:rsidR="00BF5ED4" w:rsidRPr="00AE360E" w:rsidRDefault="00BF5ED4" w:rsidP="00AE360E">
      <w:pPr>
        <w:pStyle w:val="Paragraphedeliste"/>
        <w:spacing w:after="0"/>
        <w:ind w:right="115"/>
        <w:jc w:val="both"/>
        <w:rPr>
          <w:rFonts w:ascii="Arial" w:hAnsi="Arial" w:cs="Arial"/>
          <w:sz w:val="24"/>
          <w:szCs w:val="24"/>
        </w:rPr>
      </w:pPr>
    </w:p>
    <w:p w:rsidR="007E1ED6" w:rsidRPr="00AE360E" w:rsidRDefault="00E14ED9" w:rsidP="00AE360E">
      <w:pPr>
        <w:pStyle w:val="Paragraphedeliste"/>
        <w:numPr>
          <w:ilvl w:val="0"/>
          <w:numId w:val="6"/>
        </w:numPr>
        <w:spacing w:after="0"/>
        <w:ind w:right="115"/>
        <w:jc w:val="both"/>
        <w:rPr>
          <w:rFonts w:ascii="Arial" w:hAnsi="Arial" w:cs="Arial"/>
        </w:rPr>
      </w:pPr>
      <w:r w:rsidRPr="00AE360E">
        <w:rPr>
          <w:rFonts w:ascii="Arial" w:hAnsi="Arial" w:cs="Arial"/>
          <w:sz w:val="24"/>
          <w:szCs w:val="24"/>
        </w:rPr>
        <w:t>Selon le niveau, les rythmes d’approvisionnement sont les suivants</w:t>
      </w:r>
      <w:r w:rsidRPr="00AE360E">
        <w:rPr>
          <w:rFonts w:ascii="Arial" w:eastAsia="Calibri" w:hAnsi="Arial" w:cs="Arial"/>
          <w:bCs/>
        </w:rPr>
        <w:t> :</w:t>
      </w:r>
    </w:p>
    <w:p w:rsidR="00E14ED9" w:rsidRPr="00AE360E" w:rsidRDefault="00E14ED9" w:rsidP="00AE360E">
      <w:pPr>
        <w:pStyle w:val="Paragraphedeliste"/>
        <w:ind w:right="-567"/>
        <w:jc w:val="both"/>
        <w:rPr>
          <w:rFonts w:ascii="Arial" w:eastAsia="Calibri" w:hAnsi="Arial" w:cs="Arial"/>
          <w:bCs/>
        </w:rPr>
      </w:pPr>
    </w:p>
    <w:p w:rsidR="00E14ED9" w:rsidRPr="00AE360E" w:rsidRDefault="00E14ED9" w:rsidP="00AE360E">
      <w:pPr>
        <w:pStyle w:val="Paragraphedeliste"/>
        <w:numPr>
          <w:ilvl w:val="0"/>
          <w:numId w:val="1"/>
        </w:numPr>
        <w:ind w:right="-567"/>
        <w:jc w:val="both"/>
        <w:rPr>
          <w:rFonts w:ascii="Arial" w:hAnsi="Arial" w:cs="Arial"/>
          <w:sz w:val="24"/>
          <w:szCs w:val="24"/>
        </w:rPr>
      </w:pPr>
      <w:r w:rsidRPr="00AE360E">
        <w:rPr>
          <w:rFonts w:ascii="Arial" w:hAnsi="Arial" w:cs="Arial"/>
          <w:sz w:val="24"/>
          <w:szCs w:val="24"/>
        </w:rPr>
        <w:t>Le niveau central tous les 6 mois ;</w:t>
      </w:r>
    </w:p>
    <w:p w:rsidR="00E14ED9" w:rsidRPr="00AE360E" w:rsidRDefault="00781379" w:rsidP="00AE360E">
      <w:pPr>
        <w:pStyle w:val="Paragraphedeliste"/>
        <w:numPr>
          <w:ilvl w:val="0"/>
          <w:numId w:val="1"/>
        </w:numPr>
        <w:ind w:right="-567"/>
        <w:jc w:val="both"/>
        <w:rPr>
          <w:rFonts w:ascii="Arial" w:hAnsi="Arial" w:cs="Arial"/>
          <w:sz w:val="24"/>
          <w:szCs w:val="24"/>
        </w:rPr>
      </w:pPr>
      <w:r>
        <w:rPr>
          <w:rFonts w:ascii="Arial" w:hAnsi="Arial" w:cs="Arial"/>
          <w:sz w:val="24"/>
          <w:szCs w:val="24"/>
        </w:rPr>
        <w:t>Le dépôt sub</w:t>
      </w:r>
      <w:r w:rsidR="00E14ED9" w:rsidRPr="00AE360E">
        <w:rPr>
          <w:rFonts w:ascii="Arial" w:hAnsi="Arial" w:cs="Arial"/>
          <w:sz w:val="24"/>
          <w:szCs w:val="24"/>
        </w:rPr>
        <w:t>national et/ou régional tous les 3 mois</w:t>
      </w:r>
    </w:p>
    <w:p w:rsidR="00E14ED9" w:rsidRPr="00AE360E" w:rsidRDefault="00E14ED9" w:rsidP="00AE360E">
      <w:pPr>
        <w:pStyle w:val="Paragraphedeliste"/>
        <w:numPr>
          <w:ilvl w:val="0"/>
          <w:numId w:val="1"/>
        </w:numPr>
        <w:ind w:right="-567"/>
        <w:jc w:val="both"/>
        <w:rPr>
          <w:rFonts w:ascii="Arial" w:hAnsi="Arial" w:cs="Arial"/>
          <w:sz w:val="24"/>
          <w:szCs w:val="24"/>
        </w:rPr>
      </w:pPr>
      <w:r w:rsidRPr="00AE360E">
        <w:rPr>
          <w:rFonts w:ascii="Arial" w:hAnsi="Arial" w:cs="Arial"/>
          <w:sz w:val="24"/>
          <w:szCs w:val="24"/>
        </w:rPr>
        <w:t>Le district tous les 2 mois ;</w:t>
      </w:r>
    </w:p>
    <w:p w:rsidR="00E14ED9" w:rsidRPr="00AE360E" w:rsidRDefault="00E14ED9" w:rsidP="00AE360E">
      <w:pPr>
        <w:pStyle w:val="Paragraphedeliste"/>
        <w:numPr>
          <w:ilvl w:val="0"/>
          <w:numId w:val="1"/>
        </w:numPr>
        <w:ind w:right="-567"/>
        <w:jc w:val="both"/>
        <w:rPr>
          <w:rFonts w:ascii="Arial" w:eastAsia="Calibri" w:hAnsi="Arial" w:cs="Arial"/>
          <w:bCs/>
          <w:sz w:val="24"/>
          <w:szCs w:val="24"/>
        </w:rPr>
      </w:pPr>
      <w:r w:rsidRPr="00AE360E">
        <w:rPr>
          <w:rFonts w:ascii="Arial" w:hAnsi="Arial" w:cs="Arial"/>
          <w:sz w:val="24"/>
          <w:szCs w:val="24"/>
        </w:rPr>
        <w:t>Le centre de santé tous les mois</w:t>
      </w:r>
      <w:r w:rsidRPr="00AE360E">
        <w:rPr>
          <w:rFonts w:ascii="Arial" w:eastAsia="Calibri" w:hAnsi="Arial" w:cs="Arial"/>
          <w:bCs/>
          <w:sz w:val="24"/>
          <w:szCs w:val="24"/>
        </w:rPr>
        <w:t>.</w:t>
      </w:r>
    </w:p>
    <w:p w:rsidR="00E14ED9" w:rsidRPr="00AE360E" w:rsidRDefault="00E14ED9" w:rsidP="00AE360E">
      <w:pPr>
        <w:pStyle w:val="Paragraphedeliste"/>
        <w:ind w:right="-567"/>
        <w:jc w:val="both"/>
        <w:rPr>
          <w:rFonts w:ascii="Arial" w:eastAsia="Calibri" w:hAnsi="Arial" w:cs="Arial"/>
          <w:bCs/>
          <w:sz w:val="24"/>
          <w:szCs w:val="24"/>
        </w:rPr>
      </w:pPr>
      <w:r w:rsidRPr="00AE360E">
        <w:rPr>
          <w:rFonts w:ascii="Arial" w:eastAsia="Calibri" w:hAnsi="Arial" w:cs="Arial"/>
          <w:b/>
          <w:bCs/>
          <w:sz w:val="24"/>
          <w:szCs w:val="24"/>
        </w:rPr>
        <w:t>L’introduction du VPI ne va pas modifier le rythme d’approvisionnement des vaccins et consommables</w:t>
      </w:r>
      <w:r w:rsidRPr="00AE360E">
        <w:rPr>
          <w:rFonts w:ascii="Arial" w:eastAsia="Calibri" w:hAnsi="Arial" w:cs="Arial"/>
          <w:bCs/>
          <w:sz w:val="24"/>
          <w:szCs w:val="24"/>
        </w:rPr>
        <w:t>.</w:t>
      </w:r>
    </w:p>
    <w:p w:rsidR="007E1ED6" w:rsidRPr="00A97EA9" w:rsidRDefault="007E1ED6" w:rsidP="000A371F">
      <w:pPr>
        <w:pStyle w:val="Style2"/>
        <w:spacing w:before="240" w:line="276" w:lineRule="auto"/>
        <w:jc w:val="both"/>
        <w:rPr>
          <w:rFonts w:ascii="Arial" w:eastAsia="SimSun" w:hAnsi="Arial" w:cs="Arial"/>
          <w:color w:val="auto"/>
          <w:sz w:val="32"/>
          <w:szCs w:val="28"/>
        </w:rPr>
      </w:pPr>
      <w:bookmarkStart w:id="19" w:name="_Toc397522425"/>
      <w:r w:rsidRPr="00A97EA9">
        <w:rPr>
          <w:rFonts w:ascii="Arial" w:eastAsia="SimSun" w:hAnsi="Arial" w:cs="Arial"/>
          <w:color w:val="auto"/>
          <w:sz w:val="32"/>
          <w:lang w:val="fr-FR"/>
        </w:rPr>
        <w:t>Suivi</w:t>
      </w:r>
      <w:r w:rsidRPr="00A97EA9">
        <w:rPr>
          <w:rFonts w:ascii="Arial" w:eastAsia="SimSun" w:hAnsi="Arial" w:cs="Arial"/>
          <w:color w:val="auto"/>
          <w:sz w:val="32"/>
        </w:rPr>
        <w:t>-</w:t>
      </w:r>
      <w:r w:rsidRPr="00A97EA9">
        <w:rPr>
          <w:rFonts w:ascii="Arial" w:eastAsia="SimSun" w:hAnsi="Arial" w:cs="Arial"/>
          <w:color w:val="auto"/>
          <w:sz w:val="32"/>
          <w:lang w:val="fr-FR"/>
        </w:rPr>
        <w:t>évaluation</w:t>
      </w:r>
      <w:bookmarkEnd w:id="19"/>
    </w:p>
    <w:p w:rsidR="007E1ED6" w:rsidRPr="002B61E2" w:rsidRDefault="00E015D5" w:rsidP="00AE360E">
      <w:pPr>
        <w:pStyle w:val="Style3"/>
        <w:spacing w:line="276" w:lineRule="auto"/>
        <w:jc w:val="both"/>
        <w:rPr>
          <w:rFonts w:ascii="Arial" w:hAnsi="Arial" w:cs="Arial"/>
          <w:sz w:val="28"/>
          <w:lang w:val="fr-FR"/>
        </w:rPr>
      </w:pPr>
      <w:bookmarkStart w:id="20" w:name="_Toc397522426"/>
      <w:r w:rsidRPr="002B61E2">
        <w:rPr>
          <w:rFonts w:ascii="Arial" w:hAnsi="Arial" w:cs="Arial"/>
          <w:color w:val="auto"/>
          <w:sz w:val="28"/>
          <w:lang w:val="fr-FR"/>
        </w:rPr>
        <w:t xml:space="preserve">Outils </w:t>
      </w:r>
      <w:r w:rsidR="00A97EA9" w:rsidRPr="002B61E2">
        <w:rPr>
          <w:rFonts w:ascii="Arial" w:hAnsi="Arial" w:cs="Arial"/>
          <w:color w:val="auto"/>
          <w:sz w:val="28"/>
          <w:lang w:val="fr-FR"/>
        </w:rPr>
        <w:t xml:space="preserve"> de suivi</w:t>
      </w:r>
      <w:r w:rsidRPr="002B61E2">
        <w:rPr>
          <w:rFonts w:ascii="Arial" w:hAnsi="Arial" w:cs="Arial"/>
          <w:color w:val="auto"/>
          <w:sz w:val="28"/>
          <w:lang w:val="fr-FR"/>
        </w:rPr>
        <w:t>des vaccins et de la vaccination </w:t>
      </w:r>
      <w:r w:rsidRPr="002B61E2">
        <w:rPr>
          <w:rFonts w:ascii="Arial" w:hAnsi="Arial" w:cs="Arial"/>
          <w:sz w:val="28"/>
          <w:lang w:val="fr-FR"/>
        </w:rPr>
        <w:t>:</w:t>
      </w:r>
      <w:bookmarkEnd w:id="20"/>
    </w:p>
    <w:p w:rsidR="00FC33F2" w:rsidRPr="00AE360E" w:rsidRDefault="00A16EE5" w:rsidP="00A97EA9">
      <w:pPr>
        <w:pStyle w:val="Paragraphedeliste"/>
        <w:numPr>
          <w:ilvl w:val="0"/>
          <w:numId w:val="10"/>
        </w:numPr>
        <w:spacing w:before="240"/>
        <w:jc w:val="both"/>
        <w:rPr>
          <w:rFonts w:ascii="Arial" w:hAnsi="Arial" w:cs="Arial"/>
          <w:b/>
          <w:sz w:val="24"/>
          <w:szCs w:val="24"/>
          <w:u w:val="single"/>
        </w:rPr>
      </w:pPr>
      <w:r w:rsidRPr="00AE360E">
        <w:rPr>
          <w:rFonts w:ascii="Arial" w:hAnsi="Arial" w:cs="Arial"/>
          <w:b/>
          <w:sz w:val="24"/>
          <w:szCs w:val="24"/>
          <w:u w:val="single"/>
        </w:rPr>
        <w:t>Mise à jour des Outils</w:t>
      </w:r>
    </w:p>
    <w:p w:rsidR="00E015D5" w:rsidRPr="00AE360E" w:rsidRDefault="005A7FF3" w:rsidP="00AE360E">
      <w:pPr>
        <w:autoSpaceDE w:val="0"/>
        <w:autoSpaceDN w:val="0"/>
        <w:adjustRightInd w:val="0"/>
        <w:spacing w:after="0"/>
        <w:jc w:val="both"/>
        <w:rPr>
          <w:rFonts w:ascii="Arial" w:hAnsi="Arial" w:cs="Arial"/>
          <w:sz w:val="28"/>
          <w:szCs w:val="28"/>
        </w:rPr>
      </w:pPr>
      <w:r w:rsidRPr="00AE360E">
        <w:rPr>
          <w:rFonts w:ascii="Arial" w:hAnsi="Arial" w:cs="Arial"/>
          <w:sz w:val="24"/>
          <w:szCs w:val="24"/>
        </w:rPr>
        <w:t>Dans le cadre da mise en œuvre du</w:t>
      </w:r>
      <w:r w:rsidR="00E015D5" w:rsidRPr="00AE360E">
        <w:rPr>
          <w:rFonts w:ascii="Arial" w:hAnsi="Arial" w:cs="Arial"/>
          <w:sz w:val="24"/>
          <w:szCs w:val="24"/>
        </w:rPr>
        <w:t xml:space="preserve"> POA PEV 2014, tous les supports ont été révisés et validés par la coordination nationale du PEV avec l’appui des partenaires. Cette révision a permis d’améliorer la qualité des outils de gestion du PEV mais aussi d’intégrer le VPI</w:t>
      </w:r>
      <w:r w:rsidR="00E015D5" w:rsidRPr="00AE360E">
        <w:rPr>
          <w:rFonts w:ascii="Arial" w:hAnsi="Arial" w:cs="Arial"/>
          <w:sz w:val="28"/>
          <w:szCs w:val="28"/>
        </w:rPr>
        <w:t>.</w:t>
      </w:r>
    </w:p>
    <w:p w:rsidR="00C5375F" w:rsidRPr="00AE360E" w:rsidRDefault="00C5375F" w:rsidP="00AE360E">
      <w:pPr>
        <w:autoSpaceDE w:val="0"/>
        <w:autoSpaceDN w:val="0"/>
        <w:adjustRightInd w:val="0"/>
        <w:spacing w:after="0"/>
        <w:jc w:val="both"/>
        <w:rPr>
          <w:rFonts w:ascii="Arial" w:hAnsi="Arial" w:cs="Arial"/>
          <w:sz w:val="28"/>
          <w:szCs w:val="28"/>
        </w:rPr>
      </w:pPr>
      <w:r w:rsidRPr="00AE360E">
        <w:rPr>
          <w:rFonts w:ascii="Arial" w:hAnsi="Arial" w:cs="Arial"/>
          <w:sz w:val="24"/>
          <w:szCs w:val="24"/>
        </w:rPr>
        <w:t>La courbe d’auto- monitorage sera  mise à jour pour intégrer le suivi de la couverture  vaccinale au VPI et sa comparaison avec la couverture de la troisième dose du pentavalent</w:t>
      </w:r>
      <w:r w:rsidRPr="00AE360E">
        <w:rPr>
          <w:rFonts w:ascii="Arial" w:hAnsi="Arial" w:cs="Arial"/>
          <w:sz w:val="28"/>
          <w:szCs w:val="28"/>
        </w:rPr>
        <w:t>.</w:t>
      </w:r>
    </w:p>
    <w:p w:rsidR="00E015D5" w:rsidRPr="00AE360E" w:rsidRDefault="00E015D5" w:rsidP="00AE360E">
      <w:pPr>
        <w:autoSpaceDE w:val="0"/>
        <w:autoSpaceDN w:val="0"/>
        <w:adjustRightInd w:val="0"/>
        <w:spacing w:after="0"/>
        <w:jc w:val="both"/>
        <w:rPr>
          <w:rFonts w:ascii="Arial" w:hAnsi="Arial" w:cs="Arial"/>
          <w:sz w:val="24"/>
          <w:szCs w:val="24"/>
        </w:rPr>
      </w:pPr>
      <w:r w:rsidRPr="00AE360E">
        <w:rPr>
          <w:rFonts w:ascii="Arial" w:hAnsi="Arial" w:cs="Arial"/>
          <w:sz w:val="24"/>
          <w:szCs w:val="24"/>
        </w:rPr>
        <w:t>La reproduction des supports en quantité suffisante est envisagée pour assurer une collecte régulière et continue des données de vaccination.</w:t>
      </w:r>
    </w:p>
    <w:p w:rsidR="00E015D5" w:rsidRPr="00AE360E" w:rsidRDefault="00E015D5" w:rsidP="00AE360E">
      <w:pPr>
        <w:autoSpaceDE w:val="0"/>
        <w:autoSpaceDN w:val="0"/>
        <w:adjustRightInd w:val="0"/>
        <w:spacing w:after="0"/>
        <w:jc w:val="both"/>
        <w:rPr>
          <w:rFonts w:ascii="Arial" w:hAnsi="Arial" w:cs="Arial"/>
          <w:sz w:val="28"/>
          <w:szCs w:val="28"/>
        </w:rPr>
      </w:pPr>
      <w:r w:rsidRPr="00AE360E">
        <w:rPr>
          <w:rFonts w:ascii="Arial" w:hAnsi="Arial" w:cs="Arial"/>
          <w:sz w:val="24"/>
          <w:szCs w:val="24"/>
        </w:rPr>
        <w:t xml:space="preserve">Les </w:t>
      </w:r>
      <w:r w:rsidR="00FD31B8" w:rsidRPr="00AE360E">
        <w:rPr>
          <w:rFonts w:ascii="Arial" w:hAnsi="Arial" w:cs="Arial"/>
          <w:sz w:val="24"/>
          <w:szCs w:val="24"/>
        </w:rPr>
        <w:t>o</w:t>
      </w:r>
      <w:r w:rsidRPr="00AE360E">
        <w:rPr>
          <w:rFonts w:ascii="Arial" w:hAnsi="Arial" w:cs="Arial"/>
          <w:sz w:val="24"/>
          <w:szCs w:val="24"/>
        </w:rPr>
        <w:t>utils informatisés notamment le DVD MT seront aussi mis à jour pour prendre en compte le VPI</w:t>
      </w:r>
      <w:r w:rsidRPr="00AE360E">
        <w:rPr>
          <w:rFonts w:ascii="Arial" w:hAnsi="Arial" w:cs="Arial"/>
          <w:sz w:val="28"/>
          <w:szCs w:val="28"/>
        </w:rPr>
        <w:t>.</w:t>
      </w:r>
    </w:p>
    <w:p w:rsidR="007E1ED6" w:rsidRPr="00AE360E" w:rsidRDefault="00B144FB" w:rsidP="003E700D">
      <w:pPr>
        <w:pStyle w:val="Paragraphedeliste"/>
        <w:numPr>
          <w:ilvl w:val="0"/>
          <w:numId w:val="10"/>
        </w:numPr>
        <w:spacing w:before="240"/>
        <w:ind w:left="714" w:hanging="357"/>
        <w:contextualSpacing w:val="0"/>
        <w:jc w:val="both"/>
        <w:rPr>
          <w:rFonts w:ascii="Arial" w:hAnsi="Arial" w:cs="Arial"/>
          <w:b/>
          <w:sz w:val="24"/>
          <w:szCs w:val="24"/>
          <w:u w:val="single"/>
        </w:rPr>
      </w:pPr>
      <w:r w:rsidRPr="00AE360E">
        <w:rPr>
          <w:rFonts w:ascii="Arial" w:hAnsi="Arial" w:cs="Arial"/>
          <w:b/>
          <w:sz w:val="24"/>
          <w:szCs w:val="24"/>
          <w:u w:val="single"/>
        </w:rPr>
        <w:lastRenderedPageBreak/>
        <w:t xml:space="preserve">Indicateurs et </w:t>
      </w:r>
      <w:r w:rsidR="003E700D" w:rsidRPr="00AE360E">
        <w:rPr>
          <w:rFonts w:ascii="Arial" w:hAnsi="Arial" w:cs="Arial"/>
          <w:b/>
          <w:sz w:val="24"/>
          <w:szCs w:val="24"/>
          <w:u w:val="single"/>
        </w:rPr>
        <w:t>mécanismes</w:t>
      </w:r>
      <w:r w:rsidR="00A16EE5" w:rsidRPr="00AE360E">
        <w:rPr>
          <w:rFonts w:ascii="Arial" w:hAnsi="Arial" w:cs="Arial"/>
          <w:b/>
          <w:sz w:val="24"/>
          <w:szCs w:val="24"/>
          <w:u w:val="single"/>
        </w:rPr>
        <w:t xml:space="preserve"> de Suivi</w:t>
      </w:r>
    </w:p>
    <w:p w:rsidR="0056118F" w:rsidRPr="00DC4987" w:rsidRDefault="00264138" w:rsidP="00AE360E">
      <w:pPr>
        <w:pStyle w:val="Paragraphedeliste"/>
        <w:numPr>
          <w:ilvl w:val="0"/>
          <w:numId w:val="14"/>
        </w:numPr>
        <w:autoSpaceDE w:val="0"/>
        <w:autoSpaceDN w:val="0"/>
        <w:adjustRightInd w:val="0"/>
        <w:spacing w:after="0"/>
        <w:jc w:val="both"/>
        <w:rPr>
          <w:rFonts w:ascii="Arial" w:hAnsi="Arial" w:cs="Arial"/>
          <w:sz w:val="24"/>
          <w:szCs w:val="24"/>
        </w:rPr>
      </w:pPr>
      <w:r w:rsidRPr="00DC4987">
        <w:rPr>
          <w:rFonts w:ascii="Arial" w:hAnsi="Arial" w:cs="Arial"/>
          <w:sz w:val="24"/>
          <w:szCs w:val="24"/>
        </w:rPr>
        <w:t>Les</w:t>
      </w:r>
      <w:r w:rsidR="00C5375F" w:rsidRPr="00DC4987">
        <w:rPr>
          <w:rFonts w:ascii="Arial" w:hAnsi="Arial" w:cs="Arial"/>
          <w:sz w:val="24"/>
          <w:szCs w:val="24"/>
        </w:rPr>
        <w:t xml:space="preserve"> principaux indicateurs de performance du PEV de routine, prenant en compte le VPI, seront suivis mensuellement à tous les niveaux (centre de santé, District et niveau central). Il s’agit  notamment des indicateurs relatifs à la couverture vaccinale par antigène, au taux d’abandon, au taux de disponibilité des vaccins et au taux de perte par antigène</w:t>
      </w:r>
      <w:r w:rsidR="00A1070F" w:rsidRPr="00DC4987">
        <w:rPr>
          <w:rFonts w:ascii="Arial" w:hAnsi="Arial" w:cs="Arial"/>
          <w:sz w:val="24"/>
          <w:szCs w:val="24"/>
        </w:rPr>
        <w:t>, proportion des DS ayant connu une rupture des vaccins</w:t>
      </w:r>
      <w:r w:rsidR="00C5375F" w:rsidRPr="00DC4987">
        <w:rPr>
          <w:rFonts w:ascii="Arial" w:hAnsi="Arial" w:cs="Arial"/>
          <w:sz w:val="24"/>
          <w:szCs w:val="24"/>
        </w:rPr>
        <w:t>.</w:t>
      </w:r>
    </w:p>
    <w:p w:rsidR="005A7FF3" w:rsidRPr="00DC4987" w:rsidRDefault="00C5375F" w:rsidP="00AE360E">
      <w:pPr>
        <w:pStyle w:val="Paragraphedeliste"/>
        <w:numPr>
          <w:ilvl w:val="0"/>
          <w:numId w:val="14"/>
        </w:numPr>
        <w:autoSpaceDE w:val="0"/>
        <w:autoSpaceDN w:val="0"/>
        <w:adjustRightInd w:val="0"/>
        <w:spacing w:after="0"/>
        <w:jc w:val="both"/>
        <w:rPr>
          <w:rFonts w:ascii="Arial" w:hAnsi="Arial" w:cs="Arial"/>
          <w:sz w:val="24"/>
          <w:szCs w:val="24"/>
        </w:rPr>
      </w:pPr>
      <w:r w:rsidRPr="00DC4987">
        <w:rPr>
          <w:rFonts w:ascii="Arial" w:hAnsi="Arial" w:cs="Arial"/>
          <w:sz w:val="24"/>
          <w:szCs w:val="24"/>
        </w:rPr>
        <w:t>Les mécanismes de suivi  seront les supervisions, les réunions de monitorage, les réunions d’harmonisation et de validation des données</w:t>
      </w:r>
      <w:r w:rsidR="00A1070F" w:rsidRPr="00DC4987">
        <w:rPr>
          <w:rFonts w:ascii="Arial" w:hAnsi="Arial" w:cs="Arial"/>
          <w:sz w:val="24"/>
          <w:szCs w:val="24"/>
        </w:rPr>
        <w:t>, les réunions bilan semestriels</w:t>
      </w:r>
      <w:r w:rsidRPr="00DC4987">
        <w:rPr>
          <w:rFonts w:ascii="Arial" w:hAnsi="Arial" w:cs="Arial"/>
          <w:sz w:val="24"/>
          <w:szCs w:val="24"/>
        </w:rPr>
        <w:t>.</w:t>
      </w:r>
    </w:p>
    <w:p w:rsidR="00CF6997" w:rsidRPr="00DC4987" w:rsidRDefault="00CF6997" w:rsidP="00AE360E">
      <w:pPr>
        <w:pStyle w:val="Paragraphedeliste"/>
        <w:numPr>
          <w:ilvl w:val="0"/>
          <w:numId w:val="14"/>
        </w:numPr>
        <w:autoSpaceDE w:val="0"/>
        <w:autoSpaceDN w:val="0"/>
        <w:adjustRightInd w:val="0"/>
        <w:spacing w:after="0"/>
        <w:jc w:val="both"/>
        <w:rPr>
          <w:rFonts w:ascii="Arial" w:hAnsi="Arial" w:cs="Arial"/>
          <w:sz w:val="24"/>
          <w:szCs w:val="24"/>
        </w:rPr>
      </w:pPr>
      <w:r w:rsidRPr="00DC4987">
        <w:rPr>
          <w:rFonts w:ascii="Arial" w:hAnsi="Arial" w:cs="Arial"/>
          <w:sz w:val="24"/>
          <w:szCs w:val="24"/>
        </w:rPr>
        <w:t>La surveillance épidémiologique sera renforcée en vue de s’assurer de l’impact de l’introduction du VPI  notamment en termes d’absence de tous les poliovirus sauvages ou dérivés du vaccin.</w:t>
      </w:r>
    </w:p>
    <w:p w:rsidR="00E015D5" w:rsidRPr="00DC4987" w:rsidRDefault="0056118F" w:rsidP="00AE360E">
      <w:pPr>
        <w:pStyle w:val="Paragraphedeliste"/>
        <w:numPr>
          <w:ilvl w:val="0"/>
          <w:numId w:val="14"/>
        </w:numPr>
        <w:autoSpaceDE w:val="0"/>
        <w:autoSpaceDN w:val="0"/>
        <w:adjustRightInd w:val="0"/>
        <w:spacing w:after="0"/>
        <w:jc w:val="both"/>
        <w:rPr>
          <w:rFonts w:ascii="Arial" w:hAnsi="Arial" w:cs="Arial"/>
          <w:sz w:val="24"/>
          <w:szCs w:val="24"/>
        </w:rPr>
      </w:pPr>
      <w:r w:rsidRPr="00DC4987">
        <w:rPr>
          <w:rFonts w:ascii="Arial" w:hAnsi="Arial" w:cs="Arial"/>
          <w:sz w:val="24"/>
          <w:szCs w:val="24"/>
        </w:rPr>
        <w:t xml:space="preserve">une évaluation externe post-introduction sera effectuée dans les 6 </w:t>
      </w:r>
      <w:r w:rsidR="00780B77" w:rsidRPr="00DC4987">
        <w:rPr>
          <w:rFonts w:ascii="Arial" w:hAnsi="Arial" w:cs="Arial"/>
          <w:sz w:val="24"/>
          <w:szCs w:val="24"/>
        </w:rPr>
        <w:t xml:space="preserve">à 12 </w:t>
      </w:r>
      <w:r w:rsidRPr="00DC4987">
        <w:rPr>
          <w:rFonts w:ascii="Arial" w:hAnsi="Arial" w:cs="Arial"/>
          <w:sz w:val="24"/>
          <w:szCs w:val="24"/>
        </w:rPr>
        <w:t>mois suivant la date d’introduction du VPI dans la vaccination de routine.</w:t>
      </w:r>
    </w:p>
    <w:p w:rsidR="007E1ED6" w:rsidRPr="002B61E2" w:rsidRDefault="007E1ED6" w:rsidP="00AE360E">
      <w:pPr>
        <w:pStyle w:val="Style3"/>
        <w:spacing w:line="276" w:lineRule="auto"/>
        <w:jc w:val="both"/>
        <w:rPr>
          <w:rFonts w:ascii="Arial" w:hAnsi="Arial" w:cs="Arial"/>
          <w:color w:val="auto"/>
          <w:sz w:val="28"/>
          <w:lang w:val="fr-FR"/>
        </w:rPr>
      </w:pPr>
      <w:bookmarkStart w:id="21" w:name="_Toc397522427"/>
      <w:r w:rsidRPr="002B61E2">
        <w:rPr>
          <w:rFonts w:ascii="Arial" w:hAnsi="Arial" w:cs="Arial"/>
          <w:color w:val="auto"/>
          <w:sz w:val="28"/>
          <w:lang w:val="fr-FR"/>
        </w:rPr>
        <w:t>Surveillance des manifestations post-vaccinales indésirables (MAPI)</w:t>
      </w:r>
      <w:r w:rsidR="00A16EE5" w:rsidRPr="002B61E2">
        <w:rPr>
          <w:rFonts w:ascii="Arial" w:hAnsi="Arial" w:cs="Arial"/>
          <w:color w:val="auto"/>
          <w:sz w:val="28"/>
          <w:lang w:val="fr-FR"/>
        </w:rPr>
        <w:t>.</w:t>
      </w:r>
      <w:bookmarkEnd w:id="21"/>
    </w:p>
    <w:p w:rsidR="00A36612" w:rsidRPr="00AE360E" w:rsidRDefault="00A36612" w:rsidP="00AE360E">
      <w:pPr>
        <w:spacing w:after="0"/>
        <w:ind w:right="115"/>
        <w:jc w:val="both"/>
        <w:rPr>
          <w:rFonts w:ascii="Arial" w:hAnsi="Arial" w:cs="Arial"/>
          <w:sz w:val="24"/>
          <w:szCs w:val="24"/>
        </w:rPr>
      </w:pPr>
    </w:p>
    <w:p w:rsidR="004B2687" w:rsidRPr="00AE360E" w:rsidRDefault="004B2687" w:rsidP="00F505CF">
      <w:pPr>
        <w:pStyle w:val="Paragraphedeliste"/>
        <w:numPr>
          <w:ilvl w:val="1"/>
          <w:numId w:val="10"/>
        </w:numPr>
        <w:jc w:val="both"/>
        <w:rPr>
          <w:rFonts w:ascii="Arial" w:hAnsi="Arial" w:cs="Arial"/>
          <w:b/>
          <w:sz w:val="24"/>
          <w:szCs w:val="24"/>
          <w:u w:val="single"/>
        </w:rPr>
      </w:pPr>
      <w:r w:rsidRPr="00AE360E">
        <w:rPr>
          <w:rFonts w:ascii="Arial" w:hAnsi="Arial" w:cs="Arial"/>
          <w:b/>
          <w:sz w:val="24"/>
          <w:szCs w:val="24"/>
          <w:u w:val="single"/>
        </w:rPr>
        <w:t>Politique Nationale.</w:t>
      </w:r>
    </w:p>
    <w:p w:rsidR="004B2687" w:rsidRPr="00AE360E" w:rsidRDefault="004B2687" w:rsidP="00AE360E">
      <w:pPr>
        <w:pStyle w:val="Paragraphedeliste"/>
        <w:spacing w:after="0"/>
        <w:ind w:right="115"/>
        <w:jc w:val="both"/>
        <w:rPr>
          <w:rFonts w:ascii="Arial" w:hAnsi="Arial" w:cs="Arial"/>
          <w:b/>
          <w:sz w:val="24"/>
          <w:szCs w:val="24"/>
        </w:rPr>
      </w:pPr>
    </w:p>
    <w:p w:rsidR="00317BD7" w:rsidRPr="00DC4987" w:rsidRDefault="00317BD7" w:rsidP="00AE360E">
      <w:pPr>
        <w:spacing w:after="0"/>
        <w:ind w:right="115"/>
        <w:jc w:val="both"/>
        <w:rPr>
          <w:rFonts w:ascii="Arial" w:hAnsi="Arial" w:cs="Arial"/>
          <w:sz w:val="24"/>
        </w:rPr>
      </w:pPr>
      <w:r w:rsidRPr="00DC4987">
        <w:rPr>
          <w:rFonts w:ascii="Arial" w:hAnsi="Arial" w:cs="Arial"/>
          <w:sz w:val="24"/>
        </w:rPr>
        <w:t xml:space="preserve">Il existe un service de pharmacovigilance au niveau de la DPML </w:t>
      </w:r>
      <w:r w:rsidR="0059018E" w:rsidRPr="00DC4987">
        <w:rPr>
          <w:rFonts w:ascii="Arial" w:hAnsi="Arial" w:cs="Arial"/>
          <w:sz w:val="24"/>
        </w:rPr>
        <w:t>créé</w:t>
      </w:r>
      <w:r w:rsidRPr="00DC4987">
        <w:rPr>
          <w:rFonts w:ascii="Arial" w:hAnsi="Arial" w:cs="Arial"/>
          <w:sz w:val="24"/>
        </w:rPr>
        <w:t xml:space="preserve"> par l’Arrêté Ministériel</w:t>
      </w:r>
      <w:r w:rsidR="0059018E" w:rsidRPr="00DC4987">
        <w:rPr>
          <w:rFonts w:ascii="Arial" w:hAnsi="Arial" w:cs="Arial"/>
          <w:sz w:val="24"/>
        </w:rPr>
        <w:t xml:space="preserve"> No </w:t>
      </w:r>
      <w:r w:rsidR="00AD214D" w:rsidRPr="00DC4987">
        <w:rPr>
          <w:rFonts w:ascii="Arial" w:hAnsi="Arial" w:cs="Arial"/>
          <w:sz w:val="24"/>
        </w:rPr>
        <w:t xml:space="preserve">035/ </w:t>
      </w:r>
      <w:r w:rsidR="0059018E" w:rsidRPr="00DC4987">
        <w:rPr>
          <w:rFonts w:ascii="Arial" w:hAnsi="Arial" w:cs="Arial"/>
          <w:sz w:val="24"/>
        </w:rPr>
        <w:t xml:space="preserve">en date du </w:t>
      </w:r>
      <w:r w:rsidR="00AD214D" w:rsidRPr="00DC4987">
        <w:rPr>
          <w:rFonts w:ascii="Arial" w:hAnsi="Arial" w:cs="Arial"/>
          <w:sz w:val="24"/>
        </w:rPr>
        <w:t>10 février</w:t>
      </w:r>
      <w:r w:rsidR="0059018E" w:rsidRPr="00DC4987">
        <w:rPr>
          <w:rFonts w:ascii="Arial" w:hAnsi="Arial" w:cs="Arial"/>
          <w:sz w:val="24"/>
        </w:rPr>
        <w:t xml:space="preserve"> 20</w:t>
      </w:r>
      <w:r w:rsidR="00A36612" w:rsidRPr="00DC4987">
        <w:rPr>
          <w:rFonts w:ascii="Arial" w:hAnsi="Arial" w:cs="Arial"/>
          <w:sz w:val="24"/>
        </w:rPr>
        <w:t>12</w:t>
      </w:r>
      <w:r w:rsidR="0059018E" w:rsidRPr="00DC4987">
        <w:rPr>
          <w:rFonts w:ascii="Arial" w:hAnsi="Arial" w:cs="Arial"/>
          <w:sz w:val="24"/>
        </w:rPr>
        <w:t xml:space="preserve"> ; ce service </w:t>
      </w:r>
      <w:r w:rsidR="00881414" w:rsidRPr="00DC4987">
        <w:rPr>
          <w:rFonts w:ascii="Arial" w:hAnsi="Arial" w:cs="Arial"/>
          <w:sz w:val="24"/>
        </w:rPr>
        <w:t xml:space="preserve">n’est pas encore </w:t>
      </w:r>
      <w:r w:rsidR="0059018E" w:rsidRPr="00DC4987">
        <w:rPr>
          <w:rFonts w:ascii="Arial" w:hAnsi="Arial" w:cs="Arial"/>
          <w:sz w:val="24"/>
        </w:rPr>
        <w:t>fonctionnel</w:t>
      </w:r>
      <w:r w:rsidR="00881414" w:rsidRPr="00DC4987">
        <w:rPr>
          <w:rFonts w:ascii="Arial" w:hAnsi="Arial" w:cs="Arial"/>
          <w:sz w:val="24"/>
        </w:rPr>
        <w:t>mais les dispositions sont en cours pour le redynamiser.</w:t>
      </w:r>
    </w:p>
    <w:p w:rsidR="00924211" w:rsidRPr="00AE360E" w:rsidRDefault="00A01930" w:rsidP="00AE360E">
      <w:pPr>
        <w:spacing w:after="0"/>
        <w:ind w:right="115"/>
        <w:jc w:val="both"/>
        <w:rPr>
          <w:rFonts w:ascii="Arial" w:hAnsi="Arial" w:cs="Arial"/>
          <w:sz w:val="24"/>
          <w:szCs w:val="24"/>
        </w:rPr>
      </w:pPr>
      <w:r w:rsidRPr="00AE360E">
        <w:rPr>
          <w:rFonts w:ascii="Arial" w:hAnsi="Arial" w:cs="Arial"/>
        </w:rPr>
        <w:t>Au niveau Central, il existe un</w:t>
      </w:r>
      <w:r w:rsidRPr="00AE360E">
        <w:rPr>
          <w:rFonts w:ascii="Arial" w:hAnsi="Arial" w:cs="Arial"/>
          <w:sz w:val="24"/>
          <w:szCs w:val="24"/>
        </w:rPr>
        <w:t xml:space="preserve"> Comité National de gestion des MAPI</w:t>
      </w:r>
      <w:r w:rsidR="00F36F59" w:rsidRPr="00AE360E">
        <w:rPr>
          <w:rFonts w:ascii="Arial" w:hAnsi="Arial" w:cs="Arial"/>
          <w:sz w:val="24"/>
          <w:szCs w:val="24"/>
        </w:rPr>
        <w:t xml:space="preserve">. </w:t>
      </w:r>
      <w:r w:rsidR="005E6766" w:rsidRPr="00AE360E">
        <w:rPr>
          <w:rFonts w:ascii="Arial" w:hAnsi="Arial" w:cs="Arial"/>
          <w:sz w:val="24"/>
          <w:szCs w:val="24"/>
        </w:rPr>
        <w:t xml:space="preserve">Le comité a pour mission de contribuer  à :  </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Participer à l’élaboration</w:t>
      </w:r>
      <w:r w:rsidR="005E6766" w:rsidRPr="00DC4987">
        <w:rPr>
          <w:rFonts w:ascii="Arial" w:hAnsi="Arial" w:cs="Arial"/>
          <w:sz w:val="24"/>
        </w:rPr>
        <w:t xml:space="preserve">/adaptation </w:t>
      </w:r>
      <w:r w:rsidRPr="00DC4987">
        <w:rPr>
          <w:rFonts w:ascii="Arial" w:hAnsi="Arial" w:cs="Arial"/>
          <w:sz w:val="24"/>
        </w:rPr>
        <w:t>des documents et outils de surveillance des MAPI ; </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Assurer le monitoring de la surveillance MAPI (détection, notification, prise en charge,  investigation) au niveau national en collaboration avec les différents points focaux des hôpitaux et les équipes à tous les niveaux) ;</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Organiser et faciliter l’investigation et la prise en charge des cas suspects de MAPI graves en collaboration avec les experts concernés ;</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Organiser et faciliter le transport des échantillons biologiques des cas suspects de MAPI graves des hôpitaux vers le laboratoire national de référence;</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Organiser les réunions / contacts des membres du comité d’experts pour l’investigation et l’évaluation  des cas de MAPI graves ;</w:t>
      </w:r>
    </w:p>
    <w:p w:rsidR="00924211" w:rsidRPr="00DC4987" w:rsidRDefault="00924211" w:rsidP="00AE360E">
      <w:pPr>
        <w:numPr>
          <w:ilvl w:val="0"/>
          <w:numId w:val="25"/>
        </w:numPr>
        <w:spacing w:before="60" w:after="0"/>
        <w:jc w:val="both"/>
        <w:rPr>
          <w:rFonts w:ascii="Arial" w:hAnsi="Arial" w:cs="Arial"/>
          <w:sz w:val="24"/>
        </w:rPr>
      </w:pPr>
      <w:r w:rsidRPr="00DC4987">
        <w:rPr>
          <w:rFonts w:ascii="Arial" w:hAnsi="Arial" w:cs="Arial"/>
          <w:sz w:val="24"/>
        </w:rPr>
        <w:t>Assurer le secrétariat du comité national d’experts MAPI, incluant la proposition d’un agenda des réunions et la rédaction du compte - rendu des réunions ;</w:t>
      </w:r>
    </w:p>
    <w:p w:rsidR="00924211" w:rsidRPr="00DC4987" w:rsidRDefault="00924211" w:rsidP="00AE360E">
      <w:pPr>
        <w:numPr>
          <w:ilvl w:val="0"/>
          <w:numId w:val="25"/>
        </w:numPr>
        <w:spacing w:after="0"/>
        <w:jc w:val="both"/>
        <w:rPr>
          <w:rFonts w:ascii="Arial" w:hAnsi="Arial" w:cs="Arial"/>
          <w:sz w:val="24"/>
        </w:rPr>
      </w:pPr>
      <w:r w:rsidRPr="00DC4987">
        <w:rPr>
          <w:rFonts w:ascii="Arial" w:hAnsi="Arial" w:cs="Arial"/>
          <w:sz w:val="24"/>
        </w:rPr>
        <w:t>Constituer l’interlocuteur des points focaux des hôpitaux, du comité d’experts et des partenaires (OMS, AMP,…) pour les MAPI.</w:t>
      </w:r>
    </w:p>
    <w:p w:rsidR="00924211" w:rsidRPr="00DC4987" w:rsidRDefault="00924211" w:rsidP="00AE360E">
      <w:pPr>
        <w:numPr>
          <w:ilvl w:val="0"/>
          <w:numId w:val="25"/>
        </w:numPr>
        <w:spacing w:before="60" w:after="0"/>
        <w:jc w:val="both"/>
        <w:rPr>
          <w:rFonts w:ascii="Arial" w:hAnsi="Arial" w:cs="Arial"/>
          <w:sz w:val="24"/>
        </w:rPr>
      </w:pPr>
      <w:r w:rsidRPr="00DC4987">
        <w:rPr>
          <w:rFonts w:ascii="Arial" w:hAnsi="Arial" w:cs="Arial"/>
          <w:sz w:val="24"/>
        </w:rPr>
        <w:t xml:space="preserve">Statuer sur les cas graves et déterminer les besoins d’analyses complémentaires au laboratoire </w:t>
      </w:r>
      <w:r w:rsidR="0066619A" w:rsidRPr="00DC4987">
        <w:rPr>
          <w:rFonts w:ascii="Arial" w:hAnsi="Arial" w:cs="Arial"/>
          <w:sz w:val="24"/>
        </w:rPr>
        <w:t xml:space="preserve">national </w:t>
      </w:r>
      <w:r w:rsidRPr="00DC4987">
        <w:rPr>
          <w:rFonts w:ascii="Arial" w:hAnsi="Arial" w:cs="Arial"/>
          <w:sz w:val="24"/>
        </w:rPr>
        <w:t>et/ou laboratoire international ;</w:t>
      </w:r>
    </w:p>
    <w:p w:rsidR="00924211" w:rsidRPr="00DC4987" w:rsidRDefault="00924211" w:rsidP="00AE360E">
      <w:pPr>
        <w:numPr>
          <w:ilvl w:val="0"/>
          <w:numId w:val="25"/>
        </w:numPr>
        <w:spacing w:before="60" w:after="0"/>
        <w:jc w:val="both"/>
        <w:rPr>
          <w:rFonts w:ascii="Arial" w:hAnsi="Arial" w:cs="Arial"/>
          <w:sz w:val="24"/>
        </w:rPr>
      </w:pPr>
      <w:r w:rsidRPr="00DC4987">
        <w:rPr>
          <w:rFonts w:ascii="Arial" w:hAnsi="Arial" w:cs="Arial"/>
          <w:sz w:val="24"/>
        </w:rPr>
        <w:lastRenderedPageBreak/>
        <w:t xml:space="preserve">Faire la classification finale des cas de MAPI ; </w:t>
      </w:r>
    </w:p>
    <w:p w:rsidR="00924211" w:rsidRPr="00DC4987" w:rsidRDefault="00924211" w:rsidP="00AE360E">
      <w:pPr>
        <w:numPr>
          <w:ilvl w:val="0"/>
          <w:numId w:val="25"/>
        </w:numPr>
        <w:spacing w:before="60" w:after="0"/>
        <w:jc w:val="both"/>
        <w:rPr>
          <w:rFonts w:ascii="Arial" w:hAnsi="Arial" w:cs="Arial"/>
          <w:sz w:val="24"/>
        </w:rPr>
      </w:pPr>
      <w:r w:rsidRPr="00DC4987">
        <w:rPr>
          <w:rFonts w:ascii="Arial" w:hAnsi="Arial" w:cs="Arial"/>
          <w:sz w:val="24"/>
        </w:rPr>
        <w:t>Rédiger le rapport final de la surveillance des MAPI ;</w:t>
      </w:r>
    </w:p>
    <w:p w:rsidR="00924211" w:rsidRPr="00DC4987" w:rsidRDefault="00924211" w:rsidP="00AE360E">
      <w:pPr>
        <w:numPr>
          <w:ilvl w:val="0"/>
          <w:numId w:val="25"/>
        </w:numPr>
        <w:spacing w:before="60" w:after="0"/>
        <w:jc w:val="both"/>
        <w:rPr>
          <w:rFonts w:ascii="Arial" w:hAnsi="Arial" w:cs="Arial"/>
          <w:sz w:val="24"/>
        </w:rPr>
      </w:pPr>
      <w:r w:rsidRPr="00DC4987">
        <w:rPr>
          <w:rFonts w:ascii="Arial" w:hAnsi="Arial" w:cs="Arial"/>
          <w:sz w:val="24"/>
        </w:rPr>
        <w:t>Restituer le rapport de la surveillance au Ministre de la santé.</w:t>
      </w:r>
    </w:p>
    <w:p w:rsidR="00780B77" w:rsidRPr="00DC4987" w:rsidRDefault="00F36F59" w:rsidP="00AE360E">
      <w:pPr>
        <w:pStyle w:val="Paragraphedeliste"/>
        <w:numPr>
          <w:ilvl w:val="0"/>
          <w:numId w:val="25"/>
        </w:numPr>
        <w:spacing w:after="0"/>
        <w:ind w:right="115"/>
        <w:jc w:val="both"/>
        <w:rPr>
          <w:rFonts w:ascii="Arial" w:hAnsi="Arial" w:cs="Arial"/>
          <w:bCs/>
          <w:color w:val="00B0F0"/>
          <w:sz w:val="24"/>
        </w:rPr>
      </w:pPr>
      <w:r w:rsidRPr="00DC4987">
        <w:rPr>
          <w:rFonts w:ascii="Arial" w:eastAsia="SimSun" w:hAnsi="Arial" w:cs="Arial"/>
          <w:sz w:val="24"/>
        </w:rPr>
        <w:t>I</w:t>
      </w:r>
      <w:r w:rsidR="00780B77" w:rsidRPr="00DC4987">
        <w:rPr>
          <w:rFonts w:ascii="Arial" w:eastAsia="SimSun" w:hAnsi="Arial" w:cs="Arial"/>
          <w:sz w:val="24"/>
        </w:rPr>
        <w:t xml:space="preserve">l faut </w:t>
      </w:r>
      <w:r w:rsidR="00780B77" w:rsidRPr="00DC4987">
        <w:rPr>
          <w:rFonts w:ascii="Arial" w:eastAsia="SimSun" w:hAnsi="Arial" w:cs="Arial"/>
          <w:color w:val="000000" w:themeColor="text1"/>
          <w:sz w:val="24"/>
        </w:rPr>
        <w:t xml:space="preserve">reconnaitre </w:t>
      </w:r>
      <w:r w:rsidRPr="00DC4987">
        <w:rPr>
          <w:rFonts w:ascii="Arial" w:eastAsia="SimSun" w:hAnsi="Arial" w:cs="Arial"/>
          <w:color w:val="000000" w:themeColor="text1"/>
          <w:sz w:val="24"/>
        </w:rPr>
        <w:t>que ces missions dévolues au comité de gestion n’ont été opérationnell</w:t>
      </w:r>
      <w:r w:rsidR="00351399" w:rsidRPr="00DC4987">
        <w:rPr>
          <w:rFonts w:ascii="Arial" w:eastAsia="SimSun" w:hAnsi="Arial" w:cs="Arial"/>
          <w:color w:val="000000" w:themeColor="text1"/>
          <w:sz w:val="24"/>
        </w:rPr>
        <w:t xml:space="preserve">es que pour la campagne </w:t>
      </w:r>
      <w:r w:rsidR="00F15E42" w:rsidRPr="00DC4987">
        <w:rPr>
          <w:rFonts w:ascii="Arial" w:eastAsia="SimSun" w:hAnsi="Arial" w:cs="Arial"/>
          <w:color w:val="000000" w:themeColor="text1"/>
          <w:sz w:val="24"/>
        </w:rPr>
        <w:t>MenAfrivac</w:t>
      </w:r>
      <w:r w:rsidRPr="00DC4987">
        <w:rPr>
          <w:rFonts w:ascii="Arial" w:eastAsia="SimSun" w:hAnsi="Arial" w:cs="Arial"/>
          <w:color w:val="000000" w:themeColor="text1"/>
          <w:sz w:val="24"/>
        </w:rPr>
        <w:t xml:space="preserve"> et campagne anti rougeoleuse</w:t>
      </w:r>
      <w:r w:rsidRPr="00DC4987">
        <w:rPr>
          <w:rFonts w:ascii="Arial" w:hAnsi="Arial" w:cs="Arial"/>
          <w:bCs/>
          <w:color w:val="00B0F0"/>
          <w:sz w:val="24"/>
        </w:rPr>
        <w:t>.</w:t>
      </w:r>
    </w:p>
    <w:p w:rsidR="00290CD5" w:rsidRPr="00AE360E" w:rsidRDefault="00290CD5" w:rsidP="00AE360E">
      <w:pPr>
        <w:pStyle w:val="Paragraphedeliste"/>
        <w:spacing w:after="0"/>
        <w:ind w:right="115"/>
        <w:jc w:val="both"/>
        <w:rPr>
          <w:rFonts w:ascii="Arial" w:hAnsi="Arial" w:cs="Arial"/>
          <w:bCs/>
          <w:color w:val="00B0F0"/>
        </w:rPr>
      </w:pPr>
    </w:p>
    <w:p w:rsidR="00FA248D" w:rsidRPr="00AE360E" w:rsidRDefault="001213DB" w:rsidP="00AE360E">
      <w:pPr>
        <w:pStyle w:val="Paragraphedeliste"/>
        <w:numPr>
          <w:ilvl w:val="0"/>
          <w:numId w:val="33"/>
        </w:numPr>
        <w:jc w:val="both"/>
        <w:rPr>
          <w:rFonts w:ascii="Arial" w:hAnsi="Arial" w:cs="Arial"/>
        </w:rPr>
      </w:pPr>
      <w:r w:rsidRPr="00AE360E">
        <w:rPr>
          <w:rFonts w:ascii="Arial" w:hAnsi="Arial" w:cs="Arial"/>
          <w:b/>
          <w:sz w:val="24"/>
          <w:szCs w:val="24"/>
          <w:u w:val="single"/>
        </w:rPr>
        <w:t>P</w:t>
      </w:r>
      <w:r w:rsidR="00FA248D" w:rsidRPr="00AE360E">
        <w:rPr>
          <w:rFonts w:ascii="Arial" w:hAnsi="Arial" w:cs="Arial"/>
          <w:b/>
          <w:sz w:val="24"/>
          <w:szCs w:val="24"/>
          <w:u w:val="single"/>
        </w:rPr>
        <w:t>rocessus et les procédures de suivi des manifestations, ré</w:t>
      </w:r>
      <w:r w:rsidR="00E95C2A" w:rsidRPr="00AE360E">
        <w:rPr>
          <w:rFonts w:ascii="Arial" w:hAnsi="Arial" w:cs="Arial"/>
          <w:b/>
          <w:sz w:val="24"/>
          <w:szCs w:val="24"/>
          <w:u w:val="single"/>
        </w:rPr>
        <w:t>gional/provincial et national</w:t>
      </w:r>
      <w:r w:rsidR="00E95C2A" w:rsidRPr="00AE360E">
        <w:rPr>
          <w:rFonts w:ascii="Arial" w:hAnsi="Arial" w:cs="Arial"/>
        </w:rPr>
        <w:t> :</w:t>
      </w:r>
    </w:p>
    <w:p w:rsidR="00E95C2A" w:rsidRPr="00DC4987" w:rsidRDefault="00E95C2A" w:rsidP="00AE360E">
      <w:pPr>
        <w:jc w:val="both"/>
        <w:rPr>
          <w:rFonts w:ascii="Arial" w:hAnsi="Arial" w:cs="Arial"/>
          <w:sz w:val="24"/>
        </w:rPr>
      </w:pPr>
      <w:r w:rsidRPr="00DC4987">
        <w:rPr>
          <w:rFonts w:ascii="Arial" w:hAnsi="Arial" w:cs="Arial"/>
          <w:sz w:val="24"/>
        </w:rPr>
        <w:t xml:space="preserve">La surveillance des MAPIS liées au VPI va suivre </w:t>
      </w:r>
      <w:r w:rsidR="009E039E" w:rsidRPr="00DC4987">
        <w:rPr>
          <w:rFonts w:ascii="Arial" w:hAnsi="Arial" w:cs="Arial"/>
          <w:sz w:val="24"/>
        </w:rPr>
        <w:t>les mêmes procédures</w:t>
      </w:r>
      <w:r w:rsidRPr="00DC4987">
        <w:rPr>
          <w:rFonts w:ascii="Arial" w:hAnsi="Arial" w:cs="Arial"/>
          <w:sz w:val="24"/>
        </w:rPr>
        <w:t xml:space="preserve"> que celles des autres vaccins du PEV de routine.</w:t>
      </w:r>
      <w:r w:rsidR="009E039E" w:rsidRPr="00DC4987">
        <w:rPr>
          <w:rFonts w:ascii="Arial" w:hAnsi="Arial" w:cs="Arial"/>
          <w:sz w:val="24"/>
        </w:rPr>
        <w:t xml:space="preserve"> Elle va utiliser les mêmes </w:t>
      </w:r>
      <w:r w:rsidR="00CB210F" w:rsidRPr="00DC4987">
        <w:rPr>
          <w:rFonts w:ascii="Arial" w:hAnsi="Arial" w:cs="Arial"/>
          <w:sz w:val="24"/>
        </w:rPr>
        <w:t>supports,</w:t>
      </w:r>
      <w:r w:rsidR="009E039E" w:rsidRPr="00DC4987">
        <w:rPr>
          <w:rFonts w:ascii="Arial" w:hAnsi="Arial" w:cs="Arial"/>
          <w:sz w:val="24"/>
        </w:rPr>
        <w:t xml:space="preserve"> ressources et canaux de notification des vaccins de routine.</w:t>
      </w:r>
    </w:p>
    <w:p w:rsidR="00780B77" w:rsidRPr="00DC4987" w:rsidRDefault="00780B77" w:rsidP="00AE360E">
      <w:pPr>
        <w:jc w:val="both"/>
        <w:rPr>
          <w:rFonts w:ascii="Arial" w:hAnsi="Arial" w:cs="Arial"/>
          <w:sz w:val="24"/>
        </w:rPr>
      </w:pPr>
      <w:r w:rsidRPr="00DC4987">
        <w:rPr>
          <w:rFonts w:ascii="Arial" w:hAnsi="Arial" w:cs="Arial"/>
          <w:sz w:val="24"/>
        </w:rPr>
        <w:t xml:space="preserve">La surveillance des MAPI au niveau opérationnel </w:t>
      </w:r>
      <w:r w:rsidR="001213DB" w:rsidRPr="00DC4987">
        <w:rPr>
          <w:rFonts w:ascii="Arial" w:hAnsi="Arial" w:cs="Arial"/>
          <w:sz w:val="24"/>
        </w:rPr>
        <w:t xml:space="preserve">est </w:t>
      </w:r>
      <w:r w:rsidRPr="00DC4987">
        <w:rPr>
          <w:rFonts w:ascii="Arial" w:hAnsi="Arial" w:cs="Arial"/>
          <w:sz w:val="24"/>
        </w:rPr>
        <w:t>assurée par les agents des centres de santé et les points focaux chargés de la surveillance épidémiologique  qui sont disponibles  à raison de 2 à 3 District.</w:t>
      </w:r>
    </w:p>
    <w:p w:rsidR="00881414" w:rsidRPr="00DC4987" w:rsidRDefault="00780B77" w:rsidP="00AE360E">
      <w:pPr>
        <w:jc w:val="both"/>
        <w:rPr>
          <w:rFonts w:ascii="Arial" w:hAnsi="Arial" w:cs="Arial"/>
          <w:sz w:val="24"/>
        </w:rPr>
      </w:pPr>
      <w:r w:rsidRPr="00DC4987">
        <w:rPr>
          <w:rFonts w:ascii="Arial" w:hAnsi="Arial" w:cs="Arial"/>
          <w:sz w:val="24"/>
        </w:rPr>
        <w:t xml:space="preserve">Les ECDR, ECD et des RCS  ont déjà bénéficié de </w:t>
      </w:r>
      <w:r w:rsidR="00200E1A" w:rsidRPr="00DC4987">
        <w:rPr>
          <w:rFonts w:ascii="Arial" w:hAnsi="Arial" w:cs="Arial"/>
          <w:sz w:val="24"/>
        </w:rPr>
        <w:t>formation,</w:t>
      </w:r>
      <w:r w:rsidRPr="00DC4987">
        <w:rPr>
          <w:rFonts w:ascii="Arial" w:hAnsi="Arial" w:cs="Arial"/>
          <w:sz w:val="24"/>
        </w:rPr>
        <w:t xml:space="preserve"> pendant les campagnes de vaccination</w:t>
      </w:r>
      <w:r w:rsidR="00200E1A" w:rsidRPr="00DC4987">
        <w:rPr>
          <w:rFonts w:ascii="Arial" w:hAnsi="Arial" w:cs="Arial"/>
          <w:sz w:val="24"/>
        </w:rPr>
        <w:t>, sur les procédures d</w:t>
      </w:r>
      <w:r w:rsidRPr="00DC4987">
        <w:rPr>
          <w:rFonts w:ascii="Arial" w:hAnsi="Arial" w:cs="Arial"/>
          <w:sz w:val="24"/>
        </w:rPr>
        <w:t>e notification et d’investigation</w:t>
      </w:r>
      <w:r w:rsidR="00202702" w:rsidRPr="00DC4987">
        <w:rPr>
          <w:rFonts w:ascii="Arial" w:hAnsi="Arial" w:cs="Arial"/>
          <w:sz w:val="24"/>
        </w:rPr>
        <w:t xml:space="preserve"> des MAPI.</w:t>
      </w:r>
    </w:p>
    <w:p w:rsidR="00D131BB" w:rsidRPr="00DB35D0" w:rsidRDefault="00D131BB" w:rsidP="00AE360E">
      <w:pPr>
        <w:pStyle w:val="Style2"/>
        <w:spacing w:line="276" w:lineRule="auto"/>
        <w:jc w:val="both"/>
        <w:rPr>
          <w:rFonts w:ascii="Arial" w:eastAsia="SimSun" w:hAnsi="Arial" w:cs="Arial"/>
          <w:sz w:val="32"/>
          <w:lang w:val="fr-FR"/>
        </w:rPr>
      </w:pPr>
      <w:bookmarkStart w:id="22" w:name="_Toc397522428"/>
      <w:r w:rsidRPr="00DB35D0">
        <w:rPr>
          <w:rFonts w:ascii="Arial" w:eastAsia="SimSun" w:hAnsi="Arial" w:cs="Arial"/>
          <w:color w:val="auto"/>
          <w:sz w:val="32"/>
          <w:lang w:val="fr-FR"/>
        </w:rPr>
        <w:t>Plaidoyer, communication et mobilisation sociale</w:t>
      </w:r>
      <w:r w:rsidR="00091513" w:rsidRPr="00DB35D0">
        <w:rPr>
          <w:rFonts w:ascii="Arial" w:eastAsia="SimSun" w:hAnsi="Arial" w:cs="Arial"/>
          <w:sz w:val="32"/>
          <w:lang w:val="fr-FR"/>
        </w:rPr>
        <w:t>.</w:t>
      </w:r>
      <w:bookmarkEnd w:id="22"/>
    </w:p>
    <w:p w:rsidR="00091513" w:rsidRPr="00AE360E" w:rsidRDefault="00091513" w:rsidP="00AE360E">
      <w:pPr>
        <w:pStyle w:val="Style3"/>
        <w:spacing w:line="276" w:lineRule="auto"/>
        <w:jc w:val="both"/>
        <w:rPr>
          <w:rFonts w:ascii="Arial" w:hAnsi="Arial" w:cs="Arial"/>
          <w:color w:val="auto"/>
          <w:lang w:val="fr-FR"/>
        </w:rPr>
      </w:pPr>
      <w:bookmarkStart w:id="23" w:name="_Toc397522429"/>
      <w:r w:rsidRPr="00AE360E">
        <w:rPr>
          <w:rFonts w:ascii="Arial" w:hAnsi="Arial" w:cs="Arial"/>
          <w:color w:val="auto"/>
          <w:lang w:val="fr-FR"/>
        </w:rPr>
        <w:t>Mesures destinées à sensibiliser les dirigeants politiques/ leaders d’opinion</w:t>
      </w:r>
      <w:bookmarkEnd w:id="23"/>
    </w:p>
    <w:p w:rsidR="00091513" w:rsidRPr="00AE360E" w:rsidRDefault="00091513" w:rsidP="00AE360E">
      <w:pPr>
        <w:pStyle w:val="Sansinterligne1"/>
        <w:spacing w:line="276" w:lineRule="auto"/>
        <w:jc w:val="both"/>
        <w:rPr>
          <w:rFonts w:ascii="Arial" w:hAnsi="Arial" w:cs="Arial"/>
        </w:rPr>
      </w:pPr>
      <w:r w:rsidRPr="00AE360E">
        <w:rPr>
          <w:rFonts w:ascii="Arial" w:hAnsi="Arial" w:cs="Arial"/>
        </w:rPr>
        <w:t>Un plaidoyer sera développé à l’endroit des autorités administratives, des leaders d’opinion locaux, des responsables d’associations professionnelles de la santé (ordre des médecins, des sages-femmes et paramédicaux, etc.) ainsi que les inspecteurs et instituteurs en milieu scolaire, autres associations dans les districts à travers leurs démembrements pour susciter leur engagement en faveur du PEV de routine et autour du plan stratégique de la phase finale de l’éradication de la polio. A cet effet, des supports de communication intégrant l’introduction du VPI dans le PEV de routine,  des kits de plaidoyer et de media seront produits et distribués</w:t>
      </w:r>
      <w:r w:rsidRPr="00AE360E">
        <w:rPr>
          <w:rFonts w:ascii="Arial" w:hAnsi="Arial" w:cs="Arial"/>
          <w:sz w:val="24"/>
          <w:szCs w:val="24"/>
        </w:rPr>
        <w:t>.</w:t>
      </w:r>
    </w:p>
    <w:p w:rsidR="00091513" w:rsidRPr="00AE360E" w:rsidRDefault="00091513" w:rsidP="00AE360E">
      <w:pPr>
        <w:pStyle w:val="Style3"/>
        <w:spacing w:line="276" w:lineRule="auto"/>
        <w:jc w:val="both"/>
        <w:rPr>
          <w:rFonts w:ascii="Arial" w:hAnsi="Arial" w:cs="Arial"/>
          <w:color w:val="auto"/>
          <w:lang w:val="fr-FR"/>
        </w:rPr>
      </w:pPr>
      <w:bookmarkStart w:id="24" w:name="_Toc397522430"/>
      <w:r w:rsidRPr="00AE360E">
        <w:rPr>
          <w:rFonts w:ascii="Arial" w:hAnsi="Arial" w:cs="Arial"/>
          <w:color w:val="auto"/>
          <w:lang w:val="fr-FR"/>
        </w:rPr>
        <w:t>Processus d’élaboration stratégie de communication pour l’introduction du VPI</w:t>
      </w:r>
      <w:bookmarkEnd w:id="24"/>
    </w:p>
    <w:p w:rsidR="00091513" w:rsidRPr="003947AC" w:rsidRDefault="00091513" w:rsidP="000352AB">
      <w:pPr>
        <w:spacing w:before="120"/>
        <w:jc w:val="both"/>
        <w:rPr>
          <w:rFonts w:ascii="Arial" w:hAnsi="Arial" w:cs="Arial"/>
          <w:color w:val="000000"/>
          <w:sz w:val="24"/>
        </w:rPr>
      </w:pPr>
      <w:r w:rsidRPr="003947AC">
        <w:rPr>
          <w:rFonts w:ascii="Arial" w:hAnsi="Arial" w:cs="Arial"/>
          <w:color w:val="000000"/>
          <w:sz w:val="24"/>
        </w:rPr>
        <w:t xml:space="preserve">L’introduction du vaccin poliovirus inactive (VPI) donne l’opportunité  de promouvoir la vaccination de routine. En termes de communication, la stratégie pour l’introduction de VPI  sera intégrée dans la stratégie plus globale de promotion de la vaccination de routine suivant comme guide le PEV Plan of Action (POA). Cette approche signale une transition de la « logique de campagne », avec l’accent sur la stratégie porte-à-porte, ou on « pousse » vers la communauté, à une logique de communication pour le PEV, ou on essaie de « tirer » la communauté vers les </w:t>
      </w:r>
      <w:r w:rsidRPr="003947AC">
        <w:rPr>
          <w:rFonts w:ascii="Arial" w:hAnsi="Arial" w:cs="Arial"/>
          <w:color w:val="000000"/>
          <w:sz w:val="24"/>
        </w:rPr>
        <w:lastRenderedPageBreak/>
        <w:t xml:space="preserve">services de santé.  Autrement dit, il sera nécessaire de faire la transition de « Polio au-delà en dehors du PEV » au  « Polio </w:t>
      </w:r>
      <w:r w:rsidRPr="003947AC">
        <w:rPr>
          <w:rFonts w:ascii="Arial" w:hAnsi="Arial" w:cs="Arial"/>
          <w:i/>
          <w:color w:val="000000"/>
          <w:sz w:val="24"/>
        </w:rPr>
        <w:t>dans</w:t>
      </w:r>
      <w:r w:rsidRPr="003947AC">
        <w:rPr>
          <w:rFonts w:ascii="Arial" w:hAnsi="Arial" w:cs="Arial"/>
          <w:color w:val="000000"/>
          <w:sz w:val="24"/>
        </w:rPr>
        <w:t xml:space="preserve"> le PEV, » avec le VPO et VPI en promotion au même titre que les autres antigènes. </w:t>
      </w:r>
    </w:p>
    <w:p w:rsidR="00091513" w:rsidRPr="00AE360E" w:rsidRDefault="00091513" w:rsidP="00AE360E">
      <w:pPr>
        <w:pStyle w:val="Style3"/>
        <w:spacing w:line="276" w:lineRule="auto"/>
        <w:jc w:val="both"/>
        <w:rPr>
          <w:rFonts w:ascii="Arial" w:hAnsi="Arial" w:cs="Arial"/>
          <w:color w:val="auto"/>
          <w:lang w:val="fr-FR"/>
        </w:rPr>
      </w:pPr>
      <w:bookmarkStart w:id="25" w:name="_Toc397522431"/>
      <w:r w:rsidRPr="00AE360E">
        <w:rPr>
          <w:rFonts w:ascii="Arial" w:hAnsi="Arial" w:cs="Arial"/>
          <w:color w:val="auto"/>
          <w:lang w:val="fr-FR"/>
        </w:rPr>
        <w:t>Processus d’élaboration des matériels de communication</w:t>
      </w:r>
      <w:bookmarkEnd w:id="25"/>
    </w:p>
    <w:p w:rsidR="00091513" w:rsidRPr="003947AC" w:rsidRDefault="00091513" w:rsidP="000352AB">
      <w:pPr>
        <w:spacing w:before="120"/>
        <w:jc w:val="both"/>
        <w:rPr>
          <w:rFonts w:ascii="Arial" w:hAnsi="Arial" w:cs="Arial"/>
          <w:color w:val="000000"/>
          <w:sz w:val="24"/>
        </w:rPr>
      </w:pPr>
      <w:r w:rsidRPr="003947AC">
        <w:rPr>
          <w:rFonts w:ascii="Arial" w:hAnsi="Arial" w:cs="Arial"/>
          <w:color w:val="000000"/>
          <w:sz w:val="24"/>
        </w:rPr>
        <w:t xml:space="preserve">Pour l’introduction du VPI, le calendrier vaccinal sera  modifié dans les supports de communication qui sont orienté vers les publics principaux 1) la communauté, 2) les agents de santé, et 3) les leaders politiques, administratives et d’opinion. </w:t>
      </w:r>
    </w:p>
    <w:p w:rsidR="00091513" w:rsidRPr="003947AC" w:rsidRDefault="00091513" w:rsidP="00AE360E">
      <w:pPr>
        <w:pStyle w:val="Sansinterligne1"/>
        <w:spacing w:line="276" w:lineRule="auto"/>
        <w:jc w:val="both"/>
        <w:rPr>
          <w:rFonts w:ascii="Arial" w:hAnsi="Arial" w:cs="Arial"/>
          <w:sz w:val="24"/>
        </w:rPr>
      </w:pPr>
      <w:r w:rsidRPr="003947AC">
        <w:rPr>
          <w:rFonts w:ascii="Arial" w:hAnsi="Arial" w:cs="Arial"/>
          <w:sz w:val="24"/>
        </w:rPr>
        <w:t>Un atelier de conception regroupant les acteurs à tous les niveaux sera organisé pour :</w:t>
      </w:r>
    </w:p>
    <w:p w:rsidR="00091513" w:rsidRPr="003947AC" w:rsidRDefault="00091513" w:rsidP="00AE360E">
      <w:pPr>
        <w:pStyle w:val="Sansinterligne1"/>
        <w:widowControl w:val="0"/>
        <w:numPr>
          <w:ilvl w:val="0"/>
          <w:numId w:val="26"/>
        </w:numPr>
        <w:adjustRightInd w:val="0"/>
        <w:spacing w:line="276" w:lineRule="auto"/>
        <w:jc w:val="both"/>
        <w:textAlignment w:val="baseline"/>
        <w:rPr>
          <w:rFonts w:ascii="Arial" w:hAnsi="Arial" w:cs="Arial"/>
          <w:sz w:val="24"/>
        </w:rPr>
      </w:pPr>
      <w:r w:rsidRPr="003947AC">
        <w:rPr>
          <w:rFonts w:ascii="Arial" w:hAnsi="Arial" w:cs="Arial"/>
          <w:sz w:val="24"/>
        </w:rPr>
        <w:t>Valider les types de supports et messages et les quantités</w:t>
      </w:r>
    </w:p>
    <w:p w:rsidR="00091513" w:rsidRPr="003947AC" w:rsidRDefault="00091513" w:rsidP="00AE360E">
      <w:pPr>
        <w:pStyle w:val="Sansinterligne1"/>
        <w:widowControl w:val="0"/>
        <w:numPr>
          <w:ilvl w:val="0"/>
          <w:numId w:val="26"/>
        </w:numPr>
        <w:adjustRightInd w:val="0"/>
        <w:spacing w:line="276" w:lineRule="auto"/>
        <w:jc w:val="both"/>
        <w:textAlignment w:val="baseline"/>
        <w:rPr>
          <w:rFonts w:ascii="Arial" w:hAnsi="Arial" w:cs="Arial"/>
          <w:sz w:val="24"/>
        </w:rPr>
      </w:pPr>
      <w:r w:rsidRPr="003947AC">
        <w:rPr>
          <w:rFonts w:ascii="Arial" w:hAnsi="Arial" w:cs="Arial"/>
          <w:sz w:val="24"/>
        </w:rPr>
        <w:t xml:space="preserve">Proposer et valider le contenu de chaque support (texte, images, couleurs) </w:t>
      </w:r>
    </w:p>
    <w:p w:rsidR="00091513" w:rsidRPr="003947AC" w:rsidRDefault="00091513" w:rsidP="00AE360E">
      <w:pPr>
        <w:pStyle w:val="Sansinterligne1"/>
        <w:widowControl w:val="0"/>
        <w:numPr>
          <w:ilvl w:val="0"/>
          <w:numId w:val="26"/>
        </w:numPr>
        <w:adjustRightInd w:val="0"/>
        <w:spacing w:line="276" w:lineRule="auto"/>
        <w:jc w:val="both"/>
        <w:textAlignment w:val="baseline"/>
        <w:rPr>
          <w:rFonts w:ascii="Arial" w:hAnsi="Arial" w:cs="Arial"/>
          <w:sz w:val="24"/>
        </w:rPr>
      </w:pPr>
      <w:r w:rsidRPr="003947AC">
        <w:rPr>
          <w:rFonts w:ascii="Arial" w:hAnsi="Arial" w:cs="Arial"/>
          <w:sz w:val="24"/>
        </w:rPr>
        <w:t>Planifier un pré test des outils auprès des cibles (populations et prestataires)</w:t>
      </w:r>
    </w:p>
    <w:p w:rsidR="00091513" w:rsidRPr="003947AC" w:rsidRDefault="00091513" w:rsidP="00AE360E">
      <w:pPr>
        <w:pStyle w:val="Sansinterligne1"/>
        <w:widowControl w:val="0"/>
        <w:numPr>
          <w:ilvl w:val="0"/>
          <w:numId w:val="26"/>
        </w:numPr>
        <w:adjustRightInd w:val="0"/>
        <w:spacing w:line="276" w:lineRule="auto"/>
        <w:jc w:val="both"/>
        <w:textAlignment w:val="baseline"/>
        <w:rPr>
          <w:rFonts w:ascii="Arial" w:hAnsi="Arial" w:cs="Arial"/>
          <w:sz w:val="24"/>
        </w:rPr>
      </w:pPr>
      <w:r w:rsidRPr="003947AC">
        <w:rPr>
          <w:rFonts w:ascii="Arial" w:hAnsi="Arial" w:cs="Arial"/>
          <w:sz w:val="24"/>
        </w:rPr>
        <w:t>Elaborer un plan media ciblant les journaux et radios (aussi en langues)</w:t>
      </w:r>
    </w:p>
    <w:p w:rsidR="00091513" w:rsidRPr="003947AC" w:rsidRDefault="00091513" w:rsidP="00AE360E">
      <w:pPr>
        <w:pStyle w:val="Sansinterligne1"/>
        <w:widowControl w:val="0"/>
        <w:numPr>
          <w:ilvl w:val="0"/>
          <w:numId w:val="26"/>
        </w:numPr>
        <w:adjustRightInd w:val="0"/>
        <w:spacing w:line="276" w:lineRule="auto"/>
        <w:jc w:val="both"/>
        <w:textAlignment w:val="baseline"/>
        <w:rPr>
          <w:rFonts w:ascii="Arial" w:hAnsi="Arial" w:cs="Arial"/>
          <w:sz w:val="24"/>
        </w:rPr>
      </w:pPr>
      <w:r w:rsidRPr="003947AC">
        <w:rPr>
          <w:rFonts w:ascii="Arial" w:hAnsi="Arial" w:cs="Arial"/>
          <w:sz w:val="24"/>
        </w:rPr>
        <w:t>Elaborer la grille de distribution des supports</w:t>
      </w:r>
    </w:p>
    <w:p w:rsidR="00091513" w:rsidRPr="003947AC" w:rsidRDefault="00091513" w:rsidP="000352AB">
      <w:pPr>
        <w:spacing w:before="120" w:after="120"/>
        <w:jc w:val="both"/>
        <w:rPr>
          <w:rFonts w:ascii="Arial" w:eastAsia="SimSun" w:hAnsi="Arial" w:cs="Arial"/>
          <w:sz w:val="24"/>
        </w:rPr>
      </w:pPr>
      <w:r w:rsidRPr="003947AC">
        <w:rPr>
          <w:rFonts w:ascii="Arial" w:eastAsia="SimSun" w:hAnsi="Arial" w:cs="Arial"/>
          <w:sz w:val="24"/>
        </w:rPr>
        <w:t xml:space="preserve">L’atelier de conception servira pour créer ou adapter les matériels et formations pour la communication, qui suivront une approche holistique, » visent la cote « offre » (services et agents de sante) ainsi que la cote « demande » (grand public, leaders d’opinion, société civile, etc.). </w:t>
      </w:r>
      <w:r w:rsidRPr="003947AC">
        <w:rPr>
          <w:rFonts w:ascii="Arial" w:hAnsi="Arial" w:cs="Arial"/>
          <w:color w:val="000000"/>
          <w:sz w:val="24"/>
        </w:rPr>
        <w:t xml:space="preserve">Pour l’introduction du VPI, le calendrier vaccinal sera  modifié dans les supports de communication. </w:t>
      </w:r>
    </w:p>
    <w:p w:rsidR="00091513" w:rsidRPr="003947AC" w:rsidRDefault="00091513" w:rsidP="00AE360E">
      <w:pPr>
        <w:spacing w:after="120"/>
        <w:jc w:val="both"/>
        <w:rPr>
          <w:rFonts w:ascii="Arial" w:eastAsia="SimSun" w:hAnsi="Arial" w:cs="Arial"/>
          <w:sz w:val="24"/>
        </w:rPr>
      </w:pPr>
      <w:r w:rsidRPr="003947AC">
        <w:rPr>
          <w:rFonts w:ascii="Arial" w:eastAsia="SimSun" w:hAnsi="Arial" w:cs="Arial"/>
          <w:sz w:val="24"/>
        </w:rPr>
        <w:t xml:space="preserve">Pour la préparation de l’atelier pour développer des outils de communication pour l’introduction du VPI et en promotion du PEV de routine il y aura deux actions clefs : </w:t>
      </w:r>
    </w:p>
    <w:p w:rsidR="00091513" w:rsidRPr="00AE360E" w:rsidRDefault="00091513" w:rsidP="003947AC">
      <w:pPr>
        <w:pStyle w:val="Paragraphedeliste"/>
        <w:widowControl w:val="0"/>
        <w:numPr>
          <w:ilvl w:val="0"/>
          <w:numId w:val="27"/>
        </w:numPr>
        <w:adjustRightInd w:val="0"/>
        <w:spacing w:before="120" w:after="120"/>
        <w:ind w:left="357" w:hanging="357"/>
        <w:contextualSpacing w:val="0"/>
        <w:jc w:val="both"/>
        <w:textAlignment w:val="baseline"/>
        <w:rPr>
          <w:rFonts w:ascii="Arial" w:eastAsia="SimSun" w:hAnsi="Arial" w:cs="Arial"/>
          <w:sz w:val="24"/>
          <w:szCs w:val="24"/>
        </w:rPr>
      </w:pPr>
      <w:r w:rsidRPr="00AE360E">
        <w:rPr>
          <w:rFonts w:ascii="Arial" w:eastAsia="SimSun" w:hAnsi="Arial" w:cs="Arial"/>
          <w:sz w:val="24"/>
          <w:szCs w:val="24"/>
        </w:rPr>
        <w:t xml:space="preserve">Analyse de résultats de l’enquête de couverture vaccinale (N’Djamena, Juin, 2014), avec accent particulier sur les réponses aux questions des pages 2 et 3 sur l’information, opportunité et motivation pour deux groupes cibles : 1) ceux qui vaccinent complètement leurs enfants, et ceux qui ne commencent pas ou complètent pas le cycle de vaccination 0-11 mois. </w:t>
      </w:r>
    </w:p>
    <w:p w:rsidR="00091513" w:rsidRPr="00AE360E" w:rsidRDefault="00091513" w:rsidP="00AE360E">
      <w:pPr>
        <w:pStyle w:val="Paragraphedeliste"/>
        <w:widowControl w:val="0"/>
        <w:numPr>
          <w:ilvl w:val="0"/>
          <w:numId w:val="27"/>
        </w:numPr>
        <w:adjustRightInd w:val="0"/>
        <w:spacing w:after="120"/>
        <w:jc w:val="both"/>
        <w:textAlignment w:val="baseline"/>
        <w:rPr>
          <w:rFonts w:ascii="Arial" w:eastAsia="SimSun" w:hAnsi="Arial" w:cs="Arial"/>
          <w:sz w:val="24"/>
          <w:szCs w:val="24"/>
        </w:rPr>
      </w:pPr>
      <w:r w:rsidRPr="00AE360E">
        <w:rPr>
          <w:rFonts w:ascii="Arial" w:eastAsia="SimSun" w:hAnsi="Arial" w:cs="Arial"/>
          <w:sz w:val="24"/>
          <w:szCs w:val="24"/>
        </w:rPr>
        <w:t xml:space="preserve">Recherche qualitative (groupes focaux, etc.), rapide et décentralisé pour mieux comprendre les perceptions à l'égard des injections multiples et l'acceptation du VPI ; </w:t>
      </w:r>
      <w:r w:rsidRPr="00AE360E">
        <w:rPr>
          <w:rFonts w:ascii="Arial" w:eastAsia="SimSun" w:hAnsi="Arial" w:cs="Arial"/>
          <w:bCs/>
          <w:sz w:val="24"/>
          <w:szCs w:val="24"/>
        </w:rPr>
        <w:t>défis et avantages des injections multiples, basée sur l’expérience avec « contact 5 » (VAR + VAA).</w:t>
      </w:r>
    </w:p>
    <w:p w:rsidR="00091513" w:rsidRPr="00AE360E" w:rsidRDefault="007706D5" w:rsidP="00AE360E">
      <w:pPr>
        <w:pStyle w:val="Style3"/>
        <w:spacing w:line="276" w:lineRule="auto"/>
        <w:jc w:val="both"/>
        <w:rPr>
          <w:rFonts w:ascii="Arial" w:eastAsia="SimSun" w:hAnsi="Arial" w:cs="Arial"/>
          <w:color w:val="auto"/>
        </w:rPr>
      </w:pPr>
      <w:bookmarkStart w:id="26" w:name="_Toc397522432"/>
      <w:r>
        <w:rPr>
          <w:rFonts w:ascii="Arial" w:hAnsi="Arial" w:cs="Arial"/>
          <w:color w:val="auto"/>
          <w:lang w:val="fr-FR"/>
        </w:rPr>
        <w:t xml:space="preserve">Stratégies </w:t>
      </w:r>
      <w:r w:rsidR="004B2687" w:rsidRPr="00AE360E">
        <w:rPr>
          <w:rFonts w:ascii="Arial" w:hAnsi="Arial" w:cs="Arial"/>
          <w:color w:val="auto"/>
          <w:lang w:val="fr-FR"/>
        </w:rPr>
        <w:t>de communication</w:t>
      </w:r>
      <w:r w:rsidR="004B2687" w:rsidRPr="00AE360E">
        <w:rPr>
          <w:rFonts w:ascii="Arial" w:eastAsia="SimSun" w:hAnsi="Arial" w:cs="Arial"/>
          <w:color w:val="auto"/>
        </w:rPr>
        <w:t>.</w:t>
      </w:r>
      <w:bookmarkEnd w:id="26"/>
    </w:p>
    <w:p w:rsidR="00091513" w:rsidRPr="00AE360E" w:rsidRDefault="00091513" w:rsidP="007706D5">
      <w:pPr>
        <w:pStyle w:val="Paragraphedeliste"/>
        <w:numPr>
          <w:ilvl w:val="0"/>
          <w:numId w:val="28"/>
        </w:numPr>
        <w:spacing w:before="240" w:after="120"/>
        <w:jc w:val="both"/>
        <w:rPr>
          <w:rFonts w:ascii="Arial" w:eastAsia="SimSun" w:hAnsi="Arial" w:cs="Arial"/>
          <w:b/>
          <w:sz w:val="24"/>
          <w:szCs w:val="24"/>
        </w:rPr>
      </w:pPr>
      <w:r w:rsidRPr="00AE360E">
        <w:rPr>
          <w:rFonts w:ascii="Arial" w:eastAsia="SimSun" w:hAnsi="Arial" w:cs="Arial"/>
          <w:b/>
          <w:sz w:val="24"/>
          <w:szCs w:val="24"/>
          <w:u w:val="single"/>
        </w:rPr>
        <w:t>Pour les agents de santé</w:t>
      </w:r>
      <w:r w:rsidRPr="00AE360E">
        <w:rPr>
          <w:rFonts w:ascii="Arial" w:eastAsia="SimSun" w:hAnsi="Arial" w:cs="Arial"/>
          <w:b/>
          <w:sz w:val="24"/>
          <w:szCs w:val="24"/>
        </w:rPr>
        <w:t xml:space="preserve"> (côté offre) </w:t>
      </w:r>
    </w:p>
    <w:p w:rsidR="00157AAE" w:rsidRPr="007706D5" w:rsidRDefault="00157AAE" w:rsidP="00AE360E">
      <w:pPr>
        <w:pStyle w:val="Paragraphedeliste"/>
        <w:spacing w:after="120"/>
        <w:jc w:val="both"/>
        <w:rPr>
          <w:rFonts w:ascii="Arial" w:eastAsia="SimSun" w:hAnsi="Arial" w:cs="Arial"/>
          <w:sz w:val="24"/>
          <w:szCs w:val="24"/>
        </w:rPr>
      </w:pPr>
    </w:p>
    <w:p w:rsidR="00091513" w:rsidRPr="00AE360E" w:rsidRDefault="00091513" w:rsidP="00213D87">
      <w:pPr>
        <w:pStyle w:val="Paragraphedeliste"/>
        <w:widowControl w:val="0"/>
        <w:numPr>
          <w:ilvl w:val="0"/>
          <w:numId w:val="16"/>
        </w:numPr>
        <w:adjustRightInd w:val="0"/>
        <w:spacing w:before="120" w:after="120"/>
        <w:contextualSpacing w:val="0"/>
        <w:jc w:val="both"/>
        <w:textAlignment w:val="baseline"/>
        <w:rPr>
          <w:rFonts w:ascii="Arial" w:eastAsia="SimSun" w:hAnsi="Arial" w:cs="Arial"/>
          <w:b/>
          <w:sz w:val="24"/>
          <w:szCs w:val="24"/>
        </w:rPr>
      </w:pPr>
      <w:r w:rsidRPr="00AE360E">
        <w:rPr>
          <w:rFonts w:ascii="Arial" w:eastAsia="SimSun" w:hAnsi="Arial" w:cs="Arial"/>
          <w:b/>
          <w:sz w:val="24"/>
          <w:szCs w:val="24"/>
        </w:rPr>
        <w:t xml:space="preserve">Opérationnelle : </w:t>
      </w:r>
      <w:r w:rsidRPr="00AE360E">
        <w:rPr>
          <w:rFonts w:ascii="Arial" w:eastAsia="SimSun" w:hAnsi="Arial" w:cs="Arial"/>
          <w:sz w:val="24"/>
          <w:szCs w:val="24"/>
        </w:rPr>
        <w:t>Pour bien orienter les agents de sante sur l’aspect technique de l’introduction du VPI  - combien de doses par flacon location de piqure, etc. et aussi comment trouver les communautés mobiles (nomades). (Outils : Listes de numéros de leaders nomades, calendriers de transhumances, fiches techniques, aide-mémoires, etc.)</w:t>
      </w:r>
      <w:r w:rsidR="00213D87">
        <w:rPr>
          <w:rFonts w:ascii="Arial" w:eastAsia="SimSun" w:hAnsi="Arial" w:cs="Arial"/>
          <w:sz w:val="24"/>
          <w:szCs w:val="24"/>
        </w:rPr>
        <w:t>.</w:t>
      </w:r>
    </w:p>
    <w:p w:rsidR="00091513" w:rsidRPr="00AE360E" w:rsidRDefault="00091513" w:rsidP="00213D87">
      <w:pPr>
        <w:pStyle w:val="Paragraphedeliste"/>
        <w:widowControl w:val="0"/>
        <w:numPr>
          <w:ilvl w:val="0"/>
          <w:numId w:val="16"/>
        </w:numPr>
        <w:adjustRightInd w:val="0"/>
        <w:spacing w:before="120" w:after="120"/>
        <w:contextualSpacing w:val="0"/>
        <w:jc w:val="both"/>
        <w:textAlignment w:val="baseline"/>
        <w:rPr>
          <w:rFonts w:ascii="Arial" w:eastAsia="SimSun" w:hAnsi="Arial" w:cs="Arial"/>
          <w:b/>
          <w:color w:val="000000" w:themeColor="text1"/>
          <w:sz w:val="24"/>
          <w:szCs w:val="24"/>
        </w:rPr>
      </w:pPr>
      <w:r w:rsidRPr="00AE360E">
        <w:rPr>
          <w:rFonts w:ascii="Arial" w:eastAsia="SimSun" w:hAnsi="Arial" w:cs="Arial"/>
          <w:b/>
          <w:sz w:val="24"/>
          <w:szCs w:val="24"/>
        </w:rPr>
        <w:t xml:space="preserve">Interpersonnelle : </w:t>
      </w:r>
      <w:r w:rsidRPr="00AE360E">
        <w:rPr>
          <w:rFonts w:ascii="Arial" w:eastAsia="SimSun" w:hAnsi="Arial" w:cs="Arial"/>
          <w:sz w:val="24"/>
          <w:szCs w:val="24"/>
        </w:rPr>
        <w:t xml:space="preserve">Pour améliorer l’accueil donné aux parents, et la qualité et </w:t>
      </w:r>
      <w:r w:rsidRPr="00AE360E">
        <w:rPr>
          <w:rFonts w:ascii="Arial" w:eastAsia="SimSun" w:hAnsi="Arial" w:cs="Arial"/>
          <w:sz w:val="24"/>
          <w:szCs w:val="24"/>
        </w:rPr>
        <w:lastRenderedPageBreak/>
        <w:t>fréquence d’information donnée aux parents par rapport au calendrier vaccinal, effets secondaires possibles, raisons pour OPV et IPV au même temps (Contact 4 à 14 semaines) ; l’importance de compléter le cycle de vaccination (effets cumulatifs) ; et l’importance promouvoir « l’immunité de population » (effets collectifs). Les parents seront encouragés par les agents de santé de contribuer aussi comme agents de sensibilisation dans leurs communautés) (Outils : Fiches techniques, aides- mémoires, etc.).</w:t>
      </w:r>
    </w:p>
    <w:p w:rsidR="00091513" w:rsidRPr="00AE360E" w:rsidRDefault="00091513" w:rsidP="007706D5">
      <w:pPr>
        <w:pStyle w:val="Paragraphedeliste"/>
        <w:numPr>
          <w:ilvl w:val="0"/>
          <w:numId w:val="28"/>
        </w:numPr>
        <w:spacing w:before="240" w:after="120"/>
        <w:ind w:left="714" w:hanging="357"/>
        <w:contextualSpacing w:val="0"/>
        <w:jc w:val="both"/>
        <w:rPr>
          <w:rFonts w:ascii="Arial" w:eastAsia="SimSun" w:hAnsi="Arial" w:cs="Arial"/>
          <w:b/>
          <w:sz w:val="24"/>
          <w:szCs w:val="24"/>
          <w:u w:val="single"/>
        </w:rPr>
      </w:pPr>
      <w:r w:rsidRPr="00AE360E">
        <w:rPr>
          <w:rFonts w:ascii="Arial" w:eastAsia="SimSun" w:hAnsi="Arial" w:cs="Arial"/>
          <w:b/>
          <w:sz w:val="24"/>
          <w:szCs w:val="24"/>
          <w:u w:val="single"/>
        </w:rPr>
        <w:t>Pour la communauté (côté demande)</w:t>
      </w:r>
    </w:p>
    <w:p w:rsidR="00091513" w:rsidRPr="00AE360E" w:rsidRDefault="00091513" w:rsidP="00213D87">
      <w:pPr>
        <w:pStyle w:val="Paragraphedeliste"/>
        <w:widowControl w:val="0"/>
        <w:numPr>
          <w:ilvl w:val="0"/>
          <w:numId w:val="16"/>
        </w:numPr>
        <w:adjustRightInd w:val="0"/>
        <w:spacing w:before="120" w:after="120"/>
        <w:contextualSpacing w:val="0"/>
        <w:jc w:val="both"/>
        <w:textAlignment w:val="baseline"/>
        <w:rPr>
          <w:rFonts w:ascii="Arial" w:eastAsia="SimSun" w:hAnsi="Arial" w:cs="Arial"/>
          <w:sz w:val="24"/>
          <w:szCs w:val="24"/>
        </w:rPr>
      </w:pPr>
      <w:r w:rsidRPr="00AE360E">
        <w:rPr>
          <w:rFonts w:ascii="Arial" w:eastAsia="SimSun" w:hAnsi="Arial" w:cs="Arial"/>
          <w:b/>
          <w:sz w:val="24"/>
          <w:szCs w:val="24"/>
        </w:rPr>
        <w:t xml:space="preserve">Informative: </w:t>
      </w:r>
      <w:r w:rsidRPr="00AE360E">
        <w:rPr>
          <w:rFonts w:ascii="Arial" w:eastAsia="SimSun" w:hAnsi="Arial" w:cs="Arial"/>
          <w:sz w:val="24"/>
          <w:szCs w:val="24"/>
        </w:rPr>
        <w:t>Pour ceux qui acceptant la vaccination sans problème et qui n’ont pas de barrières autre que l’information pour accéder aux services de santé. Aussi pour ceux qui peuvent aider dans la sensibilisation une fois équipé avec l’information nécessaire et accessible (leaders d’opinion, société civile)</w:t>
      </w:r>
    </w:p>
    <w:p w:rsidR="00091513" w:rsidRPr="00AE360E" w:rsidRDefault="00091513" w:rsidP="00213D87">
      <w:pPr>
        <w:pStyle w:val="Paragraphedeliste"/>
        <w:widowControl w:val="0"/>
        <w:numPr>
          <w:ilvl w:val="0"/>
          <w:numId w:val="16"/>
        </w:numPr>
        <w:adjustRightInd w:val="0"/>
        <w:spacing w:before="120" w:after="120"/>
        <w:contextualSpacing w:val="0"/>
        <w:jc w:val="both"/>
        <w:textAlignment w:val="baseline"/>
        <w:rPr>
          <w:rFonts w:ascii="Arial" w:eastAsia="SimSun" w:hAnsi="Arial" w:cs="Arial"/>
          <w:sz w:val="24"/>
          <w:szCs w:val="24"/>
        </w:rPr>
      </w:pPr>
      <w:r w:rsidRPr="00AE360E">
        <w:rPr>
          <w:rFonts w:ascii="Arial" w:eastAsia="SimSun" w:hAnsi="Arial" w:cs="Arial"/>
          <w:b/>
          <w:sz w:val="24"/>
          <w:szCs w:val="24"/>
        </w:rPr>
        <w:t xml:space="preserve">Persuasive: </w:t>
      </w:r>
      <w:r w:rsidRPr="00AE360E">
        <w:rPr>
          <w:rFonts w:ascii="Arial" w:eastAsia="SimSun" w:hAnsi="Arial" w:cs="Arial"/>
          <w:sz w:val="24"/>
          <w:szCs w:val="24"/>
        </w:rPr>
        <w:t xml:space="preserve">Pour motiver d’avantage ceux qui sont indifférents ou résistants </w:t>
      </w:r>
    </w:p>
    <w:p w:rsidR="0032122E" w:rsidRDefault="00091513" w:rsidP="00213D87">
      <w:pPr>
        <w:pStyle w:val="Paragraphedeliste"/>
        <w:widowControl w:val="0"/>
        <w:numPr>
          <w:ilvl w:val="0"/>
          <w:numId w:val="16"/>
        </w:numPr>
        <w:adjustRightInd w:val="0"/>
        <w:spacing w:before="120" w:after="120"/>
        <w:contextualSpacing w:val="0"/>
        <w:jc w:val="both"/>
        <w:textAlignment w:val="baseline"/>
        <w:rPr>
          <w:rFonts w:ascii="Arial" w:eastAsia="SimSun" w:hAnsi="Arial" w:cs="Arial"/>
          <w:sz w:val="24"/>
          <w:szCs w:val="24"/>
        </w:rPr>
      </w:pPr>
      <w:r w:rsidRPr="00AE360E">
        <w:rPr>
          <w:rFonts w:ascii="Arial" w:eastAsia="SimSun" w:hAnsi="Arial" w:cs="Arial"/>
          <w:b/>
          <w:sz w:val="24"/>
          <w:szCs w:val="24"/>
        </w:rPr>
        <w:t>Motivationnelle :</w:t>
      </w:r>
      <w:r w:rsidRPr="00AE360E">
        <w:rPr>
          <w:rFonts w:ascii="Arial" w:eastAsia="SimSun" w:hAnsi="Arial" w:cs="Arial"/>
          <w:sz w:val="24"/>
          <w:szCs w:val="24"/>
        </w:rPr>
        <w:t xml:space="preserve"> Pour promouvoir les bénéfices de la vaccination, la nécessité de compléter le cycle de vaccination,  et aussi inviter les parents de devenir des agents de sensibilisation dans leurs quartiers et communautés (Pour protéger tes enfants, veillez que les enfants de voisins soie</w:t>
      </w:r>
      <w:r w:rsidR="0032122E">
        <w:rPr>
          <w:rFonts w:ascii="Arial" w:eastAsia="SimSun" w:hAnsi="Arial" w:cs="Arial"/>
          <w:sz w:val="24"/>
          <w:szCs w:val="24"/>
        </w:rPr>
        <w:t>nt aussi vaccinés et protégés.</w:t>
      </w:r>
      <w:r w:rsidRPr="00AE360E">
        <w:rPr>
          <w:rFonts w:ascii="Arial" w:eastAsia="SimSun" w:hAnsi="Arial" w:cs="Arial"/>
          <w:sz w:val="24"/>
          <w:szCs w:val="24"/>
        </w:rPr>
        <w:t>)</w:t>
      </w:r>
    </w:p>
    <w:p w:rsidR="00091513" w:rsidRPr="00AE360E" w:rsidRDefault="00091513" w:rsidP="00AE360E">
      <w:pPr>
        <w:widowControl w:val="0"/>
        <w:adjustRightInd w:val="0"/>
        <w:spacing w:after="120"/>
        <w:jc w:val="both"/>
        <w:textAlignment w:val="baseline"/>
        <w:rPr>
          <w:rFonts w:ascii="Arial" w:eastAsia="SimSun" w:hAnsi="Arial" w:cs="Arial"/>
          <w:sz w:val="24"/>
          <w:szCs w:val="24"/>
        </w:rPr>
      </w:pPr>
      <w:r w:rsidRPr="00AE360E">
        <w:rPr>
          <w:rFonts w:ascii="Arial" w:eastAsia="SimSun" w:hAnsi="Arial" w:cs="Arial"/>
          <w:sz w:val="24"/>
          <w:szCs w:val="24"/>
        </w:rPr>
        <w:t xml:space="preserve">En anticipant les cas possibles de MAPI ou décès qui coïncide avec la vaccination, il y aura un plan de communication de crise intégré dans le plan de communication pour le PEV, qui traite aussi les rumeurs. (Une fiche sur les rumeurs existe déjà et sera adaptée pour l’introduction du VPI). </w:t>
      </w:r>
    </w:p>
    <w:p w:rsidR="00091513" w:rsidRPr="00AE360E" w:rsidRDefault="00091513" w:rsidP="005C0A5B">
      <w:pPr>
        <w:pStyle w:val="Paragraphedeliste"/>
        <w:numPr>
          <w:ilvl w:val="0"/>
          <w:numId w:val="28"/>
        </w:numPr>
        <w:spacing w:before="240" w:after="120"/>
        <w:ind w:left="714" w:hanging="357"/>
        <w:contextualSpacing w:val="0"/>
        <w:jc w:val="both"/>
        <w:rPr>
          <w:rFonts w:ascii="Arial" w:eastAsia="SimSun" w:hAnsi="Arial" w:cs="Arial"/>
          <w:b/>
          <w:sz w:val="24"/>
          <w:szCs w:val="24"/>
          <w:u w:val="single"/>
        </w:rPr>
      </w:pPr>
      <w:r w:rsidRPr="00AE360E">
        <w:rPr>
          <w:rFonts w:ascii="Arial" w:eastAsia="SimSun" w:hAnsi="Arial" w:cs="Arial"/>
          <w:b/>
          <w:sz w:val="24"/>
          <w:szCs w:val="24"/>
          <w:u w:val="single"/>
        </w:rPr>
        <w:t>stratégie in</w:t>
      </w:r>
      <w:r w:rsidR="000C611C" w:rsidRPr="00AE360E">
        <w:rPr>
          <w:rFonts w:ascii="Arial" w:eastAsia="SimSun" w:hAnsi="Arial" w:cs="Arial"/>
          <w:b/>
          <w:sz w:val="24"/>
          <w:szCs w:val="24"/>
          <w:u w:val="single"/>
        </w:rPr>
        <w:t>tégrée de communication PEV/IPV</w:t>
      </w:r>
    </w:p>
    <w:p w:rsidR="00091513" w:rsidRPr="00AE360E" w:rsidRDefault="00091513" w:rsidP="00ED5E1D">
      <w:pPr>
        <w:pStyle w:val="Sansinterligne1"/>
        <w:numPr>
          <w:ilvl w:val="0"/>
          <w:numId w:val="32"/>
        </w:numPr>
        <w:spacing w:before="240" w:after="120" w:line="276" w:lineRule="auto"/>
        <w:ind w:left="1423" w:right="119" w:hanging="357"/>
        <w:jc w:val="both"/>
        <w:rPr>
          <w:rFonts w:ascii="Arial" w:hAnsi="Arial" w:cs="Arial"/>
          <w:b/>
          <w:sz w:val="24"/>
          <w:szCs w:val="24"/>
        </w:rPr>
      </w:pPr>
      <w:r w:rsidRPr="00AE360E">
        <w:rPr>
          <w:rFonts w:ascii="Arial" w:hAnsi="Arial" w:cs="Arial"/>
          <w:b/>
          <w:sz w:val="24"/>
          <w:szCs w:val="24"/>
          <w:u w:val="single"/>
        </w:rPr>
        <w:t>Formation et sensibilisation des équipes cadres et agents de santé</w:t>
      </w:r>
    </w:p>
    <w:p w:rsidR="00091513" w:rsidRPr="00AE360E" w:rsidRDefault="00091513" w:rsidP="005C0A5B">
      <w:pPr>
        <w:pStyle w:val="Sansinterligne1"/>
        <w:spacing w:line="276" w:lineRule="auto"/>
        <w:jc w:val="both"/>
        <w:rPr>
          <w:rFonts w:ascii="Arial" w:hAnsi="Arial" w:cs="Arial"/>
          <w:color w:val="000000"/>
          <w:sz w:val="24"/>
          <w:szCs w:val="24"/>
        </w:rPr>
      </w:pPr>
      <w:r w:rsidRPr="00AE360E">
        <w:rPr>
          <w:rFonts w:ascii="Arial" w:hAnsi="Arial" w:cs="Arial"/>
          <w:sz w:val="24"/>
          <w:szCs w:val="24"/>
        </w:rPr>
        <w:t xml:space="preserve">Les prestataires de soins de santé représentent l’une des principales sources d’information des parents/gardiens qui leur font confiance (Enquête CAP de 2012). Ils ont un rôle important à jouer pour dissiper les craintes des mères sur les injections multiple et à comprendre les avantages des vaccins, les maladies cibles du PEV, et le calendrier vaccinal.  </w:t>
      </w:r>
    </w:p>
    <w:p w:rsidR="00091513" w:rsidRPr="00AE360E" w:rsidRDefault="00091513" w:rsidP="005C0A5B">
      <w:pPr>
        <w:pStyle w:val="Sansinterligne1"/>
        <w:numPr>
          <w:ilvl w:val="0"/>
          <w:numId w:val="32"/>
        </w:numPr>
        <w:spacing w:before="120" w:after="120" w:line="276" w:lineRule="auto"/>
        <w:ind w:right="120"/>
        <w:jc w:val="both"/>
        <w:rPr>
          <w:rFonts w:ascii="Arial" w:hAnsi="Arial" w:cs="Arial"/>
          <w:b/>
          <w:sz w:val="24"/>
          <w:szCs w:val="24"/>
          <w:u w:val="single"/>
        </w:rPr>
      </w:pPr>
      <w:r w:rsidRPr="00AE360E">
        <w:rPr>
          <w:rFonts w:ascii="Arial" w:hAnsi="Arial" w:cs="Arial"/>
          <w:b/>
          <w:sz w:val="24"/>
          <w:szCs w:val="24"/>
          <w:u w:val="single"/>
        </w:rPr>
        <w:t>Sensibilisation des réseaux et organisations de la société civile</w:t>
      </w:r>
    </w:p>
    <w:p w:rsidR="00091513" w:rsidRDefault="00091513" w:rsidP="005C0A5B">
      <w:pPr>
        <w:pStyle w:val="Sansinterligne1"/>
        <w:spacing w:line="276" w:lineRule="auto"/>
        <w:jc w:val="both"/>
        <w:rPr>
          <w:rFonts w:ascii="Arial" w:hAnsi="Arial" w:cs="Arial"/>
          <w:sz w:val="24"/>
          <w:szCs w:val="24"/>
        </w:rPr>
      </w:pPr>
      <w:r w:rsidRPr="00AE360E">
        <w:rPr>
          <w:rFonts w:ascii="Arial" w:hAnsi="Arial" w:cs="Arial"/>
          <w:sz w:val="24"/>
          <w:szCs w:val="24"/>
        </w:rPr>
        <w:t xml:space="preserve">La société civile sera partenaire dans la mobilisation sociale pour le PEV de routine. Les partenaires qui appuient déjà les campagnes de vaccination   (associations des femmes,  Conseil Supérieur des Affaires Islamique, etc.) seront impliqués dans la promotion de PEV de routine et du VPI.  </w:t>
      </w:r>
    </w:p>
    <w:p w:rsidR="00C249D2" w:rsidRDefault="00C249D2" w:rsidP="005C0A5B">
      <w:pPr>
        <w:pStyle w:val="Sansinterligne1"/>
        <w:spacing w:line="276" w:lineRule="auto"/>
        <w:jc w:val="both"/>
        <w:rPr>
          <w:rFonts w:ascii="Arial" w:hAnsi="Arial" w:cs="Arial"/>
          <w:sz w:val="24"/>
          <w:szCs w:val="24"/>
        </w:rPr>
      </w:pPr>
    </w:p>
    <w:p w:rsidR="00C249D2" w:rsidRDefault="00C249D2" w:rsidP="005C0A5B">
      <w:pPr>
        <w:pStyle w:val="Sansinterligne1"/>
        <w:spacing w:line="276" w:lineRule="auto"/>
        <w:jc w:val="both"/>
        <w:rPr>
          <w:rFonts w:ascii="Arial" w:hAnsi="Arial" w:cs="Arial"/>
          <w:sz w:val="24"/>
          <w:szCs w:val="24"/>
        </w:rPr>
      </w:pPr>
    </w:p>
    <w:p w:rsidR="00C249D2" w:rsidRDefault="00C249D2" w:rsidP="005C0A5B">
      <w:pPr>
        <w:pStyle w:val="Sansinterligne1"/>
        <w:spacing w:line="276" w:lineRule="auto"/>
        <w:jc w:val="both"/>
        <w:rPr>
          <w:rFonts w:ascii="Arial" w:hAnsi="Arial" w:cs="Arial"/>
          <w:sz w:val="24"/>
          <w:szCs w:val="24"/>
        </w:rPr>
      </w:pPr>
    </w:p>
    <w:p w:rsidR="00C249D2" w:rsidRPr="00AE360E" w:rsidRDefault="00C249D2" w:rsidP="005C0A5B">
      <w:pPr>
        <w:pStyle w:val="Sansinterligne1"/>
        <w:spacing w:line="276" w:lineRule="auto"/>
        <w:jc w:val="both"/>
        <w:rPr>
          <w:rFonts w:ascii="Arial" w:hAnsi="Arial" w:cs="Arial"/>
          <w:sz w:val="24"/>
          <w:szCs w:val="24"/>
        </w:rPr>
      </w:pPr>
    </w:p>
    <w:p w:rsidR="00091513" w:rsidRPr="00AE360E" w:rsidRDefault="00091513" w:rsidP="005C0A5B">
      <w:pPr>
        <w:pStyle w:val="Sansinterligne1"/>
        <w:numPr>
          <w:ilvl w:val="0"/>
          <w:numId w:val="32"/>
        </w:numPr>
        <w:spacing w:before="120" w:after="120" w:line="276" w:lineRule="auto"/>
        <w:ind w:right="120"/>
        <w:jc w:val="both"/>
        <w:rPr>
          <w:rFonts w:ascii="Arial" w:hAnsi="Arial" w:cs="Arial"/>
          <w:b/>
          <w:sz w:val="24"/>
          <w:szCs w:val="24"/>
          <w:u w:val="single"/>
        </w:rPr>
      </w:pPr>
      <w:r w:rsidRPr="00AE360E">
        <w:rPr>
          <w:rFonts w:ascii="Arial" w:hAnsi="Arial" w:cs="Arial"/>
          <w:b/>
          <w:sz w:val="24"/>
          <w:szCs w:val="24"/>
          <w:u w:val="single"/>
        </w:rPr>
        <w:lastRenderedPageBreak/>
        <w:t>Autres activités pour la promotion de la vaccination de routine</w:t>
      </w:r>
    </w:p>
    <w:p w:rsidR="00091513" w:rsidRDefault="00091513" w:rsidP="005C0A5B">
      <w:pPr>
        <w:pStyle w:val="Sansinterligne1"/>
        <w:spacing w:line="276" w:lineRule="auto"/>
        <w:jc w:val="both"/>
        <w:rPr>
          <w:rFonts w:ascii="Arial" w:hAnsi="Arial" w:cs="Arial"/>
          <w:sz w:val="24"/>
        </w:rPr>
      </w:pPr>
      <w:r w:rsidRPr="005C0A5B">
        <w:rPr>
          <w:rFonts w:ascii="Arial" w:hAnsi="Arial" w:cs="Arial"/>
          <w:sz w:val="24"/>
        </w:rPr>
        <w:t>Activités pour la promotion de PEV de routine sont actuellement en cours et vont continuer pendant les années 2014 et 2015. Dans les activités de promotion pour le PEV sont inclus les messages et pièces théâtrales pour radio et aussi des messages « 5 Contacts » par SMS</w:t>
      </w:r>
      <w:r w:rsidR="000C611C" w:rsidRPr="005C0A5B">
        <w:rPr>
          <w:rFonts w:ascii="Arial" w:hAnsi="Arial" w:cs="Arial"/>
          <w:sz w:val="24"/>
        </w:rPr>
        <w:t>.</w:t>
      </w:r>
    </w:p>
    <w:p w:rsidR="00C249D2" w:rsidRDefault="00C249D2" w:rsidP="005C0A5B">
      <w:pPr>
        <w:pStyle w:val="Sansinterligne1"/>
        <w:spacing w:line="276" w:lineRule="auto"/>
        <w:jc w:val="both"/>
        <w:rPr>
          <w:rFonts w:ascii="Arial" w:hAnsi="Arial" w:cs="Arial"/>
          <w:sz w:val="24"/>
        </w:rPr>
      </w:pPr>
    </w:p>
    <w:p w:rsidR="00091513" w:rsidRPr="005C0A5B" w:rsidRDefault="00091513" w:rsidP="005C0A5B">
      <w:pPr>
        <w:pStyle w:val="Sansinterligne1"/>
        <w:numPr>
          <w:ilvl w:val="0"/>
          <w:numId w:val="32"/>
        </w:numPr>
        <w:spacing w:before="120" w:after="120" w:line="276" w:lineRule="auto"/>
        <w:ind w:right="120"/>
        <w:jc w:val="both"/>
        <w:rPr>
          <w:rFonts w:ascii="Arial" w:hAnsi="Arial" w:cs="Arial"/>
          <w:b/>
          <w:sz w:val="24"/>
          <w:szCs w:val="24"/>
          <w:u w:val="single"/>
        </w:rPr>
      </w:pPr>
      <w:r w:rsidRPr="005C0A5B">
        <w:rPr>
          <w:rFonts w:ascii="Arial" w:hAnsi="Arial" w:cs="Arial"/>
          <w:b/>
          <w:sz w:val="24"/>
          <w:szCs w:val="24"/>
          <w:u w:val="single"/>
        </w:rPr>
        <w:t>Cérémonie de lancement</w:t>
      </w:r>
    </w:p>
    <w:p w:rsidR="00091513" w:rsidRPr="005C0A5B" w:rsidRDefault="00091513" w:rsidP="005C0A5B">
      <w:pPr>
        <w:pStyle w:val="Sansinterligne1"/>
        <w:spacing w:line="276" w:lineRule="auto"/>
        <w:jc w:val="both"/>
        <w:rPr>
          <w:rFonts w:ascii="Arial" w:hAnsi="Arial" w:cs="Arial"/>
          <w:sz w:val="24"/>
        </w:rPr>
      </w:pPr>
      <w:r w:rsidRPr="005C0A5B">
        <w:rPr>
          <w:rFonts w:ascii="Arial" w:hAnsi="Arial" w:cs="Arial"/>
          <w:sz w:val="24"/>
        </w:rPr>
        <w:t xml:space="preserve">Un plaidoyer sera fait pour obtenir le soutien et présence du plus Haut sommet de l’État pour le lancement officiel, qui aura lieu en Juin 2015. Pour assurer une bonne et vaste couverture médiatique du lancement et de l’introduction du VPI, une café presse sera organisé et des kits media seront distribuer au représentant des organes de presse. La presse sera également invite à des activités  intégrées de lutte contre la maladie dont la vaccination fera partie.   </w:t>
      </w:r>
    </w:p>
    <w:p w:rsidR="00AE360E" w:rsidRPr="005C0A5B" w:rsidRDefault="00AE360E" w:rsidP="00AE360E">
      <w:pPr>
        <w:pStyle w:val="Sansinterligne1"/>
        <w:spacing w:line="276" w:lineRule="auto"/>
        <w:ind w:left="708"/>
        <w:jc w:val="both"/>
        <w:rPr>
          <w:rFonts w:ascii="Arial" w:hAnsi="Arial" w:cs="Arial"/>
          <w:sz w:val="24"/>
        </w:rPr>
      </w:pPr>
    </w:p>
    <w:sectPr w:rsidR="00AE360E" w:rsidRPr="005C0A5B" w:rsidSect="001022E3">
      <w:footerReference w:type="default" r:id="rId10"/>
      <w:pgSz w:w="11906" w:h="16838"/>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84E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B3" w:rsidRDefault="00F71EB3" w:rsidP="007D539B">
      <w:pPr>
        <w:spacing w:after="0" w:line="240" w:lineRule="auto"/>
      </w:pPr>
      <w:r>
        <w:separator/>
      </w:r>
    </w:p>
  </w:endnote>
  <w:endnote w:type="continuationSeparator" w:id="1">
    <w:p w:rsidR="00F71EB3" w:rsidRDefault="00F71EB3" w:rsidP="007D5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39619"/>
      <w:docPartObj>
        <w:docPartGallery w:val="Page Numbers (Bottom of Page)"/>
        <w:docPartUnique/>
      </w:docPartObj>
    </w:sdtPr>
    <w:sdtContent>
      <w:p w:rsidR="00DA212D" w:rsidRDefault="000F281E">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4097" type="#_x0000_t65" style="position:absolute;margin-left:0;margin-top:0;width:38.25pt;height:29.25pt;z-index:251657216;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" o:allowincell="f" adj="14135" strokecolor="gray" strokeweight=".25pt">
              <v:textbox>
                <w:txbxContent>
                  <w:p w:rsidR="00DA212D" w:rsidRPr="00374CD0" w:rsidRDefault="000F281E">
                    <w:pPr>
                      <w:jc w:val="center"/>
                      <w:rPr>
                        <w:b/>
                        <w:sz w:val="24"/>
                        <w:szCs w:val="24"/>
                      </w:rPr>
                    </w:pPr>
                    <w:r w:rsidRPr="00374CD0">
                      <w:rPr>
                        <w:b/>
                        <w:sz w:val="24"/>
                        <w:szCs w:val="24"/>
                      </w:rPr>
                      <w:fldChar w:fldCharType="begin"/>
                    </w:r>
                    <w:r w:rsidR="00DA212D" w:rsidRPr="00374CD0">
                      <w:rPr>
                        <w:b/>
                        <w:sz w:val="24"/>
                        <w:szCs w:val="24"/>
                      </w:rPr>
                      <w:instrText>PAGE    \* MERGEFORMAT</w:instrText>
                    </w:r>
                    <w:r w:rsidRPr="00374CD0">
                      <w:rPr>
                        <w:b/>
                        <w:sz w:val="24"/>
                        <w:szCs w:val="24"/>
                      </w:rPr>
                      <w:fldChar w:fldCharType="separate"/>
                    </w:r>
                    <w:r w:rsidR="00D52687">
                      <w:rPr>
                        <w:b/>
                        <w:noProof/>
                        <w:sz w:val="24"/>
                        <w:szCs w:val="24"/>
                      </w:rPr>
                      <w:t>14</w:t>
                    </w:r>
                    <w:r w:rsidRPr="00374CD0">
                      <w:rPr>
                        <w:b/>
                        <w:sz w:val="24"/>
                        <w:szCs w:val="24"/>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B3" w:rsidRDefault="00F71EB3" w:rsidP="007D539B">
      <w:pPr>
        <w:spacing w:after="0" w:line="240" w:lineRule="auto"/>
      </w:pPr>
      <w:r>
        <w:separator/>
      </w:r>
    </w:p>
  </w:footnote>
  <w:footnote w:type="continuationSeparator" w:id="1">
    <w:p w:rsidR="00F71EB3" w:rsidRDefault="00F71EB3" w:rsidP="007D53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F64"/>
    <w:multiLevelType w:val="hybridMultilevel"/>
    <w:tmpl w:val="6FF47FF0"/>
    <w:lvl w:ilvl="0" w:tplc="5164FD18">
      <w:start w:val="502"/>
      <w:numFmt w:val="bullet"/>
      <w:lvlText w:val="-"/>
      <w:lvlJc w:val="left"/>
      <w:pPr>
        <w:ind w:left="360" w:hanging="360"/>
      </w:pPr>
      <w:rPr>
        <w:rFonts w:ascii="Calibri" w:eastAsia="SimSu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267510"/>
    <w:multiLevelType w:val="multilevel"/>
    <w:tmpl w:val="20E8C6D6"/>
    <w:lvl w:ilvl="0">
      <w:start w:val="1"/>
      <w:numFmt w:val="decimal"/>
      <w:pStyle w:val="Style2"/>
      <w:lvlText w:val="%1."/>
      <w:lvlJc w:val="left"/>
      <w:pPr>
        <w:ind w:left="360" w:hanging="360"/>
      </w:pPr>
      <w:rPr>
        <w:rFonts w:hint="default"/>
        <w:color w:val="auto"/>
      </w:rPr>
    </w:lvl>
    <w:lvl w:ilvl="1">
      <w:start w:val="1"/>
      <w:numFmt w:val="decimal"/>
      <w:pStyle w:val="Style3"/>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074A59B5"/>
    <w:multiLevelType w:val="hybridMultilevel"/>
    <w:tmpl w:val="48007828"/>
    <w:lvl w:ilvl="0" w:tplc="3B548B0A">
      <w:numFmt w:val="bullet"/>
      <w:lvlText w:val="-"/>
      <w:lvlJc w:val="left"/>
      <w:pPr>
        <w:ind w:left="720" w:hanging="360"/>
      </w:pPr>
      <w:rPr>
        <w:rFonts w:ascii="Calibri" w:eastAsiaTheme="minorHAnsi" w:hAnsi="Calibri" w:cs="Calibr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591FA7"/>
    <w:multiLevelType w:val="hybridMultilevel"/>
    <w:tmpl w:val="9580EDAC"/>
    <w:lvl w:ilvl="0" w:tplc="6EB238A2">
      <w:start w:val="502"/>
      <w:numFmt w:val="bullet"/>
      <w:lvlText w:val="-"/>
      <w:lvlJc w:val="left"/>
      <w:pPr>
        <w:ind w:left="644" w:hanging="360"/>
      </w:pPr>
      <w:rPr>
        <w:rFonts w:ascii="Calibri" w:eastAsia="SimSu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C82837"/>
    <w:multiLevelType w:val="hybridMultilevel"/>
    <w:tmpl w:val="B3F43D32"/>
    <w:lvl w:ilvl="0" w:tplc="30BAAB0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10154A"/>
    <w:multiLevelType w:val="hybridMultilevel"/>
    <w:tmpl w:val="D8EC940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D9F08C7"/>
    <w:multiLevelType w:val="hybridMultilevel"/>
    <w:tmpl w:val="164CDF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046800"/>
    <w:multiLevelType w:val="hybridMultilevel"/>
    <w:tmpl w:val="4A6A2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191834"/>
    <w:multiLevelType w:val="hybridMultilevel"/>
    <w:tmpl w:val="629A2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23072A"/>
    <w:multiLevelType w:val="hybridMultilevel"/>
    <w:tmpl w:val="0C241E16"/>
    <w:lvl w:ilvl="0" w:tplc="3B548B0A">
      <w:numFmt w:val="bullet"/>
      <w:lvlText w:val="-"/>
      <w:lvlJc w:val="left"/>
      <w:pPr>
        <w:ind w:left="720" w:hanging="360"/>
      </w:pPr>
      <w:rPr>
        <w:rFonts w:ascii="Calibri" w:eastAsiaTheme="minorHAnsi" w:hAnsi="Calibri" w:cs="Calibr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34012B"/>
    <w:multiLevelType w:val="hybridMultilevel"/>
    <w:tmpl w:val="00180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2F2457"/>
    <w:multiLevelType w:val="hybridMultilevel"/>
    <w:tmpl w:val="A9F49A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9C10B9C"/>
    <w:multiLevelType w:val="hybridMultilevel"/>
    <w:tmpl w:val="1018CED8"/>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085B8B"/>
    <w:multiLevelType w:val="hybridMultilevel"/>
    <w:tmpl w:val="F1586A16"/>
    <w:lvl w:ilvl="0" w:tplc="1F24192C">
      <w:start w:val="1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2C3C02"/>
    <w:multiLevelType w:val="hybridMultilevel"/>
    <w:tmpl w:val="C0807AA6"/>
    <w:lvl w:ilvl="0" w:tplc="3B548B0A">
      <w:numFmt w:val="bullet"/>
      <w:lvlText w:val="-"/>
      <w:lvlJc w:val="left"/>
      <w:pPr>
        <w:ind w:left="1428" w:hanging="360"/>
      </w:pPr>
      <w:rPr>
        <w:rFonts w:ascii="Calibri" w:eastAsiaTheme="minorHAnsi" w:hAnsi="Calibri" w:cs="Calibri" w:hint="default"/>
        <w:b w:val="0"/>
        <w:sz w:val="24"/>
        <w:u w:val="no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30902F53"/>
    <w:multiLevelType w:val="hybridMultilevel"/>
    <w:tmpl w:val="50183FCC"/>
    <w:lvl w:ilvl="0" w:tplc="3B548B0A">
      <w:numFmt w:val="bullet"/>
      <w:lvlText w:val="-"/>
      <w:lvlJc w:val="left"/>
      <w:pPr>
        <w:ind w:left="24" w:hanging="360"/>
      </w:pPr>
      <w:rPr>
        <w:rFonts w:ascii="Calibri" w:eastAsiaTheme="minorHAnsi" w:hAnsi="Calibri" w:cs="Calibri" w:hint="default"/>
        <w:b w:val="0"/>
        <w:sz w:val="24"/>
        <w:u w:val="none"/>
      </w:rPr>
    </w:lvl>
    <w:lvl w:ilvl="1" w:tplc="040C0003">
      <w:start w:val="1"/>
      <w:numFmt w:val="bullet"/>
      <w:lvlText w:val="o"/>
      <w:lvlJc w:val="left"/>
      <w:pPr>
        <w:ind w:left="744" w:hanging="360"/>
      </w:pPr>
      <w:rPr>
        <w:rFonts w:ascii="Courier New" w:hAnsi="Courier New" w:cs="Courier New" w:hint="default"/>
      </w:rPr>
    </w:lvl>
    <w:lvl w:ilvl="2" w:tplc="040C0005" w:tentative="1">
      <w:start w:val="1"/>
      <w:numFmt w:val="bullet"/>
      <w:lvlText w:val=""/>
      <w:lvlJc w:val="left"/>
      <w:pPr>
        <w:ind w:left="1464" w:hanging="360"/>
      </w:pPr>
      <w:rPr>
        <w:rFonts w:ascii="Wingdings" w:hAnsi="Wingdings" w:hint="default"/>
      </w:rPr>
    </w:lvl>
    <w:lvl w:ilvl="3" w:tplc="040C0001" w:tentative="1">
      <w:start w:val="1"/>
      <w:numFmt w:val="bullet"/>
      <w:lvlText w:val=""/>
      <w:lvlJc w:val="left"/>
      <w:pPr>
        <w:ind w:left="2184" w:hanging="360"/>
      </w:pPr>
      <w:rPr>
        <w:rFonts w:ascii="Symbol" w:hAnsi="Symbol" w:hint="default"/>
      </w:rPr>
    </w:lvl>
    <w:lvl w:ilvl="4" w:tplc="040C0003" w:tentative="1">
      <w:start w:val="1"/>
      <w:numFmt w:val="bullet"/>
      <w:lvlText w:val="o"/>
      <w:lvlJc w:val="left"/>
      <w:pPr>
        <w:ind w:left="2904" w:hanging="360"/>
      </w:pPr>
      <w:rPr>
        <w:rFonts w:ascii="Courier New" w:hAnsi="Courier New" w:cs="Courier New" w:hint="default"/>
      </w:rPr>
    </w:lvl>
    <w:lvl w:ilvl="5" w:tplc="040C0005" w:tentative="1">
      <w:start w:val="1"/>
      <w:numFmt w:val="bullet"/>
      <w:lvlText w:val=""/>
      <w:lvlJc w:val="left"/>
      <w:pPr>
        <w:ind w:left="3624" w:hanging="360"/>
      </w:pPr>
      <w:rPr>
        <w:rFonts w:ascii="Wingdings" w:hAnsi="Wingdings" w:hint="default"/>
      </w:rPr>
    </w:lvl>
    <w:lvl w:ilvl="6" w:tplc="040C0001" w:tentative="1">
      <w:start w:val="1"/>
      <w:numFmt w:val="bullet"/>
      <w:lvlText w:val=""/>
      <w:lvlJc w:val="left"/>
      <w:pPr>
        <w:ind w:left="4344" w:hanging="360"/>
      </w:pPr>
      <w:rPr>
        <w:rFonts w:ascii="Symbol" w:hAnsi="Symbol" w:hint="default"/>
      </w:rPr>
    </w:lvl>
    <w:lvl w:ilvl="7" w:tplc="040C0003" w:tentative="1">
      <w:start w:val="1"/>
      <w:numFmt w:val="bullet"/>
      <w:lvlText w:val="o"/>
      <w:lvlJc w:val="left"/>
      <w:pPr>
        <w:ind w:left="5064" w:hanging="360"/>
      </w:pPr>
      <w:rPr>
        <w:rFonts w:ascii="Courier New" w:hAnsi="Courier New" w:cs="Courier New" w:hint="default"/>
      </w:rPr>
    </w:lvl>
    <w:lvl w:ilvl="8" w:tplc="040C0005" w:tentative="1">
      <w:start w:val="1"/>
      <w:numFmt w:val="bullet"/>
      <w:lvlText w:val=""/>
      <w:lvlJc w:val="left"/>
      <w:pPr>
        <w:ind w:left="5784" w:hanging="360"/>
      </w:pPr>
      <w:rPr>
        <w:rFonts w:ascii="Wingdings" w:hAnsi="Wingdings" w:hint="default"/>
      </w:rPr>
    </w:lvl>
  </w:abstractNum>
  <w:abstractNum w:abstractNumId="16">
    <w:nsid w:val="34264734"/>
    <w:multiLevelType w:val="hybridMultilevel"/>
    <w:tmpl w:val="CA747D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A336ED1"/>
    <w:multiLevelType w:val="hybridMultilevel"/>
    <w:tmpl w:val="0CC8A346"/>
    <w:lvl w:ilvl="0" w:tplc="3B548B0A">
      <w:numFmt w:val="bullet"/>
      <w:lvlText w:val="-"/>
      <w:lvlJc w:val="left"/>
      <w:pPr>
        <w:ind w:left="720" w:hanging="360"/>
      </w:pPr>
      <w:rPr>
        <w:rFonts w:ascii="Calibri" w:eastAsiaTheme="minorHAnsi" w:hAnsi="Calibri" w:cs="Calibr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6A5FCE"/>
    <w:multiLevelType w:val="hybridMultilevel"/>
    <w:tmpl w:val="AAE461FA"/>
    <w:lvl w:ilvl="0" w:tplc="4872AE34">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DAD5C0E"/>
    <w:multiLevelType w:val="hybridMultilevel"/>
    <w:tmpl w:val="F0CA0E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C95BA5"/>
    <w:multiLevelType w:val="hybridMultilevel"/>
    <w:tmpl w:val="2FDA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8B7D30"/>
    <w:multiLevelType w:val="hybridMultilevel"/>
    <w:tmpl w:val="0AE8C30E"/>
    <w:lvl w:ilvl="0" w:tplc="7524453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50647CF"/>
    <w:multiLevelType w:val="hybridMultilevel"/>
    <w:tmpl w:val="F0D6CF3E"/>
    <w:lvl w:ilvl="0" w:tplc="040C0001">
      <w:start w:val="1"/>
      <w:numFmt w:val="bullet"/>
      <w:lvlText w:val=""/>
      <w:lvlJc w:val="left"/>
      <w:pPr>
        <w:ind w:left="1513" w:hanging="360"/>
      </w:pPr>
      <w:rPr>
        <w:rFonts w:ascii="Symbol" w:hAnsi="Symbol" w:hint="default"/>
        <w:color w:val="auto"/>
      </w:rPr>
    </w:lvl>
    <w:lvl w:ilvl="1" w:tplc="040C0003" w:tentative="1">
      <w:start w:val="1"/>
      <w:numFmt w:val="bullet"/>
      <w:lvlText w:val="o"/>
      <w:lvlJc w:val="left"/>
      <w:pPr>
        <w:ind w:left="2233" w:hanging="360"/>
      </w:pPr>
      <w:rPr>
        <w:rFonts w:ascii="Courier New" w:hAnsi="Courier New" w:cs="Courier New" w:hint="default"/>
      </w:rPr>
    </w:lvl>
    <w:lvl w:ilvl="2" w:tplc="040C0005" w:tentative="1">
      <w:start w:val="1"/>
      <w:numFmt w:val="bullet"/>
      <w:lvlText w:val=""/>
      <w:lvlJc w:val="left"/>
      <w:pPr>
        <w:ind w:left="2953" w:hanging="360"/>
      </w:pPr>
      <w:rPr>
        <w:rFonts w:ascii="Wingdings" w:hAnsi="Wingdings" w:hint="default"/>
      </w:rPr>
    </w:lvl>
    <w:lvl w:ilvl="3" w:tplc="040C0001" w:tentative="1">
      <w:start w:val="1"/>
      <w:numFmt w:val="bullet"/>
      <w:lvlText w:val=""/>
      <w:lvlJc w:val="left"/>
      <w:pPr>
        <w:ind w:left="3673" w:hanging="360"/>
      </w:pPr>
      <w:rPr>
        <w:rFonts w:ascii="Symbol" w:hAnsi="Symbol" w:hint="default"/>
      </w:rPr>
    </w:lvl>
    <w:lvl w:ilvl="4" w:tplc="040C0003" w:tentative="1">
      <w:start w:val="1"/>
      <w:numFmt w:val="bullet"/>
      <w:lvlText w:val="o"/>
      <w:lvlJc w:val="left"/>
      <w:pPr>
        <w:ind w:left="4393" w:hanging="360"/>
      </w:pPr>
      <w:rPr>
        <w:rFonts w:ascii="Courier New" w:hAnsi="Courier New" w:cs="Courier New" w:hint="default"/>
      </w:rPr>
    </w:lvl>
    <w:lvl w:ilvl="5" w:tplc="040C0005" w:tentative="1">
      <w:start w:val="1"/>
      <w:numFmt w:val="bullet"/>
      <w:lvlText w:val=""/>
      <w:lvlJc w:val="left"/>
      <w:pPr>
        <w:ind w:left="5113" w:hanging="360"/>
      </w:pPr>
      <w:rPr>
        <w:rFonts w:ascii="Wingdings" w:hAnsi="Wingdings" w:hint="default"/>
      </w:rPr>
    </w:lvl>
    <w:lvl w:ilvl="6" w:tplc="040C0001" w:tentative="1">
      <w:start w:val="1"/>
      <w:numFmt w:val="bullet"/>
      <w:lvlText w:val=""/>
      <w:lvlJc w:val="left"/>
      <w:pPr>
        <w:ind w:left="5833" w:hanging="360"/>
      </w:pPr>
      <w:rPr>
        <w:rFonts w:ascii="Symbol" w:hAnsi="Symbol" w:hint="default"/>
      </w:rPr>
    </w:lvl>
    <w:lvl w:ilvl="7" w:tplc="040C0003" w:tentative="1">
      <w:start w:val="1"/>
      <w:numFmt w:val="bullet"/>
      <w:lvlText w:val="o"/>
      <w:lvlJc w:val="left"/>
      <w:pPr>
        <w:ind w:left="6553" w:hanging="360"/>
      </w:pPr>
      <w:rPr>
        <w:rFonts w:ascii="Courier New" w:hAnsi="Courier New" w:cs="Courier New" w:hint="default"/>
      </w:rPr>
    </w:lvl>
    <w:lvl w:ilvl="8" w:tplc="040C0005" w:tentative="1">
      <w:start w:val="1"/>
      <w:numFmt w:val="bullet"/>
      <w:lvlText w:val=""/>
      <w:lvlJc w:val="left"/>
      <w:pPr>
        <w:ind w:left="7273" w:hanging="360"/>
      </w:pPr>
      <w:rPr>
        <w:rFonts w:ascii="Wingdings" w:hAnsi="Wingdings" w:hint="default"/>
      </w:rPr>
    </w:lvl>
  </w:abstractNum>
  <w:abstractNum w:abstractNumId="23">
    <w:nsid w:val="4D877372"/>
    <w:multiLevelType w:val="hybridMultilevel"/>
    <w:tmpl w:val="52D41B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4C6BCB"/>
    <w:multiLevelType w:val="hybridMultilevel"/>
    <w:tmpl w:val="3DC4FA4E"/>
    <w:lvl w:ilvl="0" w:tplc="6EB238A2">
      <w:start w:val="502"/>
      <w:numFmt w:val="bullet"/>
      <w:lvlText w:val="-"/>
      <w:lvlJc w:val="left"/>
      <w:pPr>
        <w:ind w:left="765" w:hanging="360"/>
      </w:pPr>
      <w:rPr>
        <w:rFonts w:ascii="Calibri" w:eastAsia="SimSun" w:hAnsi="Calibri" w:cs="Times New Roman" w:hint="default"/>
        <w:color w:val="auto"/>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nsid w:val="5011679A"/>
    <w:multiLevelType w:val="hybridMultilevel"/>
    <w:tmpl w:val="A6E62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BD65E9"/>
    <w:multiLevelType w:val="hybridMultilevel"/>
    <w:tmpl w:val="3146B9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9D452DE"/>
    <w:multiLevelType w:val="hybridMultilevel"/>
    <w:tmpl w:val="164CDF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D97D6C"/>
    <w:multiLevelType w:val="hybridMultilevel"/>
    <w:tmpl w:val="EF02E342"/>
    <w:lvl w:ilvl="0" w:tplc="3B548B0A">
      <w:numFmt w:val="bullet"/>
      <w:lvlText w:val="-"/>
      <w:lvlJc w:val="left"/>
      <w:pPr>
        <w:tabs>
          <w:tab w:val="num" w:pos="720"/>
        </w:tabs>
        <w:ind w:left="720" w:hanging="360"/>
      </w:pPr>
      <w:rPr>
        <w:rFonts w:ascii="Calibri" w:eastAsiaTheme="minorHAnsi" w:hAnsi="Calibri" w:cs="Calibri" w:hint="default"/>
        <w:b w:val="0"/>
        <w:sz w:val="24"/>
        <w:u w:val="none"/>
      </w:rPr>
    </w:lvl>
    <w:lvl w:ilvl="1" w:tplc="4E847E7A">
      <w:start w:val="1"/>
      <w:numFmt w:val="bullet"/>
      <w:lvlText w:val=""/>
      <w:lvlJc w:val="left"/>
      <w:pPr>
        <w:tabs>
          <w:tab w:val="num" w:pos="1440"/>
        </w:tabs>
        <w:ind w:left="1440" w:hanging="360"/>
      </w:pPr>
      <w:rPr>
        <w:rFonts w:ascii="Symbol" w:hAnsi="Symbol" w:hint="default"/>
      </w:rPr>
    </w:lvl>
    <w:lvl w:ilvl="2" w:tplc="81CE4E2E" w:tentative="1">
      <w:start w:val="1"/>
      <w:numFmt w:val="bullet"/>
      <w:lvlText w:val=""/>
      <w:lvlJc w:val="left"/>
      <w:pPr>
        <w:tabs>
          <w:tab w:val="num" w:pos="2160"/>
        </w:tabs>
        <w:ind w:left="2160" w:hanging="360"/>
      </w:pPr>
      <w:rPr>
        <w:rFonts w:ascii="Symbol" w:hAnsi="Symbol" w:hint="default"/>
      </w:rPr>
    </w:lvl>
    <w:lvl w:ilvl="3" w:tplc="A21A6CA2" w:tentative="1">
      <w:start w:val="1"/>
      <w:numFmt w:val="bullet"/>
      <w:lvlText w:val=""/>
      <w:lvlJc w:val="left"/>
      <w:pPr>
        <w:tabs>
          <w:tab w:val="num" w:pos="2880"/>
        </w:tabs>
        <w:ind w:left="2880" w:hanging="360"/>
      </w:pPr>
      <w:rPr>
        <w:rFonts w:ascii="Symbol" w:hAnsi="Symbol" w:hint="default"/>
      </w:rPr>
    </w:lvl>
    <w:lvl w:ilvl="4" w:tplc="E93C6360" w:tentative="1">
      <w:start w:val="1"/>
      <w:numFmt w:val="bullet"/>
      <w:lvlText w:val=""/>
      <w:lvlJc w:val="left"/>
      <w:pPr>
        <w:tabs>
          <w:tab w:val="num" w:pos="3600"/>
        </w:tabs>
        <w:ind w:left="3600" w:hanging="360"/>
      </w:pPr>
      <w:rPr>
        <w:rFonts w:ascii="Symbol" w:hAnsi="Symbol" w:hint="default"/>
      </w:rPr>
    </w:lvl>
    <w:lvl w:ilvl="5" w:tplc="BDBED9DE" w:tentative="1">
      <w:start w:val="1"/>
      <w:numFmt w:val="bullet"/>
      <w:lvlText w:val=""/>
      <w:lvlJc w:val="left"/>
      <w:pPr>
        <w:tabs>
          <w:tab w:val="num" w:pos="4320"/>
        </w:tabs>
        <w:ind w:left="4320" w:hanging="360"/>
      </w:pPr>
      <w:rPr>
        <w:rFonts w:ascii="Symbol" w:hAnsi="Symbol" w:hint="default"/>
      </w:rPr>
    </w:lvl>
    <w:lvl w:ilvl="6" w:tplc="B486F142" w:tentative="1">
      <w:start w:val="1"/>
      <w:numFmt w:val="bullet"/>
      <w:lvlText w:val=""/>
      <w:lvlJc w:val="left"/>
      <w:pPr>
        <w:tabs>
          <w:tab w:val="num" w:pos="5040"/>
        </w:tabs>
        <w:ind w:left="5040" w:hanging="360"/>
      </w:pPr>
      <w:rPr>
        <w:rFonts w:ascii="Symbol" w:hAnsi="Symbol" w:hint="default"/>
      </w:rPr>
    </w:lvl>
    <w:lvl w:ilvl="7" w:tplc="2DA4633E" w:tentative="1">
      <w:start w:val="1"/>
      <w:numFmt w:val="bullet"/>
      <w:lvlText w:val=""/>
      <w:lvlJc w:val="left"/>
      <w:pPr>
        <w:tabs>
          <w:tab w:val="num" w:pos="5760"/>
        </w:tabs>
        <w:ind w:left="5760" w:hanging="360"/>
      </w:pPr>
      <w:rPr>
        <w:rFonts w:ascii="Symbol" w:hAnsi="Symbol" w:hint="default"/>
      </w:rPr>
    </w:lvl>
    <w:lvl w:ilvl="8" w:tplc="C3BC74E2" w:tentative="1">
      <w:start w:val="1"/>
      <w:numFmt w:val="bullet"/>
      <w:lvlText w:val=""/>
      <w:lvlJc w:val="left"/>
      <w:pPr>
        <w:tabs>
          <w:tab w:val="num" w:pos="6480"/>
        </w:tabs>
        <w:ind w:left="6480" w:hanging="360"/>
      </w:pPr>
      <w:rPr>
        <w:rFonts w:ascii="Symbol" w:hAnsi="Symbol" w:hint="default"/>
      </w:rPr>
    </w:lvl>
  </w:abstractNum>
  <w:abstractNum w:abstractNumId="29">
    <w:nsid w:val="622F5EC9"/>
    <w:multiLevelType w:val="hybridMultilevel"/>
    <w:tmpl w:val="112654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18424E"/>
    <w:multiLevelType w:val="hybridMultilevel"/>
    <w:tmpl w:val="7660BE4E"/>
    <w:lvl w:ilvl="0" w:tplc="3B548B0A">
      <w:numFmt w:val="bullet"/>
      <w:lvlText w:val="-"/>
      <w:lvlJc w:val="left"/>
      <w:pPr>
        <w:ind w:left="720" w:hanging="360"/>
      </w:pPr>
      <w:rPr>
        <w:rFonts w:ascii="Calibri" w:eastAsiaTheme="minorHAnsi" w:hAnsi="Calibri" w:cs="Calibr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F100FA"/>
    <w:multiLevelType w:val="hybridMultilevel"/>
    <w:tmpl w:val="F45E7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ED77FF"/>
    <w:multiLevelType w:val="hybridMultilevel"/>
    <w:tmpl w:val="9FFADF14"/>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674F97"/>
    <w:multiLevelType w:val="hybridMultilevel"/>
    <w:tmpl w:val="76704554"/>
    <w:lvl w:ilvl="0" w:tplc="1ECAAC8A">
      <w:start w:val="1"/>
      <w:numFmt w:val="low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F600726"/>
    <w:multiLevelType w:val="hybridMultilevel"/>
    <w:tmpl w:val="CA4A1F3E"/>
    <w:lvl w:ilvl="0" w:tplc="5AFA967C">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E74E22"/>
    <w:multiLevelType w:val="hybridMultilevel"/>
    <w:tmpl w:val="6AA6E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AC69D6"/>
    <w:multiLevelType w:val="hybridMultilevel"/>
    <w:tmpl w:val="22C64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3555BA"/>
    <w:multiLevelType w:val="hybridMultilevel"/>
    <w:tmpl w:val="FF0E557E"/>
    <w:lvl w:ilvl="0" w:tplc="A60CC498">
      <w:start w:val="1"/>
      <w:numFmt w:val="bullet"/>
      <w:lvlText w:val="•"/>
      <w:lvlJc w:val="left"/>
      <w:pPr>
        <w:ind w:left="720" w:hanging="360"/>
      </w:pPr>
      <w:rPr>
        <w:rFonts w:ascii="Times New Roman" w:hAnsi="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DF30CF"/>
    <w:multiLevelType w:val="hybridMultilevel"/>
    <w:tmpl w:val="694033F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CE4776A"/>
    <w:multiLevelType w:val="hybridMultilevel"/>
    <w:tmpl w:val="CC4E56AE"/>
    <w:lvl w:ilvl="0" w:tplc="A60CC498">
      <w:start w:val="1"/>
      <w:numFmt w:val="bullet"/>
      <w:lvlText w:val="•"/>
      <w:lvlJc w:val="left"/>
      <w:pPr>
        <w:tabs>
          <w:tab w:val="num" w:pos="720"/>
        </w:tabs>
        <w:ind w:left="720" w:hanging="360"/>
      </w:pPr>
      <w:rPr>
        <w:rFonts w:ascii="Times New Roman" w:hAnsi="Times New Roman" w:hint="default"/>
      </w:rPr>
    </w:lvl>
    <w:lvl w:ilvl="1" w:tplc="A8FAEE82">
      <w:start w:val="1016"/>
      <w:numFmt w:val="bullet"/>
      <w:lvlText w:val="•"/>
      <w:lvlJc w:val="left"/>
      <w:pPr>
        <w:tabs>
          <w:tab w:val="num" w:pos="1440"/>
        </w:tabs>
        <w:ind w:left="1440" w:hanging="360"/>
      </w:pPr>
      <w:rPr>
        <w:rFonts w:ascii="Times New Roman" w:hAnsi="Times New Roman" w:hint="default"/>
      </w:rPr>
    </w:lvl>
    <w:lvl w:ilvl="2" w:tplc="8EBEB646" w:tentative="1">
      <w:start w:val="1"/>
      <w:numFmt w:val="bullet"/>
      <w:lvlText w:val="•"/>
      <w:lvlJc w:val="left"/>
      <w:pPr>
        <w:tabs>
          <w:tab w:val="num" w:pos="2160"/>
        </w:tabs>
        <w:ind w:left="2160" w:hanging="360"/>
      </w:pPr>
      <w:rPr>
        <w:rFonts w:ascii="Times New Roman" w:hAnsi="Times New Roman" w:hint="default"/>
      </w:rPr>
    </w:lvl>
    <w:lvl w:ilvl="3" w:tplc="2D0EF21E" w:tentative="1">
      <w:start w:val="1"/>
      <w:numFmt w:val="bullet"/>
      <w:lvlText w:val="•"/>
      <w:lvlJc w:val="left"/>
      <w:pPr>
        <w:tabs>
          <w:tab w:val="num" w:pos="2880"/>
        </w:tabs>
        <w:ind w:left="2880" w:hanging="360"/>
      </w:pPr>
      <w:rPr>
        <w:rFonts w:ascii="Times New Roman" w:hAnsi="Times New Roman" w:hint="default"/>
      </w:rPr>
    </w:lvl>
    <w:lvl w:ilvl="4" w:tplc="151C383E" w:tentative="1">
      <w:start w:val="1"/>
      <w:numFmt w:val="bullet"/>
      <w:lvlText w:val="•"/>
      <w:lvlJc w:val="left"/>
      <w:pPr>
        <w:tabs>
          <w:tab w:val="num" w:pos="3600"/>
        </w:tabs>
        <w:ind w:left="3600" w:hanging="360"/>
      </w:pPr>
      <w:rPr>
        <w:rFonts w:ascii="Times New Roman" w:hAnsi="Times New Roman" w:hint="default"/>
      </w:rPr>
    </w:lvl>
    <w:lvl w:ilvl="5" w:tplc="F23EF8C0" w:tentative="1">
      <w:start w:val="1"/>
      <w:numFmt w:val="bullet"/>
      <w:lvlText w:val="•"/>
      <w:lvlJc w:val="left"/>
      <w:pPr>
        <w:tabs>
          <w:tab w:val="num" w:pos="4320"/>
        </w:tabs>
        <w:ind w:left="4320" w:hanging="360"/>
      </w:pPr>
      <w:rPr>
        <w:rFonts w:ascii="Times New Roman" w:hAnsi="Times New Roman" w:hint="default"/>
      </w:rPr>
    </w:lvl>
    <w:lvl w:ilvl="6" w:tplc="60B8E864" w:tentative="1">
      <w:start w:val="1"/>
      <w:numFmt w:val="bullet"/>
      <w:lvlText w:val="•"/>
      <w:lvlJc w:val="left"/>
      <w:pPr>
        <w:tabs>
          <w:tab w:val="num" w:pos="5040"/>
        </w:tabs>
        <w:ind w:left="5040" w:hanging="360"/>
      </w:pPr>
      <w:rPr>
        <w:rFonts w:ascii="Times New Roman" w:hAnsi="Times New Roman" w:hint="default"/>
      </w:rPr>
    </w:lvl>
    <w:lvl w:ilvl="7" w:tplc="09BA9A72" w:tentative="1">
      <w:start w:val="1"/>
      <w:numFmt w:val="bullet"/>
      <w:lvlText w:val="•"/>
      <w:lvlJc w:val="left"/>
      <w:pPr>
        <w:tabs>
          <w:tab w:val="num" w:pos="5760"/>
        </w:tabs>
        <w:ind w:left="5760" w:hanging="360"/>
      </w:pPr>
      <w:rPr>
        <w:rFonts w:ascii="Times New Roman" w:hAnsi="Times New Roman" w:hint="default"/>
      </w:rPr>
    </w:lvl>
    <w:lvl w:ilvl="8" w:tplc="7E806BE6"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0"/>
  </w:num>
  <w:num w:numId="3">
    <w:abstractNumId w:val="1"/>
  </w:num>
  <w:num w:numId="4">
    <w:abstractNumId w:val="19"/>
  </w:num>
  <w:num w:numId="5">
    <w:abstractNumId w:val="3"/>
  </w:num>
  <w:num w:numId="6">
    <w:abstractNumId w:val="10"/>
  </w:num>
  <w:num w:numId="7">
    <w:abstractNumId w:val="9"/>
  </w:num>
  <w:num w:numId="8">
    <w:abstractNumId w:val="39"/>
  </w:num>
  <w:num w:numId="9">
    <w:abstractNumId w:val="2"/>
  </w:num>
  <w:num w:numId="10">
    <w:abstractNumId w:val="34"/>
  </w:num>
  <w:num w:numId="11">
    <w:abstractNumId w:val="13"/>
  </w:num>
  <w:num w:numId="12">
    <w:abstractNumId w:val="11"/>
  </w:num>
  <w:num w:numId="13">
    <w:abstractNumId w:val="38"/>
  </w:num>
  <w:num w:numId="14">
    <w:abstractNumId w:val="0"/>
  </w:num>
  <w:num w:numId="15">
    <w:abstractNumId w:val="33"/>
  </w:num>
  <w:num w:numId="16">
    <w:abstractNumId w:val="15"/>
  </w:num>
  <w:num w:numId="17">
    <w:abstractNumId w:val="31"/>
  </w:num>
  <w:num w:numId="18">
    <w:abstractNumId w:val="18"/>
  </w:num>
  <w:num w:numId="19">
    <w:abstractNumId w:val="4"/>
  </w:num>
  <w:num w:numId="20">
    <w:abstractNumId w:val="26"/>
  </w:num>
  <w:num w:numId="21">
    <w:abstractNumId w:val="6"/>
  </w:num>
  <w:num w:numId="22">
    <w:abstractNumId w:val="22"/>
  </w:num>
  <w:num w:numId="23">
    <w:abstractNumId w:val="36"/>
  </w:num>
  <w:num w:numId="24">
    <w:abstractNumId w:val="8"/>
  </w:num>
  <w:num w:numId="25">
    <w:abstractNumId w:val="21"/>
  </w:num>
  <w:num w:numId="26">
    <w:abstractNumId w:val="24"/>
  </w:num>
  <w:num w:numId="27">
    <w:abstractNumId w:val="32"/>
  </w:num>
  <w:num w:numId="28">
    <w:abstractNumId w:val="7"/>
  </w:num>
  <w:num w:numId="29">
    <w:abstractNumId w:val="5"/>
  </w:num>
  <w:num w:numId="30">
    <w:abstractNumId w:val="28"/>
  </w:num>
  <w:num w:numId="31">
    <w:abstractNumId w:val="23"/>
  </w:num>
  <w:num w:numId="32">
    <w:abstractNumId w:val="14"/>
  </w:num>
  <w:num w:numId="33">
    <w:abstractNumId w:val="25"/>
  </w:num>
  <w:num w:numId="34">
    <w:abstractNumId w:val="12"/>
  </w:num>
  <w:num w:numId="35">
    <w:abstractNumId w:val="29"/>
  </w:num>
  <w:num w:numId="36">
    <w:abstractNumId w:val="16"/>
  </w:num>
  <w:num w:numId="37">
    <w:abstractNumId w:val="1"/>
  </w:num>
  <w:num w:numId="38">
    <w:abstractNumId w:val="1"/>
  </w:num>
  <w:num w:numId="39">
    <w:abstractNumId w:val="1"/>
  </w:num>
  <w:num w:numId="40">
    <w:abstractNumId w:val="1"/>
  </w:num>
  <w:num w:numId="41">
    <w:abstractNumId w:val="1"/>
  </w:num>
  <w:num w:numId="42">
    <w:abstractNumId w:val="35"/>
  </w:num>
  <w:num w:numId="43">
    <w:abstractNumId w:val="1"/>
  </w:num>
  <w:num w:numId="44">
    <w:abstractNumId w:val="27"/>
  </w:num>
  <w:num w:numId="45">
    <w:abstractNumId w:val="17"/>
  </w:num>
  <w:num w:numId="46">
    <w:abstractNumId w:val="37"/>
  </w:num>
  <w:num w:numId="47">
    <w:abstractNumId w:val="1"/>
  </w:num>
  <w:num w:numId="48">
    <w:abstractNumId w:val="1"/>
  </w:num>
  <w:num w:numId="49">
    <w:abstractNumId w:val="1"/>
  </w:num>
  <w:num w:numId="50">
    <w:abstractNumId w:val="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80F12"/>
    <w:rsid w:val="00002EC7"/>
    <w:rsid w:val="00006E7E"/>
    <w:rsid w:val="000072D9"/>
    <w:rsid w:val="00010814"/>
    <w:rsid w:val="00015C4C"/>
    <w:rsid w:val="000175E8"/>
    <w:rsid w:val="00017A4F"/>
    <w:rsid w:val="00017C0F"/>
    <w:rsid w:val="00022C62"/>
    <w:rsid w:val="00023253"/>
    <w:rsid w:val="000234D1"/>
    <w:rsid w:val="00024A38"/>
    <w:rsid w:val="000304BA"/>
    <w:rsid w:val="000352AB"/>
    <w:rsid w:val="0003650A"/>
    <w:rsid w:val="00037D52"/>
    <w:rsid w:val="000406CA"/>
    <w:rsid w:val="0004163A"/>
    <w:rsid w:val="000429FD"/>
    <w:rsid w:val="00045824"/>
    <w:rsid w:val="00047173"/>
    <w:rsid w:val="00050DD3"/>
    <w:rsid w:val="00052373"/>
    <w:rsid w:val="000544F1"/>
    <w:rsid w:val="00056D08"/>
    <w:rsid w:val="00061AFF"/>
    <w:rsid w:val="00065772"/>
    <w:rsid w:val="000748EE"/>
    <w:rsid w:val="00082F60"/>
    <w:rsid w:val="000843C6"/>
    <w:rsid w:val="000859D4"/>
    <w:rsid w:val="00091513"/>
    <w:rsid w:val="00092DDD"/>
    <w:rsid w:val="00095655"/>
    <w:rsid w:val="00096549"/>
    <w:rsid w:val="000A371F"/>
    <w:rsid w:val="000A4EB2"/>
    <w:rsid w:val="000A50B9"/>
    <w:rsid w:val="000A7366"/>
    <w:rsid w:val="000B029C"/>
    <w:rsid w:val="000B06EB"/>
    <w:rsid w:val="000B1BF7"/>
    <w:rsid w:val="000B6A40"/>
    <w:rsid w:val="000C1ABC"/>
    <w:rsid w:val="000C4604"/>
    <w:rsid w:val="000C611C"/>
    <w:rsid w:val="000C658A"/>
    <w:rsid w:val="000D02DC"/>
    <w:rsid w:val="000D0FFE"/>
    <w:rsid w:val="000D2A4A"/>
    <w:rsid w:val="000D444C"/>
    <w:rsid w:val="000D5298"/>
    <w:rsid w:val="000E24E0"/>
    <w:rsid w:val="000E4957"/>
    <w:rsid w:val="000F281E"/>
    <w:rsid w:val="000F665E"/>
    <w:rsid w:val="000F6905"/>
    <w:rsid w:val="000F709C"/>
    <w:rsid w:val="000F77C2"/>
    <w:rsid w:val="00100377"/>
    <w:rsid w:val="00100A1E"/>
    <w:rsid w:val="001022E3"/>
    <w:rsid w:val="00104D9C"/>
    <w:rsid w:val="001070C1"/>
    <w:rsid w:val="00107B86"/>
    <w:rsid w:val="00111709"/>
    <w:rsid w:val="00111B58"/>
    <w:rsid w:val="001120CA"/>
    <w:rsid w:val="00112C8E"/>
    <w:rsid w:val="001162EE"/>
    <w:rsid w:val="001213DB"/>
    <w:rsid w:val="00123B9D"/>
    <w:rsid w:val="0012449B"/>
    <w:rsid w:val="00126335"/>
    <w:rsid w:val="0013180E"/>
    <w:rsid w:val="00141766"/>
    <w:rsid w:val="00141D24"/>
    <w:rsid w:val="00141D3D"/>
    <w:rsid w:val="001424EE"/>
    <w:rsid w:val="00142CA0"/>
    <w:rsid w:val="0014399C"/>
    <w:rsid w:val="001441F2"/>
    <w:rsid w:val="00145F03"/>
    <w:rsid w:val="00157AAE"/>
    <w:rsid w:val="00162505"/>
    <w:rsid w:val="001650F4"/>
    <w:rsid w:val="001675DC"/>
    <w:rsid w:val="0017034F"/>
    <w:rsid w:val="001721D0"/>
    <w:rsid w:val="001724A0"/>
    <w:rsid w:val="00173347"/>
    <w:rsid w:val="00174241"/>
    <w:rsid w:val="001813A0"/>
    <w:rsid w:val="00182E1B"/>
    <w:rsid w:val="00186764"/>
    <w:rsid w:val="001879D5"/>
    <w:rsid w:val="00187AA2"/>
    <w:rsid w:val="001906EF"/>
    <w:rsid w:val="001A05F7"/>
    <w:rsid w:val="001A3982"/>
    <w:rsid w:val="001B0E01"/>
    <w:rsid w:val="001B33F7"/>
    <w:rsid w:val="001B513F"/>
    <w:rsid w:val="001C05E7"/>
    <w:rsid w:val="001C1A50"/>
    <w:rsid w:val="001C425E"/>
    <w:rsid w:val="001C52F0"/>
    <w:rsid w:val="001C5FF9"/>
    <w:rsid w:val="001C68E5"/>
    <w:rsid w:val="001D37C5"/>
    <w:rsid w:val="001D44D9"/>
    <w:rsid w:val="001D4640"/>
    <w:rsid w:val="001E6C1E"/>
    <w:rsid w:val="001F0538"/>
    <w:rsid w:val="001F07BC"/>
    <w:rsid w:val="001F538F"/>
    <w:rsid w:val="001F6FAB"/>
    <w:rsid w:val="00200001"/>
    <w:rsid w:val="00200E1A"/>
    <w:rsid w:val="00202702"/>
    <w:rsid w:val="00205488"/>
    <w:rsid w:val="002054EB"/>
    <w:rsid w:val="00213AC6"/>
    <w:rsid w:val="00213D87"/>
    <w:rsid w:val="002161A1"/>
    <w:rsid w:val="0021663A"/>
    <w:rsid w:val="00217A1F"/>
    <w:rsid w:val="0022132C"/>
    <w:rsid w:val="00221C98"/>
    <w:rsid w:val="00224742"/>
    <w:rsid w:val="00224995"/>
    <w:rsid w:val="00225558"/>
    <w:rsid w:val="00232047"/>
    <w:rsid w:val="00241E8C"/>
    <w:rsid w:val="0024463C"/>
    <w:rsid w:val="00257107"/>
    <w:rsid w:val="0025735D"/>
    <w:rsid w:val="0026304E"/>
    <w:rsid w:val="00264138"/>
    <w:rsid w:val="00264B6D"/>
    <w:rsid w:val="00273F6D"/>
    <w:rsid w:val="0027741B"/>
    <w:rsid w:val="00283072"/>
    <w:rsid w:val="0028592D"/>
    <w:rsid w:val="00290B3B"/>
    <w:rsid w:val="00290CD5"/>
    <w:rsid w:val="0029240C"/>
    <w:rsid w:val="002B1B10"/>
    <w:rsid w:val="002B245C"/>
    <w:rsid w:val="002B2788"/>
    <w:rsid w:val="002B3D1A"/>
    <w:rsid w:val="002B5936"/>
    <w:rsid w:val="002B61E2"/>
    <w:rsid w:val="002C0497"/>
    <w:rsid w:val="002C0714"/>
    <w:rsid w:val="002C400C"/>
    <w:rsid w:val="002D1029"/>
    <w:rsid w:val="002D54AF"/>
    <w:rsid w:val="002D5568"/>
    <w:rsid w:val="002D5B59"/>
    <w:rsid w:val="002E15DD"/>
    <w:rsid w:val="002E17AF"/>
    <w:rsid w:val="002E2790"/>
    <w:rsid w:val="002F0E7D"/>
    <w:rsid w:val="002F6341"/>
    <w:rsid w:val="002F7E32"/>
    <w:rsid w:val="00304640"/>
    <w:rsid w:val="00304A33"/>
    <w:rsid w:val="00305072"/>
    <w:rsid w:val="00307417"/>
    <w:rsid w:val="00313EB7"/>
    <w:rsid w:val="0031447F"/>
    <w:rsid w:val="00314C46"/>
    <w:rsid w:val="00316339"/>
    <w:rsid w:val="00316394"/>
    <w:rsid w:val="00317BD7"/>
    <w:rsid w:val="00320000"/>
    <w:rsid w:val="0032122E"/>
    <w:rsid w:val="003246BA"/>
    <w:rsid w:val="00327896"/>
    <w:rsid w:val="0033223F"/>
    <w:rsid w:val="00332432"/>
    <w:rsid w:val="003326A2"/>
    <w:rsid w:val="00335CC5"/>
    <w:rsid w:val="0034167F"/>
    <w:rsid w:val="00347567"/>
    <w:rsid w:val="00350973"/>
    <w:rsid w:val="00350B81"/>
    <w:rsid w:val="00350F1D"/>
    <w:rsid w:val="00351399"/>
    <w:rsid w:val="0035449F"/>
    <w:rsid w:val="00356347"/>
    <w:rsid w:val="00360255"/>
    <w:rsid w:val="00360567"/>
    <w:rsid w:val="003623E5"/>
    <w:rsid w:val="00363DC3"/>
    <w:rsid w:val="00365276"/>
    <w:rsid w:val="00365715"/>
    <w:rsid w:val="00373DCF"/>
    <w:rsid w:val="0037404A"/>
    <w:rsid w:val="00374CD0"/>
    <w:rsid w:val="00380A6A"/>
    <w:rsid w:val="003837D5"/>
    <w:rsid w:val="00384309"/>
    <w:rsid w:val="00391A75"/>
    <w:rsid w:val="00391F69"/>
    <w:rsid w:val="0039339B"/>
    <w:rsid w:val="003947AC"/>
    <w:rsid w:val="00394CAD"/>
    <w:rsid w:val="0039645C"/>
    <w:rsid w:val="003A036B"/>
    <w:rsid w:val="003B2093"/>
    <w:rsid w:val="003B354C"/>
    <w:rsid w:val="003B37E7"/>
    <w:rsid w:val="003B3DCA"/>
    <w:rsid w:val="003B419E"/>
    <w:rsid w:val="003B4290"/>
    <w:rsid w:val="003C0437"/>
    <w:rsid w:val="003C0D8D"/>
    <w:rsid w:val="003C3453"/>
    <w:rsid w:val="003C3E5D"/>
    <w:rsid w:val="003C47AE"/>
    <w:rsid w:val="003C4E4D"/>
    <w:rsid w:val="003D0368"/>
    <w:rsid w:val="003D1004"/>
    <w:rsid w:val="003D68DD"/>
    <w:rsid w:val="003D7054"/>
    <w:rsid w:val="003E56F0"/>
    <w:rsid w:val="003E700D"/>
    <w:rsid w:val="003F1453"/>
    <w:rsid w:val="003F5BC4"/>
    <w:rsid w:val="00401ACB"/>
    <w:rsid w:val="004029EB"/>
    <w:rsid w:val="00405864"/>
    <w:rsid w:val="004120CC"/>
    <w:rsid w:val="0042014B"/>
    <w:rsid w:val="00421E1D"/>
    <w:rsid w:val="00422BD9"/>
    <w:rsid w:val="00423518"/>
    <w:rsid w:val="00424F59"/>
    <w:rsid w:val="00425589"/>
    <w:rsid w:val="0042579C"/>
    <w:rsid w:val="00425B1A"/>
    <w:rsid w:val="00430E59"/>
    <w:rsid w:val="00432676"/>
    <w:rsid w:val="00436426"/>
    <w:rsid w:val="004369B8"/>
    <w:rsid w:val="004378D2"/>
    <w:rsid w:val="00442DF3"/>
    <w:rsid w:val="00445D1A"/>
    <w:rsid w:val="004468C1"/>
    <w:rsid w:val="00446988"/>
    <w:rsid w:val="00447042"/>
    <w:rsid w:val="00450651"/>
    <w:rsid w:val="0045496C"/>
    <w:rsid w:val="00454F3C"/>
    <w:rsid w:val="00457C8E"/>
    <w:rsid w:val="00466AE1"/>
    <w:rsid w:val="00475B0B"/>
    <w:rsid w:val="004802D3"/>
    <w:rsid w:val="00480AB7"/>
    <w:rsid w:val="00480E35"/>
    <w:rsid w:val="00481CB2"/>
    <w:rsid w:val="0048310B"/>
    <w:rsid w:val="0048353C"/>
    <w:rsid w:val="0049080E"/>
    <w:rsid w:val="004908BD"/>
    <w:rsid w:val="00490C94"/>
    <w:rsid w:val="004925A5"/>
    <w:rsid w:val="00495368"/>
    <w:rsid w:val="004A1D48"/>
    <w:rsid w:val="004A68EB"/>
    <w:rsid w:val="004A6BC0"/>
    <w:rsid w:val="004B016A"/>
    <w:rsid w:val="004B0C9E"/>
    <w:rsid w:val="004B2687"/>
    <w:rsid w:val="004B56B0"/>
    <w:rsid w:val="004C249B"/>
    <w:rsid w:val="004C5AF3"/>
    <w:rsid w:val="004C5BBD"/>
    <w:rsid w:val="004C642F"/>
    <w:rsid w:val="004C67F4"/>
    <w:rsid w:val="004C6A36"/>
    <w:rsid w:val="004D18B0"/>
    <w:rsid w:val="004D3260"/>
    <w:rsid w:val="004D522B"/>
    <w:rsid w:val="004D5878"/>
    <w:rsid w:val="004D6D32"/>
    <w:rsid w:val="004E0F09"/>
    <w:rsid w:val="004F0DF5"/>
    <w:rsid w:val="004F2981"/>
    <w:rsid w:val="004F47F6"/>
    <w:rsid w:val="004F5171"/>
    <w:rsid w:val="00502A8C"/>
    <w:rsid w:val="0050368C"/>
    <w:rsid w:val="00503835"/>
    <w:rsid w:val="005044BE"/>
    <w:rsid w:val="00504C7D"/>
    <w:rsid w:val="00506CE8"/>
    <w:rsid w:val="00511A27"/>
    <w:rsid w:val="00512349"/>
    <w:rsid w:val="005129F7"/>
    <w:rsid w:val="005136AC"/>
    <w:rsid w:val="00523996"/>
    <w:rsid w:val="0052426D"/>
    <w:rsid w:val="00531013"/>
    <w:rsid w:val="005316D7"/>
    <w:rsid w:val="00531BC8"/>
    <w:rsid w:val="005323EF"/>
    <w:rsid w:val="00532CED"/>
    <w:rsid w:val="0053487D"/>
    <w:rsid w:val="00544288"/>
    <w:rsid w:val="00546F18"/>
    <w:rsid w:val="00553775"/>
    <w:rsid w:val="00555776"/>
    <w:rsid w:val="00556A2C"/>
    <w:rsid w:val="00557559"/>
    <w:rsid w:val="0056118F"/>
    <w:rsid w:val="005622E9"/>
    <w:rsid w:val="00562363"/>
    <w:rsid w:val="00564DC1"/>
    <w:rsid w:val="0056570B"/>
    <w:rsid w:val="0057137A"/>
    <w:rsid w:val="005729CC"/>
    <w:rsid w:val="00577C1E"/>
    <w:rsid w:val="00580B27"/>
    <w:rsid w:val="005816C9"/>
    <w:rsid w:val="00585C4E"/>
    <w:rsid w:val="005863DA"/>
    <w:rsid w:val="0059018E"/>
    <w:rsid w:val="0059622D"/>
    <w:rsid w:val="005970DB"/>
    <w:rsid w:val="005978DD"/>
    <w:rsid w:val="005A113E"/>
    <w:rsid w:val="005A1B33"/>
    <w:rsid w:val="005A275B"/>
    <w:rsid w:val="005A2CC1"/>
    <w:rsid w:val="005A3157"/>
    <w:rsid w:val="005A3876"/>
    <w:rsid w:val="005A5730"/>
    <w:rsid w:val="005A7FF3"/>
    <w:rsid w:val="005B101D"/>
    <w:rsid w:val="005B31F3"/>
    <w:rsid w:val="005B537E"/>
    <w:rsid w:val="005C02A1"/>
    <w:rsid w:val="005C0A5B"/>
    <w:rsid w:val="005C2FA0"/>
    <w:rsid w:val="005C4627"/>
    <w:rsid w:val="005C5EB5"/>
    <w:rsid w:val="005D6924"/>
    <w:rsid w:val="005E2741"/>
    <w:rsid w:val="005E32C1"/>
    <w:rsid w:val="005E6766"/>
    <w:rsid w:val="005F1F3B"/>
    <w:rsid w:val="005F30C6"/>
    <w:rsid w:val="005F34EB"/>
    <w:rsid w:val="005F3BC2"/>
    <w:rsid w:val="005F712C"/>
    <w:rsid w:val="00605C34"/>
    <w:rsid w:val="006125AC"/>
    <w:rsid w:val="00613787"/>
    <w:rsid w:val="00614603"/>
    <w:rsid w:val="00616A53"/>
    <w:rsid w:val="006232C9"/>
    <w:rsid w:val="006239F6"/>
    <w:rsid w:val="00623D76"/>
    <w:rsid w:val="0062486E"/>
    <w:rsid w:val="00630AC9"/>
    <w:rsid w:val="00630E30"/>
    <w:rsid w:val="00632C8A"/>
    <w:rsid w:val="00635914"/>
    <w:rsid w:val="006366AB"/>
    <w:rsid w:val="0064079B"/>
    <w:rsid w:val="00641D95"/>
    <w:rsid w:val="006428EC"/>
    <w:rsid w:val="00643867"/>
    <w:rsid w:val="00643E21"/>
    <w:rsid w:val="00645265"/>
    <w:rsid w:val="00653B69"/>
    <w:rsid w:val="006543C7"/>
    <w:rsid w:val="0065713F"/>
    <w:rsid w:val="006613E1"/>
    <w:rsid w:val="006619D0"/>
    <w:rsid w:val="006626A7"/>
    <w:rsid w:val="0066393D"/>
    <w:rsid w:val="00663A38"/>
    <w:rsid w:val="006648CB"/>
    <w:rsid w:val="00664B86"/>
    <w:rsid w:val="00664F5A"/>
    <w:rsid w:val="006653F3"/>
    <w:rsid w:val="0066619A"/>
    <w:rsid w:val="006712BD"/>
    <w:rsid w:val="00672534"/>
    <w:rsid w:val="00672C1D"/>
    <w:rsid w:val="006750DB"/>
    <w:rsid w:val="00676CF1"/>
    <w:rsid w:val="00680F12"/>
    <w:rsid w:val="00685461"/>
    <w:rsid w:val="00686729"/>
    <w:rsid w:val="0068772F"/>
    <w:rsid w:val="00690B4B"/>
    <w:rsid w:val="00690D23"/>
    <w:rsid w:val="00693E6D"/>
    <w:rsid w:val="0069689A"/>
    <w:rsid w:val="006A2488"/>
    <w:rsid w:val="006A28CD"/>
    <w:rsid w:val="006A2D4E"/>
    <w:rsid w:val="006A4BFF"/>
    <w:rsid w:val="006B2698"/>
    <w:rsid w:val="006C73E8"/>
    <w:rsid w:val="006D4381"/>
    <w:rsid w:val="006D6FE1"/>
    <w:rsid w:val="006D7520"/>
    <w:rsid w:val="006E07E8"/>
    <w:rsid w:val="006E080A"/>
    <w:rsid w:val="006E15A9"/>
    <w:rsid w:val="006E4E4E"/>
    <w:rsid w:val="006F1441"/>
    <w:rsid w:val="00701119"/>
    <w:rsid w:val="0070186D"/>
    <w:rsid w:val="007042CF"/>
    <w:rsid w:val="00707334"/>
    <w:rsid w:val="00707340"/>
    <w:rsid w:val="007101BC"/>
    <w:rsid w:val="00715AEA"/>
    <w:rsid w:val="00715C38"/>
    <w:rsid w:val="00716957"/>
    <w:rsid w:val="00716976"/>
    <w:rsid w:val="0071713D"/>
    <w:rsid w:val="00722A81"/>
    <w:rsid w:val="007266D3"/>
    <w:rsid w:val="00727BC3"/>
    <w:rsid w:val="00727DE9"/>
    <w:rsid w:val="00732BE2"/>
    <w:rsid w:val="007416F1"/>
    <w:rsid w:val="0074286D"/>
    <w:rsid w:val="00745FEB"/>
    <w:rsid w:val="00747701"/>
    <w:rsid w:val="007535AE"/>
    <w:rsid w:val="0075472B"/>
    <w:rsid w:val="00756BA9"/>
    <w:rsid w:val="007576B4"/>
    <w:rsid w:val="0076199E"/>
    <w:rsid w:val="0076256B"/>
    <w:rsid w:val="00762EA6"/>
    <w:rsid w:val="00762EC2"/>
    <w:rsid w:val="00765F21"/>
    <w:rsid w:val="007706D5"/>
    <w:rsid w:val="00771A7A"/>
    <w:rsid w:val="00773340"/>
    <w:rsid w:val="0077407B"/>
    <w:rsid w:val="00780B77"/>
    <w:rsid w:val="00780D59"/>
    <w:rsid w:val="00781379"/>
    <w:rsid w:val="00781CCD"/>
    <w:rsid w:val="0078265C"/>
    <w:rsid w:val="00792DA3"/>
    <w:rsid w:val="00794610"/>
    <w:rsid w:val="007972F1"/>
    <w:rsid w:val="007A16C5"/>
    <w:rsid w:val="007A1F22"/>
    <w:rsid w:val="007A6225"/>
    <w:rsid w:val="007A6CFF"/>
    <w:rsid w:val="007B02D5"/>
    <w:rsid w:val="007B20F3"/>
    <w:rsid w:val="007B2F29"/>
    <w:rsid w:val="007B38B1"/>
    <w:rsid w:val="007B3D02"/>
    <w:rsid w:val="007B5032"/>
    <w:rsid w:val="007B5902"/>
    <w:rsid w:val="007C0879"/>
    <w:rsid w:val="007C15B6"/>
    <w:rsid w:val="007C1E29"/>
    <w:rsid w:val="007C3A8B"/>
    <w:rsid w:val="007C4B51"/>
    <w:rsid w:val="007C5325"/>
    <w:rsid w:val="007C6993"/>
    <w:rsid w:val="007D127D"/>
    <w:rsid w:val="007D539B"/>
    <w:rsid w:val="007D5860"/>
    <w:rsid w:val="007D6152"/>
    <w:rsid w:val="007D6EDE"/>
    <w:rsid w:val="007D72B0"/>
    <w:rsid w:val="007E05A8"/>
    <w:rsid w:val="007E1ED6"/>
    <w:rsid w:val="007E27CA"/>
    <w:rsid w:val="007E4932"/>
    <w:rsid w:val="007E5D8D"/>
    <w:rsid w:val="007E63BA"/>
    <w:rsid w:val="00802E93"/>
    <w:rsid w:val="0080308E"/>
    <w:rsid w:val="0080384A"/>
    <w:rsid w:val="00804836"/>
    <w:rsid w:val="00806C08"/>
    <w:rsid w:val="00812AE9"/>
    <w:rsid w:val="008136BA"/>
    <w:rsid w:val="008149EF"/>
    <w:rsid w:val="00815904"/>
    <w:rsid w:val="008166B8"/>
    <w:rsid w:val="008233B4"/>
    <w:rsid w:val="00833443"/>
    <w:rsid w:val="00833AC9"/>
    <w:rsid w:val="00833E76"/>
    <w:rsid w:val="008418A8"/>
    <w:rsid w:val="00845AB7"/>
    <w:rsid w:val="0084676A"/>
    <w:rsid w:val="008474FC"/>
    <w:rsid w:val="0084798E"/>
    <w:rsid w:val="00850BD1"/>
    <w:rsid w:val="00852B65"/>
    <w:rsid w:val="00852F53"/>
    <w:rsid w:val="008537C7"/>
    <w:rsid w:val="0085659D"/>
    <w:rsid w:val="00857522"/>
    <w:rsid w:val="00857A95"/>
    <w:rsid w:val="00861C1A"/>
    <w:rsid w:val="008641F9"/>
    <w:rsid w:val="00864471"/>
    <w:rsid w:val="00866985"/>
    <w:rsid w:val="00867203"/>
    <w:rsid w:val="00867F54"/>
    <w:rsid w:val="008719BE"/>
    <w:rsid w:val="00871D03"/>
    <w:rsid w:val="00872252"/>
    <w:rsid w:val="008729DB"/>
    <w:rsid w:val="00872AB3"/>
    <w:rsid w:val="00880503"/>
    <w:rsid w:val="00881414"/>
    <w:rsid w:val="0088319F"/>
    <w:rsid w:val="00890317"/>
    <w:rsid w:val="00891028"/>
    <w:rsid w:val="008928C4"/>
    <w:rsid w:val="00894E75"/>
    <w:rsid w:val="00896173"/>
    <w:rsid w:val="008A11F9"/>
    <w:rsid w:val="008A2019"/>
    <w:rsid w:val="008A2403"/>
    <w:rsid w:val="008A3A40"/>
    <w:rsid w:val="008A3AE0"/>
    <w:rsid w:val="008A3C78"/>
    <w:rsid w:val="008A55A0"/>
    <w:rsid w:val="008B0C6B"/>
    <w:rsid w:val="008B3AC9"/>
    <w:rsid w:val="008B6B09"/>
    <w:rsid w:val="008C5223"/>
    <w:rsid w:val="008D1C75"/>
    <w:rsid w:val="008D36C2"/>
    <w:rsid w:val="008D525A"/>
    <w:rsid w:val="008D6074"/>
    <w:rsid w:val="008E01F6"/>
    <w:rsid w:val="008E4D9C"/>
    <w:rsid w:val="008E5268"/>
    <w:rsid w:val="008E53C4"/>
    <w:rsid w:val="008F352C"/>
    <w:rsid w:val="008F359E"/>
    <w:rsid w:val="008F778B"/>
    <w:rsid w:val="009004AA"/>
    <w:rsid w:val="0090590F"/>
    <w:rsid w:val="00905A64"/>
    <w:rsid w:val="009062A0"/>
    <w:rsid w:val="00907302"/>
    <w:rsid w:val="00907598"/>
    <w:rsid w:val="00916169"/>
    <w:rsid w:val="0091676F"/>
    <w:rsid w:val="00916E66"/>
    <w:rsid w:val="00924211"/>
    <w:rsid w:val="00924BC5"/>
    <w:rsid w:val="009273DA"/>
    <w:rsid w:val="0093184C"/>
    <w:rsid w:val="00932025"/>
    <w:rsid w:val="0093473A"/>
    <w:rsid w:val="00934C5D"/>
    <w:rsid w:val="00936DE2"/>
    <w:rsid w:val="00937031"/>
    <w:rsid w:val="009400F5"/>
    <w:rsid w:val="00943A9E"/>
    <w:rsid w:val="00956D73"/>
    <w:rsid w:val="00957C3F"/>
    <w:rsid w:val="00962E98"/>
    <w:rsid w:val="00971327"/>
    <w:rsid w:val="00971CC4"/>
    <w:rsid w:val="00972B6F"/>
    <w:rsid w:val="00977A0B"/>
    <w:rsid w:val="009800FB"/>
    <w:rsid w:val="00985B20"/>
    <w:rsid w:val="009938CD"/>
    <w:rsid w:val="0099429E"/>
    <w:rsid w:val="009A32B2"/>
    <w:rsid w:val="009A347B"/>
    <w:rsid w:val="009A67AA"/>
    <w:rsid w:val="009B0305"/>
    <w:rsid w:val="009B387C"/>
    <w:rsid w:val="009B410B"/>
    <w:rsid w:val="009B6C53"/>
    <w:rsid w:val="009C37A7"/>
    <w:rsid w:val="009D0744"/>
    <w:rsid w:val="009D31B1"/>
    <w:rsid w:val="009D3744"/>
    <w:rsid w:val="009D49E5"/>
    <w:rsid w:val="009D508B"/>
    <w:rsid w:val="009D645B"/>
    <w:rsid w:val="009E039E"/>
    <w:rsid w:val="009E31FB"/>
    <w:rsid w:val="009E3C90"/>
    <w:rsid w:val="009E677B"/>
    <w:rsid w:val="009F5690"/>
    <w:rsid w:val="009F5D85"/>
    <w:rsid w:val="009F6052"/>
    <w:rsid w:val="009F6EBD"/>
    <w:rsid w:val="00A01930"/>
    <w:rsid w:val="00A027CE"/>
    <w:rsid w:val="00A02999"/>
    <w:rsid w:val="00A031EB"/>
    <w:rsid w:val="00A03C57"/>
    <w:rsid w:val="00A06A1A"/>
    <w:rsid w:val="00A077C9"/>
    <w:rsid w:val="00A1070F"/>
    <w:rsid w:val="00A1199E"/>
    <w:rsid w:val="00A1539F"/>
    <w:rsid w:val="00A16B18"/>
    <w:rsid w:val="00A16EE5"/>
    <w:rsid w:val="00A1781B"/>
    <w:rsid w:val="00A20D1A"/>
    <w:rsid w:val="00A21F42"/>
    <w:rsid w:val="00A23B1C"/>
    <w:rsid w:val="00A278BB"/>
    <w:rsid w:val="00A32436"/>
    <w:rsid w:val="00A36612"/>
    <w:rsid w:val="00A36618"/>
    <w:rsid w:val="00A4252A"/>
    <w:rsid w:val="00A473AF"/>
    <w:rsid w:val="00A51918"/>
    <w:rsid w:val="00A51993"/>
    <w:rsid w:val="00A51E87"/>
    <w:rsid w:val="00A5321D"/>
    <w:rsid w:val="00A563B4"/>
    <w:rsid w:val="00A62231"/>
    <w:rsid w:val="00A6321A"/>
    <w:rsid w:val="00A6374D"/>
    <w:rsid w:val="00A63D5E"/>
    <w:rsid w:val="00A666B2"/>
    <w:rsid w:val="00A72124"/>
    <w:rsid w:val="00A765D3"/>
    <w:rsid w:val="00A768B1"/>
    <w:rsid w:val="00A77D5A"/>
    <w:rsid w:val="00A801FC"/>
    <w:rsid w:val="00A82613"/>
    <w:rsid w:val="00A858E0"/>
    <w:rsid w:val="00A874E5"/>
    <w:rsid w:val="00A92355"/>
    <w:rsid w:val="00A93D6D"/>
    <w:rsid w:val="00A97D43"/>
    <w:rsid w:val="00A97EA9"/>
    <w:rsid w:val="00AA0336"/>
    <w:rsid w:val="00AB1DC4"/>
    <w:rsid w:val="00AB340E"/>
    <w:rsid w:val="00AB563A"/>
    <w:rsid w:val="00AB6E00"/>
    <w:rsid w:val="00AB7A44"/>
    <w:rsid w:val="00AC752C"/>
    <w:rsid w:val="00AC7B91"/>
    <w:rsid w:val="00AC7CCE"/>
    <w:rsid w:val="00AD214D"/>
    <w:rsid w:val="00AD4B98"/>
    <w:rsid w:val="00AD6F07"/>
    <w:rsid w:val="00AE003B"/>
    <w:rsid w:val="00AE360E"/>
    <w:rsid w:val="00AE7811"/>
    <w:rsid w:val="00AF2EE4"/>
    <w:rsid w:val="00AF6F94"/>
    <w:rsid w:val="00AF7B24"/>
    <w:rsid w:val="00B00368"/>
    <w:rsid w:val="00B05080"/>
    <w:rsid w:val="00B05A80"/>
    <w:rsid w:val="00B078BB"/>
    <w:rsid w:val="00B0794B"/>
    <w:rsid w:val="00B10BE0"/>
    <w:rsid w:val="00B144FB"/>
    <w:rsid w:val="00B15872"/>
    <w:rsid w:val="00B15CA1"/>
    <w:rsid w:val="00B176E8"/>
    <w:rsid w:val="00B17AA4"/>
    <w:rsid w:val="00B22D15"/>
    <w:rsid w:val="00B26D54"/>
    <w:rsid w:val="00B30A8E"/>
    <w:rsid w:val="00B30CC3"/>
    <w:rsid w:val="00B33CB8"/>
    <w:rsid w:val="00B34F5F"/>
    <w:rsid w:val="00B379AF"/>
    <w:rsid w:val="00B42019"/>
    <w:rsid w:val="00B42543"/>
    <w:rsid w:val="00B4543B"/>
    <w:rsid w:val="00B51250"/>
    <w:rsid w:val="00B61858"/>
    <w:rsid w:val="00B62DEA"/>
    <w:rsid w:val="00B62F12"/>
    <w:rsid w:val="00B63100"/>
    <w:rsid w:val="00B64ACD"/>
    <w:rsid w:val="00B65DE1"/>
    <w:rsid w:val="00B731B1"/>
    <w:rsid w:val="00B73BC1"/>
    <w:rsid w:val="00B740DC"/>
    <w:rsid w:val="00B76B8D"/>
    <w:rsid w:val="00B82551"/>
    <w:rsid w:val="00B82D34"/>
    <w:rsid w:val="00B91F83"/>
    <w:rsid w:val="00B946D9"/>
    <w:rsid w:val="00B95B9E"/>
    <w:rsid w:val="00B96900"/>
    <w:rsid w:val="00BA1961"/>
    <w:rsid w:val="00BA2F2D"/>
    <w:rsid w:val="00BA43BD"/>
    <w:rsid w:val="00BA58CB"/>
    <w:rsid w:val="00BB0A81"/>
    <w:rsid w:val="00BB4285"/>
    <w:rsid w:val="00BB5C5B"/>
    <w:rsid w:val="00BC62EA"/>
    <w:rsid w:val="00BC785C"/>
    <w:rsid w:val="00BC7DD6"/>
    <w:rsid w:val="00BD29F2"/>
    <w:rsid w:val="00BD38C1"/>
    <w:rsid w:val="00BD5E63"/>
    <w:rsid w:val="00BE2670"/>
    <w:rsid w:val="00BE2684"/>
    <w:rsid w:val="00BE333E"/>
    <w:rsid w:val="00BE384D"/>
    <w:rsid w:val="00BE7DF2"/>
    <w:rsid w:val="00BF1A1D"/>
    <w:rsid w:val="00BF2AC0"/>
    <w:rsid w:val="00BF38BC"/>
    <w:rsid w:val="00BF5ED4"/>
    <w:rsid w:val="00BF5F54"/>
    <w:rsid w:val="00BF75FC"/>
    <w:rsid w:val="00BF7E0C"/>
    <w:rsid w:val="00C01359"/>
    <w:rsid w:val="00C04BD2"/>
    <w:rsid w:val="00C06480"/>
    <w:rsid w:val="00C06EEF"/>
    <w:rsid w:val="00C07FE0"/>
    <w:rsid w:val="00C13C29"/>
    <w:rsid w:val="00C15DF1"/>
    <w:rsid w:val="00C174B2"/>
    <w:rsid w:val="00C17CEB"/>
    <w:rsid w:val="00C249D2"/>
    <w:rsid w:val="00C25A2A"/>
    <w:rsid w:val="00C36C2E"/>
    <w:rsid w:val="00C37E1A"/>
    <w:rsid w:val="00C44D3E"/>
    <w:rsid w:val="00C46AD6"/>
    <w:rsid w:val="00C5375F"/>
    <w:rsid w:val="00C56737"/>
    <w:rsid w:val="00C601AA"/>
    <w:rsid w:val="00C60643"/>
    <w:rsid w:val="00C622CC"/>
    <w:rsid w:val="00C6610A"/>
    <w:rsid w:val="00C6744A"/>
    <w:rsid w:val="00C703D2"/>
    <w:rsid w:val="00C72870"/>
    <w:rsid w:val="00C75801"/>
    <w:rsid w:val="00C771EC"/>
    <w:rsid w:val="00C81E0C"/>
    <w:rsid w:val="00C873F8"/>
    <w:rsid w:val="00C92DA1"/>
    <w:rsid w:val="00C938ED"/>
    <w:rsid w:val="00C97F3E"/>
    <w:rsid w:val="00CA0AC5"/>
    <w:rsid w:val="00CA2994"/>
    <w:rsid w:val="00CA6DBE"/>
    <w:rsid w:val="00CB067B"/>
    <w:rsid w:val="00CB1443"/>
    <w:rsid w:val="00CB1C08"/>
    <w:rsid w:val="00CB210F"/>
    <w:rsid w:val="00CB47B0"/>
    <w:rsid w:val="00CB5A70"/>
    <w:rsid w:val="00CB60B7"/>
    <w:rsid w:val="00CC0FB3"/>
    <w:rsid w:val="00CC116D"/>
    <w:rsid w:val="00CC393F"/>
    <w:rsid w:val="00CC43E2"/>
    <w:rsid w:val="00CC607F"/>
    <w:rsid w:val="00CC679A"/>
    <w:rsid w:val="00CC691C"/>
    <w:rsid w:val="00CD02E3"/>
    <w:rsid w:val="00CD2F4F"/>
    <w:rsid w:val="00CD453D"/>
    <w:rsid w:val="00CD497E"/>
    <w:rsid w:val="00CE2E16"/>
    <w:rsid w:val="00CE2FB2"/>
    <w:rsid w:val="00CF3069"/>
    <w:rsid w:val="00CF6997"/>
    <w:rsid w:val="00CF7507"/>
    <w:rsid w:val="00D01010"/>
    <w:rsid w:val="00D11698"/>
    <w:rsid w:val="00D131BB"/>
    <w:rsid w:val="00D20F1F"/>
    <w:rsid w:val="00D23493"/>
    <w:rsid w:val="00D26CFD"/>
    <w:rsid w:val="00D31C2C"/>
    <w:rsid w:val="00D342FD"/>
    <w:rsid w:val="00D40883"/>
    <w:rsid w:val="00D41651"/>
    <w:rsid w:val="00D445D5"/>
    <w:rsid w:val="00D44FFF"/>
    <w:rsid w:val="00D46906"/>
    <w:rsid w:val="00D52687"/>
    <w:rsid w:val="00D52697"/>
    <w:rsid w:val="00D54EFD"/>
    <w:rsid w:val="00D55968"/>
    <w:rsid w:val="00D55DF0"/>
    <w:rsid w:val="00D61D91"/>
    <w:rsid w:val="00D61F51"/>
    <w:rsid w:val="00D65A02"/>
    <w:rsid w:val="00D672E5"/>
    <w:rsid w:val="00D67772"/>
    <w:rsid w:val="00D75316"/>
    <w:rsid w:val="00D77F3F"/>
    <w:rsid w:val="00D826F6"/>
    <w:rsid w:val="00D836A4"/>
    <w:rsid w:val="00D84561"/>
    <w:rsid w:val="00D87461"/>
    <w:rsid w:val="00D87E33"/>
    <w:rsid w:val="00D91926"/>
    <w:rsid w:val="00D91BBE"/>
    <w:rsid w:val="00D964A5"/>
    <w:rsid w:val="00D96B9B"/>
    <w:rsid w:val="00D97C25"/>
    <w:rsid w:val="00DA212D"/>
    <w:rsid w:val="00DB15BF"/>
    <w:rsid w:val="00DB35D0"/>
    <w:rsid w:val="00DB463E"/>
    <w:rsid w:val="00DC1869"/>
    <w:rsid w:val="00DC3B1E"/>
    <w:rsid w:val="00DC4987"/>
    <w:rsid w:val="00DD1036"/>
    <w:rsid w:val="00DD1F12"/>
    <w:rsid w:val="00DD2710"/>
    <w:rsid w:val="00DD394F"/>
    <w:rsid w:val="00DD6179"/>
    <w:rsid w:val="00DE312D"/>
    <w:rsid w:val="00DE3D93"/>
    <w:rsid w:val="00DE4998"/>
    <w:rsid w:val="00DF2DE2"/>
    <w:rsid w:val="00DF2E0C"/>
    <w:rsid w:val="00DF5C83"/>
    <w:rsid w:val="00DF6870"/>
    <w:rsid w:val="00DF6D8D"/>
    <w:rsid w:val="00DF73E2"/>
    <w:rsid w:val="00E00A13"/>
    <w:rsid w:val="00E011C3"/>
    <w:rsid w:val="00E015D5"/>
    <w:rsid w:val="00E03D56"/>
    <w:rsid w:val="00E101DA"/>
    <w:rsid w:val="00E106C5"/>
    <w:rsid w:val="00E14ED9"/>
    <w:rsid w:val="00E155C6"/>
    <w:rsid w:val="00E2159A"/>
    <w:rsid w:val="00E2463B"/>
    <w:rsid w:val="00E25611"/>
    <w:rsid w:val="00E3334A"/>
    <w:rsid w:val="00E35546"/>
    <w:rsid w:val="00E43642"/>
    <w:rsid w:val="00E447F4"/>
    <w:rsid w:val="00E45606"/>
    <w:rsid w:val="00E45E26"/>
    <w:rsid w:val="00E5244E"/>
    <w:rsid w:val="00E53B5A"/>
    <w:rsid w:val="00E5769D"/>
    <w:rsid w:val="00E6020F"/>
    <w:rsid w:val="00E60672"/>
    <w:rsid w:val="00E607AF"/>
    <w:rsid w:val="00E6254A"/>
    <w:rsid w:val="00E62DD8"/>
    <w:rsid w:val="00E66FEF"/>
    <w:rsid w:val="00E708D5"/>
    <w:rsid w:val="00E70F36"/>
    <w:rsid w:val="00E70F84"/>
    <w:rsid w:val="00E71BE9"/>
    <w:rsid w:val="00E755C3"/>
    <w:rsid w:val="00E81B83"/>
    <w:rsid w:val="00E820DF"/>
    <w:rsid w:val="00E82114"/>
    <w:rsid w:val="00E84D87"/>
    <w:rsid w:val="00E85E5B"/>
    <w:rsid w:val="00E86B13"/>
    <w:rsid w:val="00E87D0A"/>
    <w:rsid w:val="00E93FE3"/>
    <w:rsid w:val="00E95A0E"/>
    <w:rsid w:val="00E95B3D"/>
    <w:rsid w:val="00E95C2A"/>
    <w:rsid w:val="00EA270D"/>
    <w:rsid w:val="00EA3FE1"/>
    <w:rsid w:val="00EA43FD"/>
    <w:rsid w:val="00EA555C"/>
    <w:rsid w:val="00EA5AF9"/>
    <w:rsid w:val="00EA75EF"/>
    <w:rsid w:val="00EC0077"/>
    <w:rsid w:val="00EC0406"/>
    <w:rsid w:val="00EC0DA3"/>
    <w:rsid w:val="00ED2B73"/>
    <w:rsid w:val="00ED5E1D"/>
    <w:rsid w:val="00ED6F82"/>
    <w:rsid w:val="00ED7EF3"/>
    <w:rsid w:val="00EE079F"/>
    <w:rsid w:val="00EE0E87"/>
    <w:rsid w:val="00EE31B3"/>
    <w:rsid w:val="00EE6BE3"/>
    <w:rsid w:val="00EF02B3"/>
    <w:rsid w:val="00EF4B78"/>
    <w:rsid w:val="00EF6F13"/>
    <w:rsid w:val="00F11F6F"/>
    <w:rsid w:val="00F12070"/>
    <w:rsid w:val="00F1561E"/>
    <w:rsid w:val="00F15E42"/>
    <w:rsid w:val="00F17AF9"/>
    <w:rsid w:val="00F2336F"/>
    <w:rsid w:val="00F264A8"/>
    <w:rsid w:val="00F30D5C"/>
    <w:rsid w:val="00F369D7"/>
    <w:rsid w:val="00F36F59"/>
    <w:rsid w:val="00F43155"/>
    <w:rsid w:val="00F440BD"/>
    <w:rsid w:val="00F47424"/>
    <w:rsid w:val="00F505CF"/>
    <w:rsid w:val="00F51521"/>
    <w:rsid w:val="00F545C8"/>
    <w:rsid w:val="00F54E44"/>
    <w:rsid w:val="00F56803"/>
    <w:rsid w:val="00F56C20"/>
    <w:rsid w:val="00F61A08"/>
    <w:rsid w:val="00F65343"/>
    <w:rsid w:val="00F675D8"/>
    <w:rsid w:val="00F713E7"/>
    <w:rsid w:val="00F71EB3"/>
    <w:rsid w:val="00F72FDA"/>
    <w:rsid w:val="00F77564"/>
    <w:rsid w:val="00F77643"/>
    <w:rsid w:val="00F807AD"/>
    <w:rsid w:val="00F807F8"/>
    <w:rsid w:val="00F8683B"/>
    <w:rsid w:val="00F8759A"/>
    <w:rsid w:val="00F91BD1"/>
    <w:rsid w:val="00F91D99"/>
    <w:rsid w:val="00F92944"/>
    <w:rsid w:val="00F977BE"/>
    <w:rsid w:val="00FA0009"/>
    <w:rsid w:val="00FA248D"/>
    <w:rsid w:val="00FA26A6"/>
    <w:rsid w:val="00FA2D55"/>
    <w:rsid w:val="00FA3D12"/>
    <w:rsid w:val="00FA6403"/>
    <w:rsid w:val="00FB11D2"/>
    <w:rsid w:val="00FB670D"/>
    <w:rsid w:val="00FC33F2"/>
    <w:rsid w:val="00FC75BD"/>
    <w:rsid w:val="00FD1F2D"/>
    <w:rsid w:val="00FD31B8"/>
    <w:rsid w:val="00FD5306"/>
    <w:rsid w:val="00FE4DAE"/>
    <w:rsid w:val="00FF0364"/>
    <w:rsid w:val="00FF0CFB"/>
    <w:rsid w:val="00FF66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680F12"/>
    <w:pPr>
      <w:ind w:left="720"/>
      <w:contextualSpacing/>
    </w:pPr>
  </w:style>
  <w:style w:type="paragraph" w:styleId="Textedebulles">
    <w:name w:val="Balloon Text"/>
    <w:basedOn w:val="Normal"/>
    <w:link w:val="TextedebullesCar"/>
    <w:uiPriority w:val="99"/>
    <w:semiHidden/>
    <w:unhideWhenUsed/>
    <w:rsid w:val="00715C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C38"/>
    <w:rPr>
      <w:rFonts w:ascii="Tahoma" w:hAnsi="Tahoma" w:cs="Tahoma"/>
      <w:sz w:val="16"/>
      <w:szCs w:val="16"/>
    </w:rPr>
  </w:style>
  <w:style w:type="paragraph" w:styleId="Sansinterligne">
    <w:name w:val="No Spacing"/>
    <w:link w:val="SansinterligneCar"/>
    <w:uiPriority w:val="1"/>
    <w:qFormat/>
    <w:rsid w:val="00C873F8"/>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873F8"/>
    <w:rPr>
      <w:rFonts w:ascii="Calibri" w:eastAsia="Times New Roman" w:hAnsi="Calibri" w:cs="Times New Roman"/>
    </w:rPr>
  </w:style>
  <w:style w:type="table" w:styleId="Grilledutableau">
    <w:name w:val="Table Grid"/>
    <w:basedOn w:val="TableauNormal"/>
    <w:uiPriority w:val="59"/>
    <w:rsid w:val="00E82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qFormat/>
    <w:rsid w:val="00B078BB"/>
    <w:pPr>
      <w:keepNext/>
      <w:keepLines/>
      <w:numPr>
        <w:numId w:val="3"/>
      </w:numPr>
      <w:spacing w:before="480" w:after="0" w:line="240" w:lineRule="auto"/>
      <w:outlineLvl w:val="0"/>
    </w:pPr>
    <w:rPr>
      <w:rFonts w:ascii="Cambria" w:eastAsia="Times New Roman" w:hAnsi="Cambria" w:cs="Times New Roman"/>
      <w:b/>
      <w:color w:val="365F91"/>
      <w:sz w:val="28"/>
      <w:szCs w:val="24"/>
      <w:lang w:val="en-GB" w:eastAsia="en-GB"/>
    </w:rPr>
  </w:style>
  <w:style w:type="paragraph" w:customStyle="1" w:styleId="Style3">
    <w:name w:val="Style3"/>
    <w:basedOn w:val="Normal"/>
    <w:link w:val="Style3Char"/>
    <w:qFormat/>
    <w:rsid w:val="00B078BB"/>
    <w:pPr>
      <w:keepNext/>
      <w:keepLines/>
      <w:numPr>
        <w:ilvl w:val="1"/>
        <w:numId w:val="3"/>
      </w:numPr>
      <w:spacing w:before="200" w:after="0" w:line="240" w:lineRule="auto"/>
      <w:outlineLvl w:val="1"/>
    </w:pPr>
    <w:rPr>
      <w:rFonts w:ascii="Cambria" w:eastAsia="Times New Roman" w:hAnsi="Cambria" w:cs="Times New Roman"/>
      <w:b/>
      <w:color w:val="4F81BD"/>
      <w:sz w:val="26"/>
      <w:szCs w:val="24"/>
      <w:lang w:val="en-GB" w:eastAsia="en-GB"/>
    </w:rPr>
  </w:style>
  <w:style w:type="character" w:customStyle="1" w:styleId="Style3Char">
    <w:name w:val="Style3 Char"/>
    <w:link w:val="Style3"/>
    <w:rsid w:val="00B078BB"/>
    <w:rPr>
      <w:rFonts w:ascii="Cambria" w:eastAsia="Times New Roman" w:hAnsi="Cambria" w:cs="Times New Roman"/>
      <w:b/>
      <w:color w:val="4F81BD"/>
      <w:sz w:val="26"/>
      <w:szCs w:val="24"/>
      <w:lang w:val="en-GB" w:eastAsia="en-GB"/>
    </w:rPr>
  </w:style>
  <w:style w:type="paragraph" w:customStyle="1" w:styleId="Listecouleur-Accent11">
    <w:name w:val="Liste couleur - Accent 11"/>
    <w:basedOn w:val="Normal"/>
    <w:link w:val="Listecouleur-Accent1Car"/>
    <w:uiPriority w:val="34"/>
    <w:qFormat/>
    <w:rsid w:val="00D55DF0"/>
    <w:pPr>
      <w:ind w:left="720"/>
      <w:contextualSpacing/>
    </w:pPr>
    <w:rPr>
      <w:rFonts w:ascii="Calibri" w:eastAsia="Calibri" w:hAnsi="Calibri" w:cs="Times New Roman"/>
    </w:rPr>
  </w:style>
  <w:style w:type="character" w:customStyle="1" w:styleId="Listecouleur-Accent1Car">
    <w:name w:val="Liste couleur - Accent 1 Car"/>
    <w:link w:val="Listecouleur-Accent11"/>
    <w:uiPriority w:val="34"/>
    <w:rsid w:val="00D55DF0"/>
    <w:rPr>
      <w:rFonts w:ascii="Calibri" w:eastAsia="Calibri" w:hAnsi="Calibri" w:cs="Times New Roman"/>
    </w:rPr>
  </w:style>
  <w:style w:type="character" w:customStyle="1" w:styleId="ParagraphedelisteCar">
    <w:name w:val="Paragraphe de liste Car"/>
    <w:aliases w:val="References Car"/>
    <w:link w:val="Paragraphedeliste"/>
    <w:rsid w:val="007E1ED6"/>
  </w:style>
  <w:style w:type="paragraph" w:customStyle="1" w:styleId="Sansinterligne1">
    <w:name w:val="Sans interligne1"/>
    <w:qFormat/>
    <w:rsid w:val="00316394"/>
    <w:pPr>
      <w:spacing w:after="0" w:line="240" w:lineRule="auto"/>
    </w:pPr>
    <w:rPr>
      <w:rFonts w:ascii="Calibri" w:eastAsia="Calibri" w:hAnsi="Calibri" w:cs="Times New Roman"/>
    </w:rPr>
  </w:style>
  <w:style w:type="paragraph" w:styleId="En-tte">
    <w:name w:val="header"/>
    <w:basedOn w:val="Normal"/>
    <w:link w:val="En-tteCar"/>
    <w:uiPriority w:val="99"/>
    <w:unhideWhenUsed/>
    <w:rsid w:val="007D539B"/>
    <w:pPr>
      <w:tabs>
        <w:tab w:val="center" w:pos="4536"/>
        <w:tab w:val="right" w:pos="9072"/>
      </w:tabs>
      <w:spacing w:after="0" w:line="240" w:lineRule="auto"/>
    </w:pPr>
  </w:style>
  <w:style w:type="character" w:customStyle="1" w:styleId="En-tteCar">
    <w:name w:val="En-tête Car"/>
    <w:basedOn w:val="Policepardfaut"/>
    <w:link w:val="En-tte"/>
    <w:uiPriority w:val="99"/>
    <w:rsid w:val="007D539B"/>
  </w:style>
  <w:style w:type="paragraph" w:styleId="Pieddepage">
    <w:name w:val="footer"/>
    <w:basedOn w:val="Normal"/>
    <w:link w:val="PieddepageCar"/>
    <w:uiPriority w:val="99"/>
    <w:unhideWhenUsed/>
    <w:rsid w:val="007D53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39B"/>
  </w:style>
  <w:style w:type="paragraph" w:styleId="TM2">
    <w:name w:val="toc 2"/>
    <w:basedOn w:val="Normal"/>
    <w:next w:val="Normal"/>
    <w:autoRedefine/>
    <w:uiPriority w:val="39"/>
    <w:unhideWhenUsed/>
    <w:rsid w:val="00E011C3"/>
    <w:pPr>
      <w:spacing w:after="100"/>
      <w:ind w:left="220"/>
    </w:pPr>
  </w:style>
  <w:style w:type="paragraph" w:styleId="TM1">
    <w:name w:val="toc 1"/>
    <w:basedOn w:val="Normal"/>
    <w:next w:val="Normal"/>
    <w:autoRedefine/>
    <w:uiPriority w:val="39"/>
    <w:unhideWhenUsed/>
    <w:rsid w:val="006A4BFF"/>
    <w:pPr>
      <w:tabs>
        <w:tab w:val="left" w:pos="440"/>
        <w:tab w:val="right" w:leader="dot" w:pos="9062"/>
      </w:tabs>
      <w:spacing w:after="100"/>
      <w:jc w:val="both"/>
    </w:pPr>
    <w:rPr>
      <w:rFonts w:ascii="Arial" w:hAnsi="Arial" w:cs="Arial"/>
      <w:b/>
      <w:sz w:val="24"/>
    </w:rPr>
  </w:style>
  <w:style w:type="character" w:styleId="Lienhypertexte">
    <w:name w:val="Hyperlink"/>
    <w:basedOn w:val="Policepardfaut"/>
    <w:uiPriority w:val="99"/>
    <w:unhideWhenUsed/>
    <w:rsid w:val="00E011C3"/>
    <w:rPr>
      <w:color w:val="0000FF" w:themeColor="hyperlink"/>
      <w:u w:val="single"/>
    </w:rPr>
  </w:style>
  <w:style w:type="paragraph" w:styleId="Titre">
    <w:name w:val="Title"/>
    <w:basedOn w:val="Normal"/>
    <w:next w:val="Normal"/>
    <w:link w:val="TitreCar"/>
    <w:uiPriority w:val="10"/>
    <w:qFormat/>
    <w:rsid w:val="007E05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7E05A8"/>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7E05A8"/>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7E05A8"/>
    <w:rPr>
      <w:rFonts w:asciiTheme="majorHAnsi" w:eastAsiaTheme="majorEastAsia" w:hAnsiTheme="majorHAnsi" w:cstheme="majorBidi"/>
      <w:i/>
      <w:iCs/>
      <w:color w:val="4F81BD" w:themeColor="accent1"/>
      <w:spacing w:val="15"/>
      <w:sz w:val="24"/>
      <w:szCs w:val="24"/>
      <w:lang w:eastAsia="fr-FR"/>
    </w:rPr>
  </w:style>
  <w:style w:type="paragraph" w:customStyle="1" w:styleId="ColorfulList-Accent11">
    <w:name w:val="Colorful List - Accent 11"/>
    <w:basedOn w:val="Normal"/>
    <w:uiPriority w:val="34"/>
    <w:qFormat/>
    <w:rsid w:val="00B96900"/>
    <w:pPr>
      <w:ind w:left="720"/>
      <w:contextualSpacing/>
    </w:pPr>
    <w:rPr>
      <w:rFonts w:ascii="Calibri" w:eastAsia="Calibri" w:hAnsi="Calibri" w:cs="Times New Roman"/>
      <w:lang w:val="en-US"/>
    </w:rPr>
  </w:style>
  <w:style w:type="paragraph" w:styleId="Notedebasdepage">
    <w:name w:val="footnote text"/>
    <w:aliases w:val="Fodnotetekst Tegn"/>
    <w:basedOn w:val="Normal"/>
    <w:link w:val="NotedebasdepageCar"/>
    <w:uiPriority w:val="99"/>
    <w:unhideWhenUsed/>
    <w:rsid w:val="00D131BB"/>
    <w:pPr>
      <w:widowControl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aliases w:val="Fodnotetekst Tegn Car"/>
    <w:basedOn w:val="Policepardfaut"/>
    <w:link w:val="Notedebasdepage"/>
    <w:uiPriority w:val="99"/>
    <w:rsid w:val="00D131BB"/>
    <w:rPr>
      <w:rFonts w:ascii="Times New Roman" w:eastAsia="Times New Roman" w:hAnsi="Times New Roman" w:cs="Times New Roman"/>
      <w:sz w:val="20"/>
      <w:szCs w:val="20"/>
      <w:lang w:val="en-US"/>
    </w:rPr>
  </w:style>
  <w:style w:type="character" w:styleId="Appelnotedebasdep">
    <w:name w:val="footnote reference"/>
    <w:basedOn w:val="Policepardfaut"/>
    <w:uiPriority w:val="99"/>
    <w:unhideWhenUsed/>
    <w:rsid w:val="00D131BB"/>
    <w:rPr>
      <w:vertAlign w:val="superscript"/>
    </w:rPr>
  </w:style>
  <w:style w:type="paragraph" w:styleId="Lgende">
    <w:name w:val="caption"/>
    <w:basedOn w:val="Normal"/>
    <w:next w:val="Normal"/>
    <w:uiPriority w:val="35"/>
    <w:semiHidden/>
    <w:unhideWhenUsed/>
    <w:qFormat/>
    <w:rsid w:val="00D131BB"/>
    <w:pPr>
      <w:widowControl w:val="0"/>
      <w:adjustRightInd w:val="0"/>
      <w:spacing w:line="240" w:lineRule="auto"/>
      <w:jc w:val="both"/>
      <w:textAlignment w:val="baseline"/>
    </w:pPr>
    <w:rPr>
      <w:rFonts w:ascii="Times New Roman" w:eastAsia="Times New Roman" w:hAnsi="Times New Roman" w:cs="Times New Roman"/>
      <w:i/>
      <w:iCs/>
      <w:color w:val="1F497D" w:themeColor="text2"/>
      <w:sz w:val="18"/>
      <w:szCs w:val="18"/>
      <w:lang w:val="en-US"/>
    </w:rPr>
  </w:style>
  <w:style w:type="character" w:styleId="Marquedecommentaire">
    <w:name w:val="annotation reference"/>
    <w:basedOn w:val="Policepardfaut"/>
    <w:uiPriority w:val="99"/>
    <w:semiHidden/>
    <w:unhideWhenUsed/>
    <w:rsid w:val="00A1539F"/>
    <w:rPr>
      <w:sz w:val="16"/>
      <w:szCs w:val="16"/>
    </w:rPr>
  </w:style>
  <w:style w:type="paragraph" w:styleId="Commentaire">
    <w:name w:val="annotation text"/>
    <w:basedOn w:val="Normal"/>
    <w:link w:val="CommentaireCar"/>
    <w:uiPriority w:val="99"/>
    <w:semiHidden/>
    <w:unhideWhenUsed/>
    <w:rsid w:val="00A1539F"/>
    <w:pPr>
      <w:spacing w:line="240" w:lineRule="auto"/>
    </w:pPr>
    <w:rPr>
      <w:sz w:val="20"/>
      <w:szCs w:val="20"/>
    </w:rPr>
  </w:style>
  <w:style w:type="character" w:customStyle="1" w:styleId="CommentaireCar">
    <w:name w:val="Commentaire Car"/>
    <w:basedOn w:val="Policepardfaut"/>
    <w:link w:val="Commentaire"/>
    <w:uiPriority w:val="99"/>
    <w:semiHidden/>
    <w:rsid w:val="00A1539F"/>
    <w:rPr>
      <w:sz w:val="20"/>
      <w:szCs w:val="20"/>
    </w:rPr>
  </w:style>
  <w:style w:type="paragraph" w:styleId="Objetducommentaire">
    <w:name w:val="annotation subject"/>
    <w:basedOn w:val="Commentaire"/>
    <w:next w:val="Commentaire"/>
    <w:link w:val="ObjetducommentaireCar"/>
    <w:uiPriority w:val="99"/>
    <w:semiHidden/>
    <w:unhideWhenUsed/>
    <w:rsid w:val="00A1539F"/>
    <w:rPr>
      <w:b/>
      <w:bCs/>
    </w:rPr>
  </w:style>
  <w:style w:type="character" w:customStyle="1" w:styleId="ObjetducommentaireCar">
    <w:name w:val="Objet du commentaire Car"/>
    <w:basedOn w:val="CommentaireCar"/>
    <w:link w:val="Objetducommentaire"/>
    <w:uiPriority w:val="99"/>
    <w:semiHidden/>
    <w:rsid w:val="00A153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680F12"/>
    <w:pPr>
      <w:ind w:left="720"/>
      <w:contextualSpacing/>
    </w:pPr>
  </w:style>
  <w:style w:type="paragraph" w:styleId="Textedebulles">
    <w:name w:val="Balloon Text"/>
    <w:basedOn w:val="Normal"/>
    <w:link w:val="TextedebullesCar"/>
    <w:uiPriority w:val="99"/>
    <w:semiHidden/>
    <w:unhideWhenUsed/>
    <w:rsid w:val="00715C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C38"/>
    <w:rPr>
      <w:rFonts w:ascii="Tahoma" w:hAnsi="Tahoma" w:cs="Tahoma"/>
      <w:sz w:val="16"/>
      <w:szCs w:val="16"/>
    </w:rPr>
  </w:style>
  <w:style w:type="paragraph" w:styleId="Sansinterligne">
    <w:name w:val="No Spacing"/>
    <w:link w:val="SansinterligneCar"/>
    <w:uiPriority w:val="1"/>
    <w:qFormat/>
    <w:rsid w:val="00C873F8"/>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873F8"/>
    <w:rPr>
      <w:rFonts w:ascii="Calibri" w:eastAsia="Times New Roman" w:hAnsi="Calibri" w:cs="Times New Roman"/>
    </w:rPr>
  </w:style>
  <w:style w:type="table" w:styleId="Grilledutableau">
    <w:name w:val="Table Grid"/>
    <w:basedOn w:val="TableauNormal"/>
    <w:uiPriority w:val="59"/>
    <w:rsid w:val="00E8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B078BB"/>
    <w:pPr>
      <w:keepNext/>
      <w:keepLines/>
      <w:numPr>
        <w:numId w:val="3"/>
      </w:numPr>
      <w:spacing w:before="480" w:after="0" w:line="240" w:lineRule="auto"/>
      <w:outlineLvl w:val="0"/>
    </w:pPr>
    <w:rPr>
      <w:rFonts w:ascii="Cambria" w:eastAsia="Times New Roman" w:hAnsi="Cambria" w:cs="Times New Roman"/>
      <w:b/>
      <w:color w:val="365F91"/>
      <w:sz w:val="28"/>
      <w:szCs w:val="24"/>
      <w:lang w:val="en-GB" w:eastAsia="en-GB"/>
    </w:rPr>
  </w:style>
  <w:style w:type="paragraph" w:customStyle="1" w:styleId="Style3">
    <w:name w:val="Style3"/>
    <w:basedOn w:val="Normal"/>
    <w:link w:val="Style3Char"/>
    <w:qFormat/>
    <w:rsid w:val="00B078BB"/>
    <w:pPr>
      <w:keepNext/>
      <w:keepLines/>
      <w:numPr>
        <w:ilvl w:val="1"/>
        <w:numId w:val="3"/>
      </w:numPr>
      <w:spacing w:before="200" w:after="0" w:line="240" w:lineRule="auto"/>
      <w:outlineLvl w:val="1"/>
    </w:pPr>
    <w:rPr>
      <w:rFonts w:ascii="Cambria" w:eastAsia="Times New Roman" w:hAnsi="Cambria" w:cs="Times New Roman"/>
      <w:b/>
      <w:color w:val="4F81BD"/>
      <w:sz w:val="26"/>
      <w:szCs w:val="24"/>
      <w:lang w:val="en-GB" w:eastAsia="en-GB"/>
    </w:rPr>
  </w:style>
  <w:style w:type="character" w:customStyle="1" w:styleId="Style3Char">
    <w:name w:val="Style3 Char"/>
    <w:link w:val="Style3"/>
    <w:rsid w:val="00B078BB"/>
    <w:rPr>
      <w:rFonts w:ascii="Cambria" w:eastAsia="Times New Roman" w:hAnsi="Cambria" w:cs="Times New Roman"/>
      <w:b/>
      <w:color w:val="4F81BD"/>
      <w:sz w:val="26"/>
      <w:szCs w:val="24"/>
      <w:lang w:val="en-GB" w:eastAsia="en-GB"/>
    </w:rPr>
  </w:style>
  <w:style w:type="paragraph" w:customStyle="1" w:styleId="Listecouleur-Accent11">
    <w:name w:val="Liste couleur - Accent 11"/>
    <w:basedOn w:val="Normal"/>
    <w:link w:val="Listecouleur-Accent1Car"/>
    <w:uiPriority w:val="34"/>
    <w:qFormat/>
    <w:rsid w:val="00D55DF0"/>
    <w:pPr>
      <w:ind w:left="720"/>
      <w:contextualSpacing/>
    </w:pPr>
    <w:rPr>
      <w:rFonts w:ascii="Calibri" w:eastAsia="Calibri" w:hAnsi="Calibri" w:cs="Times New Roman"/>
    </w:rPr>
  </w:style>
  <w:style w:type="character" w:customStyle="1" w:styleId="Listecouleur-Accent1Car">
    <w:name w:val="Liste couleur - Accent 1 Car"/>
    <w:link w:val="Listecouleur-Accent11"/>
    <w:uiPriority w:val="34"/>
    <w:rsid w:val="00D55DF0"/>
    <w:rPr>
      <w:rFonts w:ascii="Calibri" w:eastAsia="Calibri" w:hAnsi="Calibri" w:cs="Times New Roman"/>
    </w:rPr>
  </w:style>
  <w:style w:type="character" w:customStyle="1" w:styleId="ParagraphedelisteCar">
    <w:name w:val="Paragraphe de liste Car"/>
    <w:aliases w:val="References Car"/>
    <w:link w:val="Paragraphedeliste"/>
    <w:rsid w:val="007E1ED6"/>
  </w:style>
  <w:style w:type="paragraph" w:customStyle="1" w:styleId="Sansinterligne1">
    <w:name w:val="Sans interligne1"/>
    <w:qFormat/>
    <w:rsid w:val="00316394"/>
    <w:pPr>
      <w:spacing w:after="0" w:line="240" w:lineRule="auto"/>
    </w:pPr>
    <w:rPr>
      <w:rFonts w:ascii="Calibri" w:eastAsia="Calibri" w:hAnsi="Calibri" w:cs="Times New Roman"/>
    </w:rPr>
  </w:style>
  <w:style w:type="paragraph" w:styleId="En-tte">
    <w:name w:val="header"/>
    <w:basedOn w:val="Normal"/>
    <w:link w:val="En-tteCar"/>
    <w:uiPriority w:val="99"/>
    <w:unhideWhenUsed/>
    <w:rsid w:val="007D539B"/>
    <w:pPr>
      <w:tabs>
        <w:tab w:val="center" w:pos="4536"/>
        <w:tab w:val="right" w:pos="9072"/>
      </w:tabs>
      <w:spacing w:after="0" w:line="240" w:lineRule="auto"/>
    </w:pPr>
  </w:style>
  <w:style w:type="character" w:customStyle="1" w:styleId="En-tteCar">
    <w:name w:val="En-tête Car"/>
    <w:basedOn w:val="Policepardfaut"/>
    <w:link w:val="En-tte"/>
    <w:uiPriority w:val="99"/>
    <w:rsid w:val="007D539B"/>
  </w:style>
  <w:style w:type="paragraph" w:styleId="Pieddepage">
    <w:name w:val="footer"/>
    <w:basedOn w:val="Normal"/>
    <w:link w:val="PieddepageCar"/>
    <w:uiPriority w:val="99"/>
    <w:unhideWhenUsed/>
    <w:rsid w:val="007D53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39B"/>
  </w:style>
  <w:style w:type="paragraph" w:styleId="TM2">
    <w:name w:val="toc 2"/>
    <w:basedOn w:val="Normal"/>
    <w:next w:val="Normal"/>
    <w:autoRedefine/>
    <w:uiPriority w:val="39"/>
    <w:unhideWhenUsed/>
    <w:rsid w:val="00E011C3"/>
    <w:pPr>
      <w:spacing w:after="100"/>
      <w:ind w:left="220"/>
    </w:pPr>
  </w:style>
  <w:style w:type="paragraph" w:styleId="TM1">
    <w:name w:val="toc 1"/>
    <w:basedOn w:val="Normal"/>
    <w:next w:val="Normal"/>
    <w:autoRedefine/>
    <w:uiPriority w:val="39"/>
    <w:unhideWhenUsed/>
    <w:rsid w:val="006A4BFF"/>
    <w:pPr>
      <w:tabs>
        <w:tab w:val="left" w:pos="440"/>
        <w:tab w:val="right" w:leader="dot" w:pos="9062"/>
      </w:tabs>
      <w:spacing w:after="100"/>
      <w:jc w:val="both"/>
    </w:pPr>
    <w:rPr>
      <w:rFonts w:ascii="Arial" w:hAnsi="Arial" w:cs="Arial"/>
      <w:b/>
      <w:sz w:val="24"/>
    </w:rPr>
  </w:style>
  <w:style w:type="character" w:styleId="Lienhypertexte">
    <w:name w:val="Hyperlink"/>
    <w:basedOn w:val="Policepardfaut"/>
    <w:uiPriority w:val="99"/>
    <w:unhideWhenUsed/>
    <w:rsid w:val="00E011C3"/>
    <w:rPr>
      <w:color w:val="0000FF" w:themeColor="hyperlink"/>
      <w:u w:val="single"/>
    </w:rPr>
  </w:style>
  <w:style w:type="paragraph" w:styleId="Titre">
    <w:name w:val="Title"/>
    <w:basedOn w:val="Normal"/>
    <w:next w:val="Normal"/>
    <w:link w:val="TitreCar"/>
    <w:uiPriority w:val="10"/>
    <w:qFormat/>
    <w:rsid w:val="007E05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7E05A8"/>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7E05A8"/>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7E05A8"/>
    <w:rPr>
      <w:rFonts w:asciiTheme="majorHAnsi" w:eastAsiaTheme="majorEastAsia" w:hAnsiTheme="majorHAnsi" w:cstheme="majorBidi"/>
      <w:i/>
      <w:iCs/>
      <w:color w:val="4F81BD" w:themeColor="accent1"/>
      <w:spacing w:val="15"/>
      <w:sz w:val="24"/>
      <w:szCs w:val="24"/>
      <w:lang w:eastAsia="fr-FR"/>
    </w:rPr>
  </w:style>
  <w:style w:type="paragraph" w:customStyle="1" w:styleId="ColorfulList-Accent11">
    <w:name w:val="Colorful List - Accent 11"/>
    <w:basedOn w:val="Normal"/>
    <w:uiPriority w:val="34"/>
    <w:qFormat/>
    <w:rsid w:val="00B96900"/>
    <w:pPr>
      <w:ind w:left="720"/>
      <w:contextualSpacing/>
    </w:pPr>
    <w:rPr>
      <w:rFonts w:ascii="Calibri" w:eastAsia="Calibri" w:hAnsi="Calibri" w:cs="Times New Roman"/>
      <w:lang w:val="en-US"/>
    </w:rPr>
  </w:style>
  <w:style w:type="paragraph" w:styleId="Notedebasdepage">
    <w:name w:val="footnote text"/>
    <w:aliases w:val="Fodnotetekst Tegn"/>
    <w:basedOn w:val="Normal"/>
    <w:link w:val="NotedebasdepageCar"/>
    <w:uiPriority w:val="99"/>
    <w:unhideWhenUsed/>
    <w:rsid w:val="00D131BB"/>
    <w:pPr>
      <w:widowControl w:val="0"/>
      <w:adjustRightInd w:val="0"/>
      <w:spacing w:after="0" w:line="240" w:lineRule="auto"/>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aliases w:val="Fodnotetekst Tegn Car"/>
    <w:basedOn w:val="Policepardfaut"/>
    <w:link w:val="Notedebasdepage"/>
    <w:uiPriority w:val="99"/>
    <w:rsid w:val="00D131BB"/>
    <w:rPr>
      <w:rFonts w:ascii="Times New Roman" w:eastAsia="Times New Roman" w:hAnsi="Times New Roman" w:cs="Times New Roman"/>
      <w:sz w:val="20"/>
      <w:szCs w:val="20"/>
      <w:lang w:val="en-US"/>
    </w:rPr>
  </w:style>
  <w:style w:type="character" w:styleId="Appelnotedebasdep">
    <w:name w:val="footnote reference"/>
    <w:basedOn w:val="Policepardfaut"/>
    <w:uiPriority w:val="99"/>
    <w:unhideWhenUsed/>
    <w:rsid w:val="00D131BB"/>
    <w:rPr>
      <w:vertAlign w:val="superscript"/>
    </w:rPr>
  </w:style>
  <w:style w:type="paragraph" w:styleId="Lgende">
    <w:name w:val="caption"/>
    <w:basedOn w:val="Normal"/>
    <w:next w:val="Normal"/>
    <w:uiPriority w:val="35"/>
    <w:semiHidden/>
    <w:unhideWhenUsed/>
    <w:qFormat/>
    <w:rsid w:val="00D131BB"/>
    <w:pPr>
      <w:widowControl w:val="0"/>
      <w:adjustRightInd w:val="0"/>
      <w:spacing w:line="240" w:lineRule="auto"/>
      <w:jc w:val="both"/>
      <w:textAlignment w:val="baseline"/>
    </w:pPr>
    <w:rPr>
      <w:rFonts w:ascii="Times New Roman" w:eastAsia="Times New Roman" w:hAnsi="Times New Roman" w:cs="Times New Roman"/>
      <w:i/>
      <w:iCs/>
      <w:color w:val="1F497D" w:themeColor="text2"/>
      <w:sz w:val="18"/>
      <w:szCs w:val="18"/>
      <w:lang w:val="en-US"/>
    </w:rPr>
  </w:style>
  <w:style w:type="character" w:styleId="Marquedecommentaire">
    <w:name w:val="annotation reference"/>
    <w:basedOn w:val="Policepardfaut"/>
    <w:uiPriority w:val="99"/>
    <w:semiHidden/>
    <w:unhideWhenUsed/>
    <w:rsid w:val="00A1539F"/>
    <w:rPr>
      <w:sz w:val="16"/>
      <w:szCs w:val="16"/>
    </w:rPr>
  </w:style>
  <w:style w:type="paragraph" w:styleId="Commentaire">
    <w:name w:val="annotation text"/>
    <w:basedOn w:val="Normal"/>
    <w:link w:val="CommentaireCar"/>
    <w:uiPriority w:val="99"/>
    <w:semiHidden/>
    <w:unhideWhenUsed/>
    <w:rsid w:val="00A1539F"/>
    <w:pPr>
      <w:spacing w:line="240" w:lineRule="auto"/>
    </w:pPr>
    <w:rPr>
      <w:sz w:val="20"/>
      <w:szCs w:val="20"/>
    </w:rPr>
  </w:style>
  <w:style w:type="character" w:customStyle="1" w:styleId="CommentaireCar">
    <w:name w:val="Commentaire Car"/>
    <w:basedOn w:val="Policepardfaut"/>
    <w:link w:val="Commentaire"/>
    <w:uiPriority w:val="99"/>
    <w:semiHidden/>
    <w:rsid w:val="00A1539F"/>
    <w:rPr>
      <w:sz w:val="20"/>
      <w:szCs w:val="20"/>
    </w:rPr>
  </w:style>
  <w:style w:type="paragraph" w:styleId="Objetducommentaire">
    <w:name w:val="annotation subject"/>
    <w:basedOn w:val="Commentaire"/>
    <w:next w:val="Commentaire"/>
    <w:link w:val="ObjetducommentaireCar"/>
    <w:uiPriority w:val="99"/>
    <w:semiHidden/>
    <w:unhideWhenUsed/>
    <w:rsid w:val="00A1539F"/>
    <w:rPr>
      <w:b/>
      <w:bCs/>
    </w:rPr>
  </w:style>
  <w:style w:type="character" w:customStyle="1" w:styleId="ObjetducommentaireCar">
    <w:name w:val="Objet du commentaire Car"/>
    <w:basedOn w:val="CommentaireCar"/>
    <w:link w:val="Objetducommentaire"/>
    <w:uiPriority w:val="99"/>
    <w:semiHidden/>
    <w:rsid w:val="00A1539F"/>
    <w:rPr>
      <w:b/>
      <w:bCs/>
      <w:sz w:val="20"/>
      <w:szCs w:val="20"/>
    </w:rPr>
  </w:style>
</w:styles>
</file>

<file path=word/webSettings.xml><?xml version="1.0" encoding="utf-8"?>
<w:webSettings xmlns:r="http://schemas.openxmlformats.org/officeDocument/2006/relationships" xmlns:w="http://schemas.openxmlformats.org/wordprocessingml/2006/main">
  <w:divs>
    <w:div w:id="870193944">
      <w:bodyDiv w:val="1"/>
      <w:marLeft w:val="0"/>
      <w:marRight w:val="0"/>
      <w:marTop w:val="0"/>
      <w:marBottom w:val="0"/>
      <w:divBdr>
        <w:top w:val="none" w:sz="0" w:space="0" w:color="auto"/>
        <w:left w:val="none" w:sz="0" w:space="0" w:color="auto"/>
        <w:bottom w:val="none" w:sz="0" w:space="0" w:color="auto"/>
        <w:right w:val="none" w:sz="0" w:space="0" w:color="auto"/>
      </w:divBdr>
    </w:div>
    <w:div w:id="901793296">
      <w:bodyDiv w:val="1"/>
      <w:marLeft w:val="0"/>
      <w:marRight w:val="0"/>
      <w:marTop w:val="0"/>
      <w:marBottom w:val="0"/>
      <w:divBdr>
        <w:top w:val="none" w:sz="0" w:space="0" w:color="auto"/>
        <w:left w:val="none" w:sz="0" w:space="0" w:color="auto"/>
        <w:bottom w:val="none" w:sz="0" w:space="0" w:color="auto"/>
        <w:right w:val="none" w:sz="0" w:space="0" w:color="auto"/>
      </w:divBdr>
    </w:div>
    <w:div w:id="922253388">
      <w:bodyDiv w:val="1"/>
      <w:marLeft w:val="0"/>
      <w:marRight w:val="0"/>
      <w:marTop w:val="0"/>
      <w:marBottom w:val="0"/>
      <w:divBdr>
        <w:top w:val="none" w:sz="0" w:space="0" w:color="auto"/>
        <w:left w:val="none" w:sz="0" w:space="0" w:color="auto"/>
        <w:bottom w:val="none" w:sz="0" w:space="0" w:color="auto"/>
        <w:right w:val="none" w:sz="0" w:space="0" w:color="auto"/>
      </w:divBdr>
    </w:div>
    <w:div w:id="1114979645">
      <w:bodyDiv w:val="1"/>
      <w:marLeft w:val="0"/>
      <w:marRight w:val="0"/>
      <w:marTop w:val="0"/>
      <w:marBottom w:val="0"/>
      <w:divBdr>
        <w:top w:val="none" w:sz="0" w:space="0" w:color="auto"/>
        <w:left w:val="none" w:sz="0" w:space="0" w:color="auto"/>
        <w:bottom w:val="none" w:sz="0" w:space="0" w:color="auto"/>
        <w:right w:val="none" w:sz="0" w:space="0" w:color="auto"/>
      </w:divBdr>
    </w:div>
    <w:div w:id="1333414708">
      <w:bodyDiv w:val="1"/>
      <w:marLeft w:val="0"/>
      <w:marRight w:val="0"/>
      <w:marTop w:val="0"/>
      <w:marBottom w:val="0"/>
      <w:divBdr>
        <w:top w:val="none" w:sz="0" w:space="0" w:color="auto"/>
        <w:left w:val="none" w:sz="0" w:space="0" w:color="auto"/>
        <w:bottom w:val="none" w:sz="0" w:space="0" w:color="auto"/>
        <w:right w:val="none" w:sz="0" w:space="0" w:color="auto"/>
      </w:divBdr>
    </w:div>
    <w:div w:id="1694959871">
      <w:bodyDiv w:val="1"/>
      <w:marLeft w:val="0"/>
      <w:marRight w:val="0"/>
      <w:marTop w:val="0"/>
      <w:marBottom w:val="0"/>
      <w:divBdr>
        <w:top w:val="none" w:sz="0" w:space="0" w:color="auto"/>
        <w:left w:val="none" w:sz="0" w:space="0" w:color="auto"/>
        <w:bottom w:val="none" w:sz="0" w:space="0" w:color="auto"/>
        <w:right w:val="none" w:sz="0" w:space="0" w:color="auto"/>
      </w:divBdr>
      <w:divsChild>
        <w:div w:id="495193541">
          <w:marLeft w:val="547"/>
          <w:marRight w:val="0"/>
          <w:marTop w:val="77"/>
          <w:marBottom w:val="120"/>
          <w:divBdr>
            <w:top w:val="none" w:sz="0" w:space="0" w:color="auto"/>
            <w:left w:val="none" w:sz="0" w:space="0" w:color="auto"/>
            <w:bottom w:val="none" w:sz="0" w:space="0" w:color="auto"/>
            <w:right w:val="none" w:sz="0" w:space="0" w:color="auto"/>
          </w:divBdr>
        </w:div>
        <w:div w:id="681669341">
          <w:marLeft w:val="547"/>
          <w:marRight w:val="0"/>
          <w:marTop w:val="77"/>
          <w:marBottom w:val="120"/>
          <w:divBdr>
            <w:top w:val="none" w:sz="0" w:space="0" w:color="auto"/>
            <w:left w:val="none" w:sz="0" w:space="0" w:color="auto"/>
            <w:bottom w:val="none" w:sz="0" w:space="0" w:color="auto"/>
            <w:right w:val="none" w:sz="0" w:space="0" w:color="auto"/>
          </w:divBdr>
        </w:div>
        <w:div w:id="1047534733">
          <w:marLeft w:val="547"/>
          <w:marRight w:val="0"/>
          <w:marTop w:val="77"/>
          <w:marBottom w:val="120"/>
          <w:divBdr>
            <w:top w:val="none" w:sz="0" w:space="0" w:color="auto"/>
            <w:left w:val="none" w:sz="0" w:space="0" w:color="auto"/>
            <w:bottom w:val="none" w:sz="0" w:space="0" w:color="auto"/>
            <w:right w:val="none" w:sz="0" w:space="0" w:color="auto"/>
          </w:divBdr>
        </w:div>
      </w:divsChild>
    </w:div>
    <w:div w:id="20402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Application pour l’Introduction du vaccin antipoliomyélitique inactivé (VPI) dans le Programme national de vaccination.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258F0-724B-4076-B933-7DE453C9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10627</Words>
  <Characters>58449</Characters>
  <Application>Microsoft Office Word</Application>
  <DocSecurity>0</DocSecurity>
  <Lines>487</Lines>
  <Paragraphs>137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Plan d’Introduction du VPI au Tchad.</vt:lpstr>
      <vt:lpstr>Plan d’Introduction du VPI au Tchad.</vt:lpstr>
    </vt:vector>
  </TitlesOfParts>
  <Company>Microsoft</Company>
  <LinksUpToDate>false</LinksUpToDate>
  <CharactersWithSpaces>68939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d’Introduction du VPI au Tchad.</dc:title>
  <dc:subject>Application pour l’introduction du vaccin antipoliomyélitique inactivé dans le programme national de vaccination en 2015.</dc:subject>
  <dc:creator>Coordination Nationale du PEV</dc:creator>
  <cp:lastModifiedBy>PEV TCHAD-PC</cp:lastModifiedBy>
  <cp:revision>5</cp:revision>
  <cp:lastPrinted>2014-07-03T11:19:00Z</cp:lastPrinted>
  <dcterms:created xsi:type="dcterms:W3CDTF">2015-01-08T14:58:00Z</dcterms:created>
  <dcterms:modified xsi:type="dcterms:W3CDTF">2015-01-10T12:10:00Z</dcterms:modified>
</cp:coreProperties>
</file>