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4A5" w:rsidRPr="00A76ADE" w:rsidRDefault="007A1DF9">
      <w:pPr>
        <w:rPr>
          <w:b/>
          <w:sz w:val="28"/>
          <w:szCs w:val="28"/>
        </w:rPr>
      </w:pPr>
      <w:r w:rsidRPr="00A76ADE">
        <w:rPr>
          <w:b/>
          <w:sz w:val="28"/>
          <w:szCs w:val="28"/>
        </w:rPr>
        <w:t>Responses to Issues raised by GAVI IRC.</w:t>
      </w:r>
    </w:p>
    <w:tbl>
      <w:tblPr>
        <w:tblW w:w="919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
        <w:gridCol w:w="3969"/>
        <w:gridCol w:w="4785"/>
      </w:tblGrid>
      <w:tr w:rsidR="007A1DF9" w:rsidRPr="007A1DF9" w:rsidTr="006D2E0F">
        <w:trPr>
          <w:trHeight w:val="420"/>
          <w:tblHeader/>
        </w:trPr>
        <w:tc>
          <w:tcPr>
            <w:tcW w:w="440" w:type="dxa"/>
            <w:shd w:val="clear" w:color="auto" w:fill="auto"/>
            <w:noWrap/>
            <w:hideMark/>
          </w:tcPr>
          <w:p w:rsidR="007A1DF9" w:rsidRPr="007A1DF9" w:rsidRDefault="007A1DF9" w:rsidP="007A1DF9">
            <w:pPr>
              <w:spacing w:after="0" w:line="240" w:lineRule="auto"/>
              <w:rPr>
                <w:rFonts w:ascii="Calibri" w:eastAsia="Times New Roman" w:hAnsi="Calibri" w:cs="Calibri"/>
                <w:b/>
                <w:bCs/>
                <w:color w:val="000000"/>
                <w:sz w:val="32"/>
                <w:szCs w:val="32"/>
                <w:lang w:eastAsia="en-GB"/>
              </w:rPr>
            </w:pPr>
          </w:p>
        </w:tc>
        <w:tc>
          <w:tcPr>
            <w:tcW w:w="3969" w:type="dxa"/>
            <w:shd w:val="clear" w:color="auto" w:fill="auto"/>
            <w:hideMark/>
          </w:tcPr>
          <w:p w:rsidR="007A1DF9" w:rsidRPr="007A1DF9" w:rsidRDefault="007A1DF9" w:rsidP="007A1DF9">
            <w:pPr>
              <w:spacing w:after="0" w:line="240" w:lineRule="auto"/>
              <w:rPr>
                <w:rFonts w:ascii="Calibri" w:eastAsia="Times New Roman" w:hAnsi="Calibri" w:cs="Calibri"/>
                <w:b/>
                <w:bCs/>
                <w:color w:val="000000"/>
                <w:sz w:val="32"/>
                <w:szCs w:val="32"/>
                <w:lang w:eastAsia="en-GB"/>
              </w:rPr>
            </w:pPr>
            <w:r w:rsidRPr="007A1DF9">
              <w:rPr>
                <w:rFonts w:ascii="Calibri" w:eastAsia="Times New Roman" w:hAnsi="Calibri" w:cs="Calibri"/>
                <w:b/>
                <w:bCs/>
                <w:color w:val="000000"/>
                <w:sz w:val="32"/>
                <w:szCs w:val="32"/>
                <w:lang w:eastAsia="en-GB"/>
              </w:rPr>
              <w:t>Issue</w:t>
            </w:r>
          </w:p>
        </w:tc>
        <w:tc>
          <w:tcPr>
            <w:tcW w:w="4785" w:type="dxa"/>
            <w:shd w:val="clear" w:color="auto" w:fill="auto"/>
            <w:hideMark/>
          </w:tcPr>
          <w:p w:rsidR="007A1DF9" w:rsidRPr="007A1DF9" w:rsidRDefault="007A1DF9" w:rsidP="007A1DF9">
            <w:pPr>
              <w:spacing w:after="0" w:line="240" w:lineRule="auto"/>
              <w:rPr>
                <w:rFonts w:ascii="Calibri" w:eastAsia="Times New Roman" w:hAnsi="Calibri" w:cs="Calibri"/>
                <w:b/>
                <w:bCs/>
                <w:color w:val="000000"/>
                <w:sz w:val="32"/>
                <w:szCs w:val="32"/>
                <w:lang w:eastAsia="en-GB"/>
              </w:rPr>
            </w:pPr>
            <w:r w:rsidRPr="007A1DF9">
              <w:rPr>
                <w:rFonts w:ascii="Calibri" w:eastAsia="Times New Roman" w:hAnsi="Calibri" w:cs="Calibri"/>
                <w:b/>
                <w:bCs/>
                <w:color w:val="000000"/>
                <w:sz w:val="32"/>
                <w:szCs w:val="32"/>
                <w:lang w:eastAsia="en-GB"/>
              </w:rPr>
              <w:t>Response</w:t>
            </w:r>
          </w:p>
        </w:tc>
      </w:tr>
      <w:tr w:rsidR="007A1DF9" w:rsidRPr="007A1DF9" w:rsidTr="006D2E0F">
        <w:trPr>
          <w:trHeight w:val="2231"/>
        </w:trPr>
        <w:tc>
          <w:tcPr>
            <w:tcW w:w="440" w:type="dxa"/>
            <w:shd w:val="clear" w:color="auto" w:fill="auto"/>
            <w:noWrap/>
            <w:hideMark/>
          </w:tcPr>
          <w:p w:rsidR="007A1DF9" w:rsidRPr="007A1DF9" w:rsidRDefault="007A1DF9" w:rsidP="007A1DF9">
            <w:pPr>
              <w:spacing w:after="0" w:line="240" w:lineRule="auto"/>
              <w:jc w:val="right"/>
              <w:rPr>
                <w:rFonts w:ascii="Calibri" w:eastAsia="Times New Roman" w:hAnsi="Calibri" w:cs="Calibri"/>
                <w:color w:val="000000"/>
                <w:lang w:eastAsia="en-GB"/>
              </w:rPr>
            </w:pPr>
            <w:r w:rsidRPr="007A1DF9">
              <w:rPr>
                <w:rFonts w:ascii="Calibri" w:eastAsia="Times New Roman" w:hAnsi="Calibri" w:cs="Calibri"/>
                <w:color w:val="000000"/>
                <w:lang w:eastAsia="en-GB"/>
              </w:rPr>
              <w:t>1</w:t>
            </w:r>
          </w:p>
        </w:tc>
        <w:tc>
          <w:tcPr>
            <w:tcW w:w="3969" w:type="dxa"/>
            <w:shd w:val="clear" w:color="auto" w:fill="auto"/>
            <w:hideMark/>
          </w:tcPr>
          <w:p w:rsidR="007A1DF9" w:rsidRPr="007A1DF9" w:rsidRDefault="007A1DF9" w:rsidP="007A1DF9">
            <w:pPr>
              <w:spacing w:after="0" w:line="240" w:lineRule="auto"/>
              <w:rPr>
                <w:rFonts w:ascii="Calibri" w:eastAsia="Times New Roman" w:hAnsi="Calibri" w:cs="Calibri"/>
                <w:color w:val="17375E"/>
                <w:lang w:eastAsia="en-GB"/>
              </w:rPr>
            </w:pPr>
            <w:r w:rsidRPr="007A1DF9">
              <w:rPr>
                <w:rFonts w:ascii="Calibri" w:eastAsia="Times New Roman" w:hAnsi="Calibri" w:cs="Calibri"/>
                <w:color w:val="17375E"/>
                <w:lang w:eastAsia="en-GB"/>
              </w:rPr>
              <w:t>77% of the funds are earmarked for capital costs and related procurement and supply and mainly benefit objectives 1 and 3. In addition there is a further 19% of the budget for a mix of planning and administration, M&amp;E, training and TA. Given the importance of Output 2 please demonstrate how the funds requested will help achieve indicator 2.</w:t>
            </w:r>
          </w:p>
        </w:tc>
        <w:tc>
          <w:tcPr>
            <w:tcW w:w="4785" w:type="dxa"/>
            <w:shd w:val="clear" w:color="auto" w:fill="auto"/>
            <w:hideMark/>
          </w:tcPr>
          <w:p w:rsidR="007A1DF9" w:rsidRPr="007A1DF9" w:rsidRDefault="007A1DF9" w:rsidP="006A5178">
            <w:pPr>
              <w:spacing w:after="0" w:line="240" w:lineRule="auto"/>
              <w:rPr>
                <w:rFonts w:ascii="Calibri" w:eastAsia="Times New Roman" w:hAnsi="Calibri" w:cs="Calibri"/>
                <w:color w:val="000000"/>
                <w:lang w:eastAsia="en-GB"/>
              </w:rPr>
            </w:pPr>
            <w:r w:rsidRPr="007A1DF9">
              <w:rPr>
                <w:rFonts w:ascii="Calibri" w:eastAsia="Times New Roman" w:hAnsi="Calibri" w:cs="Calibri"/>
                <w:color w:val="000000"/>
                <w:lang w:eastAsia="en-GB"/>
              </w:rPr>
              <w:t>An assessment of the total funding shows that 30%, 35% and 34% of the total budget are to support Objectives 1</w:t>
            </w:r>
            <w:proofErr w:type="gramStart"/>
            <w:r w:rsidRPr="007A1DF9">
              <w:rPr>
                <w:rFonts w:ascii="Calibri" w:eastAsia="Times New Roman" w:hAnsi="Calibri" w:cs="Calibri"/>
                <w:color w:val="000000"/>
                <w:lang w:eastAsia="en-GB"/>
              </w:rPr>
              <w:t>,2</w:t>
            </w:r>
            <w:proofErr w:type="gramEnd"/>
            <w:r w:rsidRPr="007A1DF9">
              <w:rPr>
                <w:rFonts w:ascii="Calibri" w:eastAsia="Times New Roman" w:hAnsi="Calibri" w:cs="Calibri"/>
                <w:color w:val="000000"/>
                <w:lang w:eastAsia="en-GB"/>
              </w:rPr>
              <w:t xml:space="preserve"> and</w:t>
            </w:r>
            <w:r w:rsidR="006A5178">
              <w:rPr>
                <w:rFonts w:ascii="Calibri" w:eastAsia="Times New Roman" w:hAnsi="Calibri" w:cs="Calibri"/>
                <w:color w:val="000000"/>
                <w:lang w:eastAsia="en-GB"/>
              </w:rPr>
              <w:t xml:space="preserve"> </w:t>
            </w:r>
            <w:r w:rsidRPr="007A1DF9">
              <w:rPr>
                <w:rFonts w:ascii="Calibri" w:eastAsia="Times New Roman" w:hAnsi="Calibri" w:cs="Calibri"/>
                <w:color w:val="000000"/>
                <w:lang w:eastAsia="en-GB"/>
              </w:rPr>
              <w:t>3</w:t>
            </w:r>
            <w:r w:rsidR="00D81A63">
              <w:rPr>
                <w:rFonts w:ascii="Calibri" w:eastAsia="Times New Roman" w:hAnsi="Calibri" w:cs="Calibri"/>
                <w:color w:val="000000"/>
                <w:lang w:eastAsia="en-GB"/>
              </w:rPr>
              <w:t xml:space="preserve"> respectively</w:t>
            </w:r>
            <w:r w:rsidRPr="007A1DF9">
              <w:rPr>
                <w:rFonts w:ascii="Calibri" w:eastAsia="Times New Roman" w:hAnsi="Calibri" w:cs="Calibri"/>
                <w:color w:val="000000"/>
                <w:lang w:eastAsia="en-GB"/>
              </w:rPr>
              <w:t xml:space="preserve">. Objective 2 therefore is properly supported. </w:t>
            </w:r>
          </w:p>
        </w:tc>
      </w:tr>
      <w:tr w:rsidR="007A1DF9" w:rsidRPr="007A1DF9" w:rsidTr="006D2E0F">
        <w:trPr>
          <w:trHeight w:val="2400"/>
        </w:trPr>
        <w:tc>
          <w:tcPr>
            <w:tcW w:w="440" w:type="dxa"/>
            <w:shd w:val="clear" w:color="auto" w:fill="auto"/>
            <w:noWrap/>
            <w:hideMark/>
          </w:tcPr>
          <w:p w:rsidR="007A1DF9" w:rsidRPr="007A1DF9" w:rsidRDefault="007A1DF9" w:rsidP="007A1DF9">
            <w:pPr>
              <w:spacing w:after="0" w:line="240" w:lineRule="auto"/>
              <w:jc w:val="right"/>
              <w:rPr>
                <w:rFonts w:ascii="Calibri" w:eastAsia="Times New Roman" w:hAnsi="Calibri" w:cs="Calibri"/>
                <w:color w:val="000000"/>
                <w:lang w:eastAsia="en-GB"/>
              </w:rPr>
            </w:pPr>
            <w:r w:rsidRPr="007A1DF9">
              <w:rPr>
                <w:rFonts w:ascii="Calibri" w:eastAsia="Times New Roman" w:hAnsi="Calibri" w:cs="Calibri"/>
                <w:color w:val="000000"/>
                <w:lang w:eastAsia="en-GB"/>
              </w:rPr>
              <w:t>2</w:t>
            </w:r>
          </w:p>
        </w:tc>
        <w:tc>
          <w:tcPr>
            <w:tcW w:w="3969" w:type="dxa"/>
            <w:shd w:val="clear" w:color="auto" w:fill="auto"/>
            <w:hideMark/>
          </w:tcPr>
          <w:p w:rsidR="007A1DF9" w:rsidRPr="007A1DF9" w:rsidRDefault="007A1DF9" w:rsidP="007A1DF9">
            <w:pPr>
              <w:spacing w:after="0" w:line="240" w:lineRule="auto"/>
              <w:rPr>
                <w:rFonts w:ascii="Calibri" w:eastAsia="Times New Roman" w:hAnsi="Calibri" w:cs="Calibri"/>
                <w:color w:val="17375E"/>
                <w:lang w:eastAsia="en-GB"/>
              </w:rPr>
            </w:pPr>
            <w:r w:rsidRPr="007A1DF9">
              <w:rPr>
                <w:rFonts w:ascii="Calibri" w:eastAsia="Times New Roman" w:hAnsi="Calibri" w:cs="Calibri"/>
                <w:color w:val="17375E"/>
                <w:lang w:eastAsia="en-GB"/>
              </w:rPr>
              <w:t>Two outcomes indicators deemed relevant by GAVI could not be found on the log</w:t>
            </w:r>
            <w:r w:rsidR="006D2E0F">
              <w:rPr>
                <w:rFonts w:ascii="Calibri" w:eastAsia="Times New Roman" w:hAnsi="Calibri" w:cs="Calibri"/>
                <w:color w:val="17375E"/>
                <w:lang w:eastAsia="en-GB"/>
              </w:rPr>
              <w:t>-</w:t>
            </w:r>
            <w:r w:rsidRPr="007A1DF9">
              <w:rPr>
                <w:rFonts w:ascii="Calibri" w:eastAsia="Times New Roman" w:hAnsi="Calibri" w:cs="Calibri"/>
                <w:color w:val="17375E"/>
                <w:lang w:eastAsia="en-GB"/>
              </w:rPr>
              <w:t>frame: 1) drop-out rate between DPT1 and DPT3 and 2) equity in immunisation coverage, please clarify why they have not been included.</w:t>
            </w:r>
          </w:p>
        </w:tc>
        <w:tc>
          <w:tcPr>
            <w:tcW w:w="4785" w:type="dxa"/>
            <w:shd w:val="clear" w:color="auto" w:fill="auto"/>
            <w:hideMark/>
          </w:tcPr>
          <w:p w:rsidR="007A1DF9" w:rsidRPr="007A1DF9" w:rsidRDefault="007A1DF9" w:rsidP="007A1DF9">
            <w:pPr>
              <w:spacing w:after="0" w:line="240" w:lineRule="auto"/>
              <w:rPr>
                <w:rFonts w:ascii="Calibri" w:eastAsia="Times New Roman" w:hAnsi="Calibri" w:cs="Calibri"/>
                <w:color w:val="000000"/>
                <w:lang w:eastAsia="en-GB"/>
              </w:rPr>
            </w:pPr>
            <w:r w:rsidRPr="007A1DF9">
              <w:rPr>
                <w:rFonts w:ascii="Calibri" w:eastAsia="Times New Roman" w:hAnsi="Calibri" w:cs="Calibri"/>
                <w:color w:val="000000"/>
                <w:lang w:eastAsia="en-GB"/>
              </w:rPr>
              <w:t xml:space="preserve">Both drop-out rate between DPT1 and DPT3 </w:t>
            </w:r>
            <w:r w:rsidR="00D81A63" w:rsidRPr="007A1DF9">
              <w:rPr>
                <w:rFonts w:ascii="Calibri" w:eastAsia="Times New Roman" w:hAnsi="Calibri" w:cs="Calibri"/>
                <w:color w:val="000000"/>
                <w:lang w:eastAsia="en-GB"/>
              </w:rPr>
              <w:t>and equity</w:t>
            </w:r>
            <w:r w:rsidRPr="007A1DF9">
              <w:rPr>
                <w:rFonts w:ascii="Calibri" w:eastAsia="Times New Roman" w:hAnsi="Calibri" w:cs="Calibri"/>
                <w:color w:val="000000"/>
                <w:lang w:eastAsia="en-GB"/>
              </w:rPr>
              <w:t xml:space="preserve"> in immunisation coverage are very </w:t>
            </w:r>
            <w:r w:rsidR="00D81A63" w:rsidRPr="007A1DF9">
              <w:rPr>
                <w:rFonts w:ascii="Calibri" w:eastAsia="Times New Roman" w:hAnsi="Calibri" w:cs="Calibri"/>
                <w:color w:val="000000"/>
                <w:lang w:eastAsia="en-GB"/>
              </w:rPr>
              <w:t>important</w:t>
            </w:r>
            <w:r w:rsidRPr="007A1DF9">
              <w:rPr>
                <w:rFonts w:ascii="Calibri" w:eastAsia="Times New Roman" w:hAnsi="Calibri" w:cs="Calibri"/>
                <w:color w:val="000000"/>
                <w:lang w:eastAsia="en-GB"/>
              </w:rPr>
              <w:t xml:space="preserve"> indicators for immunisation. However these are not in the Results and Accountability Framework (</w:t>
            </w:r>
            <w:proofErr w:type="spellStart"/>
            <w:r w:rsidRPr="007A1DF9">
              <w:rPr>
                <w:rFonts w:ascii="Calibri" w:eastAsia="Times New Roman" w:hAnsi="Calibri" w:cs="Calibri"/>
                <w:color w:val="000000"/>
                <w:lang w:eastAsia="en-GB"/>
              </w:rPr>
              <w:t>RaF</w:t>
            </w:r>
            <w:proofErr w:type="spellEnd"/>
            <w:r w:rsidRPr="007A1DF9">
              <w:rPr>
                <w:rFonts w:ascii="Calibri" w:eastAsia="Times New Roman" w:hAnsi="Calibri" w:cs="Calibri"/>
                <w:color w:val="000000"/>
                <w:lang w:eastAsia="en-GB"/>
              </w:rPr>
              <w:t xml:space="preserve">), and we wanted to align the indicators in the proposal with those that are in the </w:t>
            </w:r>
            <w:proofErr w:type="spellStart"/>
            <w:r w:rsidRPr="007A1DF9">
              <w:rPr>
                <w:rFonts w:ascii="Calibri" w:eastAsia="Times New Roman" w:hAnsi="Calibri" w:cs="Calibri"/>
                <w:color w:val="000000"/>
                <w:lang w:eastAsia="en-GB"/>
              </w:rPr>
              <w:t>RaF</w:t>
            </w:r>
            <w:proofErr w:type="spellEnd"/>
            <w:r w:rsidRPr="007A1DF9">
              <w:rPr>
                <w:rFonts w:ascii="Calibri" w:eastAsia="Times New Roman" w:hAnsi="Calibri" w:cs="Calibri"/>
                <w:color w:val="000000"/>
                <w:lang w:eastAsia="en-GB"/>
              </w:rPr>
              <w:t xml:space="preserve">. </w:t>
            </w:r>
            <w:r w:rsidR="00D81A63">
              <w:rPr>
                <w:rFonts w:ascii="Calibri" w:eastAsia="Times New Roman" w:hAnsi="Calibri" w:cs="Calibri"/>
                <w:color w:val="000000"/>
                <w:lang w:eastAsia="en-GB"/>
              </w:rPr>
              <w:t>Nevertheless, these indicators are routinely used at the programme level in a bid to improve access to immunisation service for all segments of the population.</w:t>
            </w:r>
          </w:p>
        </w:tc>
      </w:tr>
      <w:tr w:rsidR="007A1DF9" w:rsidRPr="007A1DF9" w:rsidTr="007D0FD2">
        <w:trPr>
          <w:trHeight w:val="3919"/>
        </w:trPr>
        <w:tc>
          <w:tcPr>
            <w:tcW w:w="440" w:type="dxa"/>
            <w:shd w:val="clear" w:color="auto" w:fill="auto"/>
            <w:noWrap/>
            <w:hideMark/>
          </w:tcPr>
          <w:p w:rsidR="007A1DF9" w:rsidRPr="007A1DF9" w:rsidRDefault="007A1DF9" w:rsidP="007A1DF9">
            <w:pPr>
              <w:spacing w:after="0" w:line="240" w:lineRule="auto"/>
              <w:jc w:val="right"/>
              <w:rPr>
                <w:rFonts w:ascii="Calibri" w:eastAsia="Times New Roman" w:hAnsi="Calibri" w:cs="Calibri"/>
                <w:color w:val="000000"/>
                <w:lang w:eastAsia="en-GB"/>
              </w:rPr>
            </w:pPr>
            <w:r w:rsidRPr="007A1DF9">
              <w:rPr>
                <w:rFonts w:ascii="Calibri" w:eastAsia="Times New Roman" w:hAnsi="Calibri" w:cs="Calibri"/>
                <w:color w:val="000000"/>
                <w:lang w:eastAsia="en-GB"/>
              </w:rPr>
              <w:t>3</w:t>
            </w:r>
          </w:p>
        </w:tc>
        <w:tc>
          <w:tcPr>
            <w:tcW w:w="3969" w:type="dxa"/>
            <w:shd w:val="clear" w:color="auto" w:fill="auto"/>
            <w:hideMark/>
          </w:tcPr>
          <w:p w:rsidR="007A1DF9" w:rsidRPr="007A1DF9" w:rsidRDefault="007A1DF9" w:rsidP="007A1DF9">
            <w:pPr>
              <w:spacing w:after="0" w:line="240" w:lineRule="auto"/>
              <w:rPr>
                <w:rFonts w:ascii="Calibri" w:eastAsia="Times New Roman" w:hAnsi="Calibri" w:cs="Calibri"/>
                <w:color w:val="17375E"/>
                <w:lang w:eastAsia="en-GB"/>
              </w:rPr>
            </w:pPr>
            <w:r w:rsidRPr="007A1DF9">
              <w:rPr>
                <w:rFonts w:ascii="Calibri" w:eastAsia="Times New Roman" w:hAnsi="Calibri" w:cs="Calibri"/>
                <w:color w:val="17375E"/>
                <w:lang w:eastAsia="en-GB"/>
              </w:rPr>
              <w:t xml:space="preserve">The justification for 28 covered 4-wheel drive vans is unclear. Please provide further clarification. </w:t>
            </w:r>
          </w:p>
        </w:tc>
        <w:tc>
          <w:tcPr>
            <w:tcW w:w="4785" w:type="dxa"/>
            <w:shd w:val="clear" w:color="auto" w:fill="auto"/>
            <w:hideMark/>
          </w:tcPr>
          <w:p w:rsidR="007A1DF9" w:rsidRPr="007A1DF9" w:rsidRDefault="007A1DF9" w:rsidP="00D9168A">
            <w:pPr>
              <w:spacing w:after="0" w:line="240" w:lineRule="auto"/>
              <w:rPr>
                <w:rFonts w:ascii="Calibri" w:eastAsia="Times New Roman" w:hAnsi="Calibri" w:cs="Calibri"/>
                <w:color w:val="000000"/>
                <w:lang w:eastAsia="en-GB"/>
              </w:rPr>
            </w:pPr>
            <w:r w:rsidRPr="007A1DF9">
              <w:rPr>
                <w:rFonts w:ascii="Calibri" w:eastAsia="Times New Roman" w:hAnsi="Calibri" w:cs="Calibri"/>
                <w:color w:val="000000"/>
                <w:lang w:eastAsia="en-GB"/>
              </w:rPr>
              <w:t xml:space="preserve">Objective 2 requires strengthening supportive </w:t>
            </w:r>
            <w:r w:rsidR="00D81A63" w:rsidRPr="007A1DF9">
              <w:rPr>
                <w:rFonts w:ascii="Calibri" w:eastAsia="Times New Roman" w:hAnsi="Calibri" w:cs="Calibri"/>
                <w:color w:val="000000"/>
                <w:lang w:eastAsia="en-GB"/>
              </w:rPr>
              <w:t>supervision</w:t>
            </w:r>
            <w:r w:rsidRPr="007A1DF9">
              <w:rPr>
                <w:rFonts w:ascii="Calibri" w:eastAsia="Times New Roman" w:hAnsi="Calibri" w:cs="Calibri"/>
                <w:color w:val="000000"/>
                <w:lang w:eastAsia="en-GB"/>
              </w:rPr>
              <w:t xml:space="preserve"> of health facilities in their implementation of the Red approach. For this we are requesting 13 four-wheel drive vehicles. Objective 3 is strengthening supply and distribution of vaccines to health facilities. For this we are requesting 14 four-</w:t>
            </w:r>
            <w:r w:rsidR="00D81A63" w:rsidRPr="007A1DF9">
              <w:rPr>
                <w:rFonts w:ascii="Calibri" w:eastAsia="Times New Roman" w:hAnsi="Calibri" w:cs="Calibri"/>
                <w:color w:val="000000"/>
                <w:lang w:eastAsia="en-GB"/>
              </w:rPr>
              <w:t>wheel</w:t>
            </w:r>
            <w:r w:rsidRPr="007A1DF9">
              <w:rPr>
                <w:rFonts w:ascii="Calibri" w:eastAsia="Times New Roman" w:hAnsi="Calibri" w:cs="Calibri"/>
                <w:color w:val="000000"/>
                <w:lang w:eastAsia="en-GB"/>
              </w:rPr>
              <w:t xml:space="preserve"> drive vehicles for distribution of drugs to health facilities. </w:t>
            </w:r>
            <w:r w:rsidR="00D9168A">
              <w:rPr>
                <w:rFonts w:ascii="Calibri" w:eastAsia="Times New Roman" w:hAnsi="Calibri" w:cs="Calibri"/>
                <w:color w:val="000000"/>
                <w:lang w:eastAsia="en-GB"/>
              </w:rPr>
              <w:t>In our setting, w</w:t>
            </w:r>
            <w:r w:rsidRPr="007A1DF9">
              <w:rPr>
                <w:rFonts w:ascii="Calibri" w:eastAsia="Times New Roman" w:hAnsi="Calibri" w:cs="Calibri"/>
                <w:color w:val="000000"/>
                <w:lang w:eastAsia="en-GB"/>
              </w:rPr>
              <w:t xml:space="preserve">e </w:t>
            </w:r>
            <w:r w:rsidR="006A5178" w:rsidRPr="007A1DF9">
              <w:rPr>
                <w:rFonts w:ascii="Calibri" w:eastAsia="Times New Roman" w:hAnsi="Calibri" w:cs="Calibri"/>
                <w:color w:val="000000"/>
                <w:lang w:eastAsia="en-GB"/>
              </w:rPr>
              <w:t xml:space="preserve">cannot </w:t>
            </w:r>
            <w:r w:rsidR="006A5178">
              <w:rPr>
                <w:rFonts w:ascii="Calibri" w:eastAsia="Times New Roman" w:hAnsi="Calibri" w:cs="Calibri"/>
                <w:color w:val="000000"/>
                <w:lang w:eastAsia="en-GB"/>
              </w:rPr>
              <w:t>combine</w:t>
            </w:r>
            <w:r w:rsidRPr="007A1DF9">
              <w:rPr>
                <w:rFonts w:ascii="Calibri" w:eastAsia="Times New Roman" w:hAnsi="Calibri" w:cs="Calibri"/>
                <w:color w:val="000000"/>
                <w:lang w:eastAsia="en-GB"/>
              </w:rPr>
              <w:t xml:space="preserve"> </w:t>
            </w:r>
            <w:r w:rsidR="006A5178">
              <w:rPr>
                <w:rFonts w:ascii="Calibri" w:eastAsia="Times New Roman" w:hAnsi="Calibri" w:cs="Calibri"/>
                <w:color w:val="000000"/>
                <w:lang w:eastAsia="en-GB"/>
              </w:rPr>
              <w:t xml:space="preserve">routine </w:t>
            </w:r>
            <w:r w:rsidRPr="007A1DF9">
              <w:rPr>
                <w:rFonts w:ascii="Calibri" w:eastAsia="Times New Roman" w:hAnsi="Calibri" w:cs="Calibri"/>
                <w:color w:val="000000"/>
                <w:lang w:eastAsia="en-GB"/>
              </w:rPr>
              <w:t xml:space="preserve">supervision </w:t>
            </w:r>
            <w:r w:rsidR="006A5178">
              <w:rPr>
                <w:rFonts w:ascii="Calibri" w:eastAsia="Times New Roman" w:hAnsi="Calibri" w:cs="Calibri"/>
                <w:color w:val="000000"/>
                <w:lang w:eastAsia="en-GB"/>
              </w:rPr>
              <w:t>with the</w:t>
            </w:r>
            <w:r w:rsidRPr="007A1DF9">
              <w:rPr>
                <w:rFonts w:ascii="Calibri" w:eastAsia="Times New Roman" w:hAnsi="Calibri" w:cs="Calibri"/>
                <w:color w:val="000000"/>
                <w:lang w:eastAsia="en-GB"/>
              </w:rPr>
              <w:t xml:space="preserve"> </w:t>
            </w:r>
            <w:r w:rsidR="00D81A63" w:rsidRPr="007A1DF9">
              <w:rPr>
                <w:rFonts w:ascii="Calibri" w:eastAsia="Times New Roman" w:hAnsi="Calibri" w:cs="Calibri"/>
                <w:color w:val="000000"/>
                <w:lang w:eastAsia="en-GB"/>
              </w:rPr>
              <w:t>distribution</w:t>
            </w:r>
            <w:r w:rsidRPr="007A1DF9">
              <w:rPr>
                <w:rFonts w:ascii="Calibri" w:eastAsia="Times New Roman" w:hAnsi="Calibri" w:cs="Calibri"/>
                <w:color w:val="000000"/>
                <w:lang w:eastAsia="en-GB"/>
              </w:rPr>
              <w:t xml:space="preserve"> of drugs, because while the </w:t>
            </w:r>
            <w:r w:rsidR="00D81A63" w:rsidRPr="007A1DF9">
              <w:rPr>
                <w:rFonts w:ascii="Calibri" w:eastAsia="Times New Roman" w:hAnsi="Calibri" w:cs="Calibri"/>
                <w:color w:val="000000"/>
                <w:lang w:eastAsia="en-GB"/>
              </w:rPr>
              <w:t>form</w:t>
            </w:r>
            <w:r w:rsidR="00D81A63">
              <w:rPr>
                <w:rFonts w:ascii="Calibri" w:eastAsia="Times New Roman" w:hAnsi="Calibri" w:cs="Calibri"/>
                <w:color w:val="000000"/>
                <w:lang w:eastAsia="en-GB"/>
              </w:rPr>
              <w:t>er</w:t>
            </w:r>
            <w:r w:rsidR="00D81A63" w:rsidRPr="007A1DF9">
              <w:rPr>
                <w:rFonts w:ascii="Calibri" w:eastAsia="Times New Roman" w:hAnsi="Calibri" w:cs="Calibri"/>
                <w:color w:val="000000"/>
                <w:lang w:eastAsia="en-GB"/>
              </w:rPr>
              <w:t xml:space="preserve"> </w:t>
            </w:r>
            <w:r w:rsidRPr="007A1DF9">
              <w:rPr>
                <w:rFonts w:ascii="Calibri" w:eastAsia="Times New Roman" w:hAnsi="Calibri" w:cs="Calibri"/>
                <w:color w:val="000000"/>
                <w:lang w:eastAsia="en-GB"/>
              </w:rPr>
              <w:t>can be proper</w:t>
            </w:r>
            <w:r w:rsidR="00D9168A">
              <w:rPr>
                <w:rFonts w:ascii="Calibri" w:eastAsia="Times New Roman" w:hAnsi="Calibri" w:cs="Calibri"/>
                <w:color w:val="000000"/>
                <w:lang w:eastAsia="en-GB"/>
              </w:rPr>
              <w:t>ly</w:t>
            </w:r>
            <w:r w:rsidRPr="007A1DF9">
              <w:rPr>
                <w:rFonts w:ascii="Calibri" w:eastAsia="Times New Roman" w:hAnsi="Calibri" w:cs="Calibri"/>
                <w:color w:val="000000"/>
                <w:lang w:eastAsia="en-GB"/>
              </w:rPr>
              <w:t xml:space="preserve"> planned the la</w:t>
            </w:r>
            <w:r w:rsidR="00D81A63">
              <w:rPr>
                <w:rFonts w:ascii="Calibri" w:eastAsia="Times New Roman" w:hAnsi="Calibri" w:cs="Calibri"/>
                <w:color w:val="000000"/>
                <w:lang w:eastAsia="en-GB"/>
              </w:rPr>
              <w:t>t</w:t>
            </w:r>
            <w:r w:rsidRPr="007A1DF9">
              <w:rPr>
                <w:rFonts w:ascii="Calibri" w:eastAsia="Times New Roman" w:hAnsi="Calibri" w:cs="Calibri"/>
                <w:color w:val="000000"/>
                <w:lang w:eastAsia="en-GB"/>
              </w:rPr>
              <w:t xml:space="preserve">ter is based on request. </w:t>
            </w:r>
            <w:r w:rsidR="00D9168A">
              <w:rPr>
                <w:rFonts w:ascii="Calibri" w:eastAsia="Times New Roman" w:hAnsi="Calibri" w:cs="Calibri"/>
                <w:color w:val="000000"/>
                <w:lang w:eastAsia="en-GB"/>
              </w:rPr>
              <w:t>Judging from our experience, it is more beneficial to provide independent logistics support to both activities.</w:t>
            </w:r>
          </w:p>
        </w:tc>
      </w:tr>
      <w:tr w:rsidR="007A1DF9" w:rsidRPr="007A1DF9" w:rsidTr="007D0FD2">
        <w:trPr>
          <w:trHeight w:val="1962"/>
        </w:trPr>
        <w:tc>
          <w:tcPr>
            <w:tcW w:w="440" w:type="dxa"/>
            <w:shd w:val="clear" w:color="auto" w:fill="auto"/>
            <w:noWrap/>
            <w:hideMark/>
          </w:tcPr>
          <w:p w:rsidR="007A1DF9" w:rsidRPr="007A1DF9" w:rsidRDefault="007A1DF9" w:rsidP="007A1DF9">
            <w:pPr>
              <w:spacing w:after="0" w:line="240" w:lineRule="auto"/>
              <w:jc w:val="right"/>
              <w:rPr>
                <w:rFonts w:ascii="Calibri" w:eastAsia="Times New Roman" w:hAnsi="Calibri" w:cs="Calibri"/>
                <w:color w:val="000000"/>
                <w:lang w:eastAsia="en-GB"/>
              </w:rPr>
            </w:pPr>
            <w:r w:rsidRPr="007A1DF9">
              <w:rPr>
                <w:rFonts w:ascii="Calibri" w:eastAsia="Times New Roman" w:hAnsi="Calibri" w:cs="Calibri"/>
                <w:color w:val="000000"/>
                <w:lang w:eastAsia="en-GB"/>
              </w:rPr>
              <w:t>4</w:t>
            </w:r>
          </w:p>
        </w:tc>
        <w:tc>
          <w:tcPr>
            <w:tcW w:w="3969" w:type="dxa"/>
            <w:shd w:val="clear" w:color="auto" w:fill="auto"/>
            <w:hideMark/>
          </w:tcPr>
          <w:p w:rsidR="007A1DF9" w:rsidRPr="007A1DF9" w:rsidRDefault="007A1DF9" w:rsidP="007A1DF9">
            <w:pPr>
              <w:spacing w:after="0" w:line="240" w:lineRule="auto"/>
              <w:rPr>
                <w:rFonts w:ascii="Symbol" w:eastAsia="Times New Roman" w:hAnsi="Symbol" w:cs="Calibri"/>
                <w:color w:val="17375E"/>
                <w:lang w:eastAsia="en-GB"/>
              </w:rPr>
            </w:pPr>
            <w:r w:rsidRPr="007A1DF9">
              <w:rPr>
                <w:rFonts w:ascii="Times New Roman" w:eastAsia="Times New Roman" w:hAnsi="Times New Roman" w:cs="Times New Roman"/>
                <w:color w:val="17375E"/>
                <w:sz w:val="14"/>
                <w:szCs w:val="14"/>
                <w:lang w:eastAsia="en-GB"/>
              </w:rPr>
              <w:t xml:space="preserve"> </w:t>
            </w:r>
            <w:r w:rsidRPr="007A1DF9">
              <w:rPr>
                <w:rFonts w:ascii="Calibri" w:eastAsia="Times New Roman" w:hAnsi="Calibri" w:cs="Calibri"/>
                <w:color w:val="17375E"/>
                <w:lang w:eastAsia="en-GB"/>
              </w:rPr>
              <w:t>Renovations/extensions are funded through the EC and ADB support to HSS, Please show that the $411,000 earmarked for renovation/extension of central store and district facilities with GAVI funds are not provided for within the EEC and ADB programmes.</w:t>
            </w:r>
          </w:p>
        </w:tc>
        <w:tc>
          <w:tcPr>
            <w:tcW w:w="4785" w:type="dxa"/>
            <w:shd w:val="clear" w:color="auto" w:fill="auto"/>
            <w:hideMark/>
          </w:tcPr>
          <w:p w:rsidR="007A1DF9" w:rsidRPr="007A1DF9" w:rsidRDefault="007A1DF9" w:rsidP="00D9168A">
            <w:pPr>
              <w:spacing w:after="0" w:line="240" w:lineRule="auto"/>
              <w:rPr>
                <w:rFonts w:ascii="Calibri" w:eastAsia="Times New Roman" w:hAnsi="Calibri" w:cs="Calibri"/>
                <w:color w:val="000000"/>
                <w:lang w:eastAsia="en-GB"/>
              </w:rPr>
            </w:pPr>
            <w:r w:rsidRPr="007A1DF9">
              <w:rPr>
                <w:rFonts w:ascii="Calibri" w:eastAsia="Times New Roman" w:hAnsi="Calibri" w:cs="Calibri"/>
                <w:color w:val="000000"/>
                <w:lang w:eastAsia="en-GB"/>
              </w:rPr>
              <w:t xml:space="preserve">The funds from EC and ABD are supporting the expansion of stores from medicines. The request to GAVI is to support the storage facilities for vaccines, which is different </w:t>
            </w:r>
            <w:r w:rsidR="00D9168A">
              <w:rPr>
                <w:rFonts w:ascii="Calibri" w:eastAsia="Times New Roman" w:hAnsi="Calibri" w:cs="Calibri"/>
                <w:color w:val="000000"/>
                <w:lang w:eastAsia="en-GB"/>
              </w:rPr>
              <w:t xml:space="preserve">from </w:t>
            </w:r>
            <w:r w:rsidRPr="007A1DF9">
              <w:rPr>
                <w:rFonts w:ascii="Calibri" w:eastAsia="Times New Roman" w:hAnsi="Calibri" w:cs="Calibri"/>
                <w:color w:val="000000"/>
                <w:lang w:eastAsia="en-GB"/>
              </w:rPr>
              <w:t xml:space="preserve">that used for medicines and other consumables. There is therefore no duplication, as these </w:t>
            </w:r>
            <w:r w:rsidR="00D9168A">
              <w:rPr>
                <w:rFonts w:ascii="Calibri" w:eastAsia="Times New Roman" w:hAnsi="Calibri" w:cs="Calibri"/>
                <w:color w:val="000000"/>
                <w:lang w:eastAsia="en-GB"/>
              </w:rPr>
              <w:t xml:space="preserve">are </w:t>
            </w:r>
            <w:r w:rsidRPr="007A1DF9">
              <w:rPr>
                <w:rFonts w:ascii="Calibri" w:eastAsia="Times New Roman" w:hAnsi="Calibri" w:cs="Calibri"/>
                <w:color w:val="000000"/>
                <w:lang w:eastAsia="en-GB"/>
              </w:rPr>
              <w:t xml:space="preserve">at different locations. </w:t>
            </w:r>
          </w:p>
        </w:tc>
      </w:tr>
      <w:tr w:rsidR="007A1DF9" w:rsidRPr="007A1DF9" w:rsidTr="006D2E0F">
        <w:trPr>
          <w:trHeight w:val="1117"/>
        </w:trPr>
        <w:tc>
          <w:tcPr>
            <w:tcW w:w="440" w:type="dxa"/>
            <w:shd w:val="clear" w:color="auto" w:fill="auto"/>
            <w:noWrap/>
            <w:hideMark/>
          </w:tcPr>
          <w:p w:rsidR="007A1DF9" w:rsidRPr="007A1DF9" w:rsidRDefault="007A1DF9" w:rsidP="007A1DF9">
            <w:pPr>
              <w:spacing w:after="0" w:line="240" w:lineRule="auto"/>
              <w:jc w:val="right"/>
              <w:rPr>
                <w:rFonts w:ascii="Calibri" w:eastAsia="Times New Roman" w:hAnsi="Calibri" w:cs="Calibri"/>
                <w:color w:val="000000"/>
                <w:lang w:eastAsia="en-GB"/>
              </w:rPr>
            </w:pPr>
            <w:r w:rsidRPr="007A1DF9">
              <w:rPr>
                <w:rFonts w:ascii="Calibri" w:eastAsia="Times New Roman" w:hAnsi="Calibri" w:cs="Calibri"/>
                <w:color w:val="000000"/>
                <w:lang w:eastAsia="en-GB"/>
              </w:rPr>
              <w:t>5</w:t>
            </w:r>
          </w:p>
        </w:tc>
        <w:tc>
          <w:tcPr>
            <w:tcW w:w="3969" w:type="dxa"/>
            <w:shd w:val="clear" w:color="auto" w:fill="auto"/>
            <w:hideMark/>
          </w:tcPr>
          <w:p w:rsidR="007A1DF9" w:rsidRPr="007A1DF9" w:rsidRDefault="007A1DF9" w:rsidP="007A1DF9">
            <w:pPr>
              <w:spacing w:after="0" w:line="240" w:lineRule="auto"/>
              <w:rPr>
                <w:rFonts w:ascii="Calibri" w:eastAsia="Times New Roman" w:hAnsi="Calibri" w:cs="Calibri"/>
                <w:color w:val="17375E"/>
                <w:lang w:eastAsia="en-GB"/>
              </w:rPr>
            </w:pPr>
            <w:r w:rsidRPr="007A1DF9">
              <w:rPr>
                <w:rFonts w:ascii="Calibri" w:eastAsia="Times New Roman" w:hAnsi="Calibri" w:cs="Calibri"/>
                <w:color w:val="17375E"/>
                <w:lang w:eastAsia="en-GB"/>
              </w:rPr>
              <w:t>The budget in the proposal merits further explanation and revision given that there are a number of discrepancies, this list is not extensive but some of the over estimations are:</w:t>
            </w:r>
          </w:p>
        </w:tc>
        <w:tc>
          <w:tcPr>
            <w:tcW w:w="4785" w:type="dxa"/>
            <w:vMerge w:val="restart"/>
            <w:shd w:val="clear" w:color="auto" w:fill="auto"/>
            <w:hideMark/>
          </w:tcPr>
          <w:p w:rsidR="007A1DF9" w:rsidRPr="007A1DF9" w:rsidRDefault="007A1DF9" w:rsidP="00D9168A">
            <w:pPr>
              <w:spacing w:after="0" w:line="240" w:lineRule="auto"/>
              <w:jc w:val="center"/>
              <w:rPr>
                <w:rFonts w:ascii="Calibri" w:eastAsia="Times New Roman" w:hAnsi="Calibri" w:cs="Calibri"/>
                <w:color w:val="000000"/>
                <w:lang w:eastAsia="en-GB"/>
              </w:rPr>
            </w:pPr>
            <w:r w:rsidRPr="007A1DF9">
              <w:rPr>
                <w:rFonts w:ascii="Calibri" w:eastAsia="Times New Roman" w:hAnsi="Calibri" w:cs="Calibri"/>
                <w:color w:val="000000"/>
                <w:lang w:eastAsia="en-GB"/>
              </w:rPr>
              <w:t xml:space="preserve">All the discrepancies between the budget and the main texts have been identified and corrected. </w:t>
            </w:r>
          </w:p>
        </w:tc>
      </w:tr>
      <w:tr w:rsidR="007A1DF9" w:rsidRPr="007A1DF9" w:rsidTr="006D2E0F">
        <w:trPr>
          <w:trHeight w:val="600"/>
        </w:trPr>
        <w:tc>
          <w:tcPr>
            <w:tcW w:w="440" w:type="dxa"/>
            <w:shd w:val="clear" w:color="auto" w:fill="auto"/>
            <w:noWrap/>
            <w:hideMark/>
          </w:tcPr>
          <w:p w:rsidR="007A1DF9" w:rsidRPr="007A1DF9" w:rsidRDefault="007A1DF9" w:rsidP="007A1DF9">
            <w:pPr>
              <w:spacing w:after="0" w:line="240" w:lineRule="auto"/>
              <w:jc w:val="right"/>
              <w:rPr>
                <w:rFonts w:ascii="Calibri" w:eastAsia="Times New Roman" w:hAnsi="Calibri" w:cs="Calibri"/>
                <w:color w:val="000000"/>
                <w:lang w:eastAsia="en-GB"/>
              </w:rPr>
            </w:pPr>
            <w:r w:rsidRPr="007A1DF9">
              <w:rPr>
                <w:rFonts w:ascii="Calibri" w:eastAsia="Times New Roman" w:hAnsi="Calibri" w:cs="Calibri"/>
                <w:color w:val="000000"/>
                <w:lang w:eastAsia="en-GB"/>
              </w:rPr>
              <w:lastRenderedPageBreak/>
              <w:t>6</w:t>
            </w:r>
          </w:p>
        </w:tc>
        <w:tc>
          <w:tcPr>
            <w:tcW w:w="3969" w:type="dxa"/>
            <w:shd w:val="clear" w:color="auto" w:fill="auto"/>
            <w:hideMark/>
          </w:tcPr>
          <w:p w:rsidR="007A1DF9" w:rsidRPr="007A1DF9" w:rsidRDefault="007A1DF9" w:rsidP="007A1DF9">
            <w:pPr>
              <w:spacing w:after="0" w:line="240" w:lineRule="auto"/>
              <w:rPr>
                <w:rFonts w:ascii="Courier New" w:eastAsia="Times New Roman" w:hAnsi="Courier New" w:cs="Courier New"/>
                <w:color w:val="17375E"/>
                <w:lang w:eastAsia="en-GB"/>
              </w:rPr>
            </w:pPr>
            <w:proofErr w:type="gramStart"/>
            <w:r w:rsidRPr="007A1DF9">
              <w:rPr>
                <w:rFonts w:ascii="Courier New" w:eastAsia="Times New Roman" w:hAnsi="Courier New" w:cs="Courier New"/>
                <w:color w:val="17375E"/>
                <w:lang w:eastAsia="en-GB"/>
              </w:rPr>
              <w:t>o</w:t>
            </w:r>
            <w:proofErr w:type="gramEnd"/>
            <w:r w:rsidRPr="007A1DF9">
              <w:rPr>
                <w:rFonts w:ascii="Times New Roman" w:eastAsia="Times New Roman" w:hAnsi="Times New Roman" w:cs="Times New Roman"/>
                <w:color w:val="17375E"/>
                <w:sz w:val="14"/>
                <w:szCs w:val="14"/>
                <w:lang w:eastAsia="en-GB"/>
              </w:rPr>
              <w:t xml:space="preserve">   </w:t>
            </w:r>
            <w:r w:rsidRPr="007A1DF9">
              <w:rPr>
                <w:rFonts w:ascii="Calibri" w:eastAsia="Times New Roman" w:hAnsi="Calibri" w:cs="Calibri"/>
                <w:color w:val="17375E"/>
                <w:lang w:eastAsia="en-GB"/>
              </w:rPr>
              <w:t xml:space="preserve">The training for 30 people is budgeted for 45 in two quarters.  </w:t>
            </w:r>
          </w:p>
        </w:tc>
        <w:tc>
          <w:tcPr>
            <w:tcW w:w="4785" w:type="dxa"/>
            <w:vMerge/>
            <w:vAlign w:val="center"/>
            <w:hideMark/>
          </w:tcPr>
          <w:p w:rsidR="007A1DF9" w:rsidRPr="007A1DF9" w:rsidRDefault="007A1DF9" w:rsidP="007A1DF9">
            <w:pPr>
              <w:spacing w:after="0" w:line="240" w:lineRule="auto"/>
              <w:rPr>
                <w:rFonts w:ascii="Calibri" w:eastAsia="Times New Roman" w:hAnsi="Calibri" w:cs="Calibri"/>
                <w:color w:val="000000"/>
                <w:lang w:eastAsia="en-GB"/>
              </w:rPr>
            </w:pPr>
          </w:p>
        </w:tc>
      </w:tr>
      <w:tr w:rsidR="007A1DF9" w:rsidRPr="007A1DF9" w:rsidTr="006D2E0F">
        <w:trPr>
          <w:trHeight w:val="600"/>
        </w:trPr>
        <w:tc>
          <w:tcPr>
            <w:tcW w:w="440" w:type="dxa"/>
            <w:shd w:val="clear" w:color="auto" w:fill="auto"/>
            <w:noWrap/>
            <w:hideMark/>
          </w:tcPr>
          <w:p w:rsidR="007A1DF9" w:rsidRPr="007A1DF9" w:rsidRDefault="007A1DF9" w:rsidP="007A1DF9">
            <w:pPr>
              <w:spacing w:after="0" w:line="240" w:lineRule="auto"/>
              <w:jc w:val="right"/>
              <w:rPr>
                <w:rFonts w:ascii="Calibri" w:eastAsia="Times New Roman" w:hAnsi="Calibri" w:cs="Calibri"/>
                <w:color w:val="000000"/>
                <w:lang w:eastAsia="en-GB"/>
              </w:rPr>
            </w:pPr>
            <w:r w:rsidRPr="007A1DF9">
              <w:rPr>
                <w:rFonts w:ascii="Calibri" w:eastAsia="Times New Roman" w:hAnsi="Calibri" w:cs="Calibri"/>
                <w:color w:val="000000"/>
                <w:lang w:eastAsia="en-GB"/>
              </w:rPr>
              <w:t>7</w:t>
            </w:r>
          </w:p>
        </w:tc>
        <w:tc>
          <w:tcPr>
            <w:tcW w:w="3969" w:type="dxa"/>
            <w:shd w:val="clear" w:color="auto" w:fill="auto"/>
            <w:hideMark/>
          </w:tcPr>
          <w:p w:rsidR="007A1DF9" w:rsidRPr="007A1DF9" w:rsidRDefault="007A1DF9" w:rsidP="007A1DF9">
            <w:pPr>
              <w:spacing w:after="0" w:line="240" w:lineRule="auto"/>
              <w:rPr>
                <w:rFonts w:ascii="Courier New" w:eastAsia="Times New Roman" w:hAnsi="Courier New" w:cs="Courier New"/>
                <w:color w:val="17375E"/>
                <w:lang w:eastAsia="en-GB"/>
              </w:rPr>
            </w:pPr>
            <w:r w:rsidRPr="007A1DF9">
              <w:rPr>
                <w:rFonts w:ascii="Courier New" w:eastAsia="Times New Roman" w:hAnsi="Courier New" w:cs="Courier New"/>
                <w:color w:val="17375E"/>
                <w:lang w:eastAsia="en-GB"/>
              </w:rPr>
              <w:t>o</w:t>
            </w:r>
            <w:r w:rsidRPr="007A1DF9">
              <w:rPr>
                <w:rFonts w:ascii="Times New Roman" w:eastAsia="Times New Roman" w:hAnsi="Times New Roman" w:cs="Times New Roman"/>
                <w:color w:val="17375E"/>
                <w:sz w:val="14"/>
                <w:szCs w:val="14"/>
                <w:lang w:eastAsia="en-GB"/>
              </w:rPr>
              <w:t xml:space="preserve">   </w:t>
            </w:r>
            <w:r w:rsidRPr="007A1DF9">
              <w:rPr>
                <w:rFonts w:ascii="Calibri" w:eastAsia="Times New Roman" w:hAnsi="Calibri" w:cs="Calibri"/>
                <w:color w:val="17375E"/>
                <w:lang w:eastAsia="en-GB"/>
              </w:rPr>
              <w:t>The rehabilitation of 4 regional maintenance units becomes 8 in the budget</w:t>
            </w:r>
          </w:p>
        </w:tc>
        <w:tc>
          <w:tcPr>
            <w:tcW w:w="4785" w:type="dxa"/>
            <w:vMerge/>
            <w:vAlign w:val="center"/>
            <w:hideMark/>
          </w:tcPr>
          <w:p w:rsidR="007A1DF9" w:rsidRPr="007A1DF9" w:rsidRDefault="007A1DF9" w:rsidP="007A1DF9">
            <w:pPr>
              <w:spacing w:after="0" w:line="240" w:lineRule="auto"/>
              <w:rPr>
                <w:rFonts w:ascii="Calibri" w:eastAsia="Times New Roman" w:hAnsi="Calibri" w:cs="Calibri"/>
                <w:color w:val="000000"/>
                <w:lang w:eastAsia="en-GB"/>
              </w:rPr>
            </w:pPr>
          </w:p>
        </w:tc>
      </w:tr>
      <w:tr w:rsidR="007A1DF9" w:rsidRPr="007A1DF9" w:rsidTr="00B805EE">
        <w:trPr>
          <w:trHeight w:val="2241"/>
        </w:trPr>
        <w:tc>
          <w:tcPr>
            <w:tcW w:w="440" w:type="dxa"/>
            <w:shd w:val="clear" w:color="auto" w:fill="auto"/>
            <w:noWrap/>
            <w:hideMark/>
          </w:tcPr>
          <w:p w:rsidR="007A1DF9" w:rsidRPr="007A1DF9" w:rsidRDefault="007A1DF9" w:rsidP="007A1DF9">
            <w:pPr>
              <w:spacing w:after="0" w:line="240" w:lineRule="auto"/>
              <w:jc w:val="right"/>
              <w:rPr>
                <w:rFonts w:ascii="Calibri" w:eastAsia="Times New Roman" w:hAnsi="Calibri" w:cs="Calibri"/>
                <w:color w:val="000000"/>
                <w:lang w:eastAsia="en-GB"/>
              </w:rPr>
            </w:pPr>
            <w:r w:rsidRPr="007A1DF9">
              <w:rPr>
                <w:rFonts w:ascii="Calibri" w:eastAsia="Times New Roman" w:hAnsi="Calibri" w:cs="Calibri"/>
                <w:color w:val="000000"/>
                <w:lang w:eastAsia="en-GB"/>
              </w:rPr>
              <w:t>8</w:t>
            </w:r>
          </w:p>
        </w:tc>
        <w:tc>
          <w:tcPr>
            <w:tcW w:w="3969" w:type="dxa"/>
            <w:shd w:val="clear" w:color="auto" w:fill="auto"/>
            <w:hideMark/>
          </w:tcPr>
          <w:p w:rsidR="007A1DF9" w:rsidRPr="007A1DF9" w:rsidRDefault="007A1DF9" w:rsidP="007A1DF9">
            <w:pPr>
              <w:spacing w:after="0" w:line="240" w:lineRule="auto"/>
              <w:rPr>
                <w:rFonts w:ascii="Courier New" w:eastAsia="Times New Roman" w:hAnsi="Courier New" w:cs="Courier New"/>
                <w:color w:val="17375E"/>
                <w:lang w:eastAsia="en-GB"/>
              </w:rPr>
            </w:pPr>
            <w:proofErr w:type="gramStart"/>
            <w:r w:rsidRPr="007A1DF9">
              <w:rPr>
                <w:rFonts w:ascii="Courier New" w:eastAsia="Times New Roman" w:hAnsi="Courier New" w:cs="Courier New"/>
                <w:color w:val="17375E"/>
                <w:lang w:eastAsia="en-GB"/>
              </w:rPr>
              <w:t>o</w:t>
            </w:r>
            <w:proofErr w:type="gramEnd"/>
            <w:r w:rsidRPr="007A1DF9">
              <w:rPr>
                <w:rFonts w:ascii="Times New Roman" w:eastAsia="Times New Roman" w:hAnsi="Times New Roman" w:cs="Times New Roman"/>
                <w:color w:val="17375E"/>
                <w:sz w:val="14"/>
                <w:szCs w:val="14"/>
                <w:lang w:eastAsia="en-GB"/>
              </w:rPr>
              <w:t xml:space="preserve">   </w:t>
            </w:r>
            <w:r w:rsidRPr="007A1DF9">
              <w:rPr>
                <w:rFonts w:ascii="Calibri" w:eastAsia="Times New Roman" w:hAnsi="Calibri" w:cs="Calibri"/>
                <w:color w:val="17375E"/>
                <w:lang w:eastAsia="en-GB"/>
              </w:rPr>
              <w:t xml:space="preserve">The tools for the 13 districts (one set each) is calculated in the budget for 15 districts (Additional kits will be fitted in a number of vehicles and these have been </w:t>
            </w:r>
            <w:proofErr w:type="spellStart"/>
            <w:r w:rsidRPr="007A1DF9">
              <w:rPr>
                <w:rFonts w:ascii="Calibri" w:eastAsia="Times New Roman" w:hAnsi="Calibri" w:cs="Calibri"/>
                <w:color w:val="17375E"/>
                <w:lang w:eastAsia="en-GB"/>
              </w:rPr>
              <w:t>costed</w:t>
            </w:r>
            <w:proofErr w:type="spellEnd"/>
            <w:r w:rsidRPr="007A1DF9">
              <w:rPr>
                <w:rFonts w:ascii="Calibri" w:eastAsia="Times New Roman" w:hAnsi="Calibri" w:cs="Calibri"/>
                <w:color w:val="17375E"/>
                <w:lang w:eastAsia="en-GB"/>
              </w:rPr>
              <w:t xml:space="preserve"> as part of the vehicle cost).</w:t>
            </w:r>
          </w:p>
        </w:tc>
        <w:tc>
          <w:tcPr>
            <w:tcW w:w="4785" w:type="dxa"/>
            <w:shd w:val="clear" w:color="auto" w:fill="auto"/>
            <w:hideMark/>
          </w:tcPr>
          <w:p w:rsidR="007A1DF9" w:rsidRPr="007A1DF9" w:rsidRDefault="00D9168A" w:rsidP="007A1DF9">
            <w:pPr>
              <w:spacing w:after="0" w:line="240" w:lineRule="auto"/>
              <w:rPr>
                <w:rFonts w:ascii="Calibri" w:eastAsia="Times New Roman" w:hAnsi="Calibri" w:cs="Calibri"/>
                <w:color w:val="000000"/>
                <w:lang w:eastAsia="en-GB"/>
              </w:rPr>
            </w:pPr>
            <w:r w:rsidRPr="007A1DF9">
              <w:rPr>
                <w:rFonts w:ascii="Calibri" w:eastAsia="Times New Roman" w:hAnsi="Calibri" w:cs="Calibri"/>
                <w:color w:val="000000"/>
                <w:lang w:eastAsia="en-GB"/>
              </w:rPr>
              <w:t>Activity</w:t>
            </w:r>
            <w:r w:rsidR="007A1DF9" w:rsidRPr="007A1DF9">
              <w:rPr>
                <w:rFonts w:ascii="Calibri" w:eastAsia="Times New Roman" w:hAnsi="Calibri" w:cs="Calibri"/>
                <w:color w:val="000000"/>
                <w:lang w:eastAsia="en-GB"/>
              </w:rPr>
              <w:t xml:space="preserve"> 1.1.2.2 is to procure tools for both district and national level offices. We are procuring 1 set of tools for </w:t>
            </w:r>
            <w:r w:rsidR="006A5178">
              <w:rPr>
                <w:rFonts w:ascii="Calibri" w:eastAsia="Times New Roman" w:hAnsi="Calibri" w:cs="Calibri"/>
                <w:color w:val="000000"/>
                <w:lang w:eastAsia="en-GB"/>
              </w:rPr>
              <w:t xml:space="preserve">each </w:t>
            </w:r>
            <w:r w:rsidR="007A1DF9" w:rsidRPr="007A1DF9">
              <w:rPr>
                <w:rFonts w:ascii="Calibri" w:eastAsia="Times New Roman" w:hAnsi="Calibri" w:cs="Calibri"/>
                <w:color w:val="000000"/>
                <w:lang w:eastAsia="en-GB"/>
              </w:rPr>
              <w:t xml:space="preserve">district teams and </w:t>
            </w:r>
            <w:r w:rsidR="006A5178">
              <w:rPr>
                <w:rFonts w:ascii="Calibri" w:eastAsia="Times New Roman" w:hAnsi="Calibri" w:cs="Calibri"/>
                <w:color w:val="000000"/>
                <w:lang w:eastAsia="en-GB"/>
              </w:rPr>
              <w:t xml:space="preserve">2 </w:t>
            </w:r>
            <w:r w:rsidR="007A1DF9" w:rsidRPr="007A1DF9">
              <w:rPr>
                <w:rFonts w:ascii="Calibri" w:eastAsia="Times New Roman" w:hAnsi="Calibri" w:cs="Calibri"/>
                <w:color w:val="000000"/>
                <w:lang w:eastAsia="en-GB"/>
              </w:rPr>
              <w:t xml:space="preserve">sets of tools for National teams, totalling 15 sets. National level units will need the </w:t>
            </w:r>
            <w:r w:rsidRPr="007A1DF9">
              <w:rPr>
                <w:rFonts w:ascii="Calibri" w:eastAsia="Times New Roman" w:hAnsi="Calibri" w:cs="Calibri"/>
                <w:color w:val="000000"/>
                <w:lang w:eastAsia="en-GB"/>
              </w:rPr>
              <w:t>additional</w:t>
            </w:r>
            <w:r w:rsidR="007A1DF9" w:rsidRPr="007A1DF9">
              <w:rPr>
                <w:rFonts w:ascii="Calibri" w:eastAsia="Times New Roman" w:hAnsi="Calibri" w:cs="Calibri"/>
                <w:color w:val="000000"/>
                <w:lang w:eastAsia="en-GB"/>
              </w:rPr>
              <w:t xml:space="preserve"> set because they will manage </w:t>
            </w:r>
            <w:r>
              <w:rPr>
                <w:rFonts w:ascii="Calibri" w:eastAsia="Times New Roman" w:hAnsi="Calibri" w:cs="Calibri"/>
                <w:color w:val="000000"/>
                <w:lang w:eastAsia="en-GB"/>
              </w:rPr>
              <w:t xml:space="preserve">the </w:t>
            </w:r>
            <w:r w:rsidR="007A1DF9" w:rsidRPr="007A1DF9">
              <w:rPr>
                <w:rFonts w:ascii="Calibri" w:eastAsia="Times New Roman" w:hAnsi="Calibri" w:cs="Calibri"/>
                <w:color w:val="000000"/>
                <w:lang w:eastAsia="en-GB"/>
              </w:rPr>
              <w:t xml:space="preserve">repair for all secondary and tertiary hospitals as well as repairs </w:t>
            </w:r>
            <w:r w:rsidRPr="007A1DF9">
              <w:rPr>
                <w:rFonts w:ascii="Calibri" w:eastAsia="Times New Roman" w:hAnsi="Calibri" w:cs="Calibri"/>
                <w:color w:val="000000"/>
                <w:lang w:eastAsia="en-GB"/>
              </w:rPr>
              <w:t>that</w:t>
            </w:r>
            <w:r w:rsidR="007A1DF9" w:rsidRPr="007A1DF9">
              <w:rPr>
                <w:rFonts w:ascii="Calibri" w:eastAsia="Times New Roman" w:hAnsi="Calibri" w:cs="Calibri"/>
                <w:color w:val="000000"/>
                <w:lang w:eastAsia="en-GB"/>
              </w:rPr>
              <w:t xml:space="preserve"> cannot be handled at district level. </w:t>
            </w:r>
          </w:p>
        </w:tc>
      </w:tr>
      <w:tr w:rsidR="007A1DF9" w:rsidRPr="007A1DF9" w:rsidTr="00B805EE">
        <w:trPr>
          <w:trHeight w:val="2561"/>
        </w:trPr>
        <w:tc>
          <w:tcPr>
            <w:tcW w:w="440" w:type="dxa"/>
            <w:shd w:val="clear" w:color="auto" w:fill="auto"/>
            <w:noWrap/>
            <w:hideMark/>
          </w:tcPr>
          <w:p w:rsidR="007A1DF9" w:rsidRPr="007A1DF9" w:rsidRDefault="007A1DF9" w:rsidP="007A1DF9">
            <w:pPr>
              <w:spacing w:after="0" w:line="240" w:lineRule="auto"/>
              <w:jc w:val="right"/>
              <w:rPr>
                <w:rFonts w:ascii="Calibri" w:eastAsia="Times New Roman" w:hAnsi="Calibri" w:cs="Calibri"/>
                <w:color w:val="000000"/>
                <w:lang w:eastAsia="en-GB"/>
              </w:rPr>
            </w:pPr>
            <w:r w:rsidRPr="007A1DF9">
              <w:rPr>
                <w:rFonts w:ascii="Calibri" w:eastAsia="Times New Roman" w:hAnsi="Calibri" w:cs="Calibri"/>
                <w:color w:val="000000"/>
                <w:lang w:eastAsia="en-GB"/>
              </w:rPr>
              <w:t>9</w:t>
            </w:r>
          </w:p>
        </w:tc>
        <w:tc>
          <w:tcPr>
            <w:tcW w:w="3969" w:type="dxa"/>
            <w:shd w:val="clear" w:color="auto" w:fill="auto"/>
            <w:hideMark/>
          </w:tcPr>
          <w:p w:rsidR="007A1DF9" w:rsidRPr="007A1DF9" w:rsidRDefault="007A1DF9" w:rsidP="007A1DF9">
            <w:pPr>
              <w:spacing w:after="0" w:line="240" w:lineRule="auto"/>
              <w:rPr>
                <w:rFonts w:ascii="Courier New" w:eastAsia="Times New Roman" w:hAnsi="Courier New" w:cs="Courier New"/>
                <w:color w:val="17375E"/>
                <w:lang w:eastAsia="en-GB"/>
              </w:rPr>
            </w:pPr>
            <w:proofErr w:type="gramStart"/>
            <w:r w:rsidRPr="007A1DF9">
              <w:rPr>
                <w:rFonts w:ascii="Courier New" w:eastAsia="Times New Roman" w:hAnsi="Courier New" w:cs="Courier New"/>
                <w:color w:val="17375E"/>
                <w:lang w:eastAsia="en-GB"/>
              </w:rPr>
              <w:t>o</w:t>
            </w:r>
            <w:proofErr w:type="gramEnd"/>
            <w:r w:rsidRPr="007A1DF9">
              <w:rPr>
                <w:rFonts w:ascii="Times New Roman" w:eastAsia="Times New Roman" w:hAnsi="Times New Roman" w:cs="Times New Roman"/>
                <w:color w:val="17375E"/>
                <w:sz w:val="14"/>
                <w:szCs w:val="14"/>
                <w:lang w:eastAsia="en-GB"/>
              </w:rPr>
              <w:t xml:space="preserve">   </w:t>
            </w:r>
            <w:r w:rsidRPr="007A1DF9">
              <w:rPr>
                <w:rFonts w:ascii="Calibri" w:eastAsia="Times New Roman" w:hAnsi="Calibri" w:cs="Calibri"/>
                <w:color w:val="17375E"/>
                <w:lang w:eastAsia="en-GB"/>
              </w:rPr>
              <w:t xml:space="preserve">15 motorbikes (at US$5,000 each) are budgeted for each of the districts which are 13 in the main text of the proposal.  Please justify the cost of $5,000/vehicle. </w:t>
            </w:r>
          </w:p>
        </w:tc>
        <w:tc>
          <w:tcPr>
            <w:tcW w:w="4785" w:type="dxa"/>
            <w:shd w:val="clear" w:color="auto" w:fill="auto"/>
            <w:hideMark/>
          </w:tcPr>
          <w:p w:rsidR="007A1DF9" w:rsidRPr="007A1DF9" w:rsidRDefault="007A1DF9" w:rsidP="006A5178">
            <w:pPr>
              <w:spacing w:after="0" w:line="240" w:lineRule="auto"/>
              <w:rPr>
                <w:rFonts w:ascii="Calibri" w:eastAsia="Times New Roman" w:hAnsi="Calibri" w:cs="Calibri"/>
                <w:color w:val="000000"/>
                <w:lang w:eastAsia="en-GB"/>
              </w:rPr>
            </w:pPr>
            <w:r w:rsidRPr="007A1DF9">
              <w:rPr>
                <w:rFonts w:ascii="Calibri" w:eastAsia="Times New Roman" w:hAnsi="Calibri" w:cs="Calibri"/>
                <w:color w:val="000000"/>
                <w:lang w:eastAsia="en-GB"/>
              </w:rPr>
              <w:t xml:space="preserve">Activity 1.1.4.2 is to procure 15 motorbikes (13 for district and 2 for national level teams).  The </w:t>
            </w:r>
            <w:r w:rsidR="006A5178">
              <w:rPr>
                <w:rFonts w:ascii="Calibri" w:eastAsia="Times New Roman" w:hAnsi="Calibri" w:cs="Calibri"/>
                <w:color w:val="000000"/>
                <w:lang w:eastAsia="en-GB"/>
              </w:rPr>
              <w:t>reason</w:t>
            </w:r>
            <w:r w:rsidRPr="007A1DF9">
              <w:rPr>
                <w:rFonts w:ascii="Calibri" w:eastAsia="Times New Roman" w:hAnsi="Calibri" w:cs="Calibri"/>
                <w:color w:val="000000"/>
                <w:lang w:eastAsia="en-GB"/>
              </w:rPr>
              <w:t xml:space="preserve"> for providing the National Teams with the 2 motor bikes in </w:t>
            </w:r>
            <w:r w:rsidR="001A119D" w:rsidRPr="007A1DF9">
              <w:rPr>
                <w:rFonts w:ascii="Calibri" w:eastAsia="Times New Roman" w:hAnsi="Calibri" w:cs="Calibri"/>
                <w:color w:val="000000"/>
                <w:lang w:eastAsia="en-GB"/>
              </w:rPr>
              <w:t>addition</w:t>
            </w:r>
            <w:r w:rsidRPr="007A1DF9">
              <w:rPr>
                <w:rFonts w:ascii="Calibri" w:eastAsia="Times New Roman" w:hAnsi="Calibri" w:cs="Calibri"/>
                <w:color w:val="000000"/>
                <w:lang w:eastAsia="en-GB"/>
              </w:rPr>
              <w:t xml:space="preserve"> to the vehicle </w:t>
            </w:r>
            <w:r w:rsidR="001A119D">
              <w:rPr>
                <w:rFonts w:ascii="Calibri" w:eastAsia="Times New Roman" w:hAnsi="Calibri" w:cs="Calibri"/>
                <w:color w:val="000000"/>
                <w:lang w:eastAsia="en-GB"/>
              </w:rPr>
              <w:t xml:space="preserve">is </w:t>
            </w:r>
            <w:r w:rsidRPr="007A1DF9">
              <w:rPr>
                <w:rFonts w:ascii="Calibri" w:eastAsia="Times New Roman" w:hAnsi="Calibri" w:cs="Calibri"/>
                <w:color w:val="000000"/>
                <w:lang w:eastAsia="en-GB"/>
              </w:rPr>
              <w:t>because if the vehicle is in one region</w:t>
            </w:r>
            <w:r w:rsidR="006A5178">
              <w:rPr>
                <w:rFonts w:ascii="Calibri" w:eastAsia="Times New Roman" w:hAnsi="Calibri" w:cs="Calibri"/>
                <w:color w:val="000000"/>
                <w:lang w:eastAsia="en-GB"/>
              </w:rPr>
              <w:t xml:space="preserve"> of the country</w:t>
            </w:r>
            <w:r w:rsidRPr="007A1DF9">
              <w:rPr>
                <w:rFonts w:ascii="Calibri" w:eastAsia="Times New Roman" w:hAnsi="Calibri" w:cs="Calibri"/>
                <w:color w:val="000000"/>
                <w:lang w:eastAsia="en-GB"/>
              </w:rPr>
              <w:t xml:space="preserve"> and the other regions need urgent support, the bikes will be used to transport </w:t>
            </w:r>
            <w:r w:rsidR="006A5178">
              <w:rPr>
                <w:rFonts w:ascii="Calibri" w:eastAsia="Times New Roman" w:hAnsi="Calibri" w:cs="Calibri"/>
                <w:color w:val="000000"/>
                <w:lang w:eastAsia="en-GB"/>
              </w:rPr>
              <w:t>the staff to the other location requesting</w:t>
            </w:r>
            <w:r w:rsidRPr="007A1DF9">
              <w:rPr>
                <w:rFonts w:ascii="Calibri" w:eastAsia="Times New Roman" w:hAnsi="Calibri" w:cs="Calibri"/>
                <w:color w:val="000000"/>
                <w:lang w:eastAsia="en-GB"/>
              </w:rPr>
              <w:t xml:space="preserve"> assistance. </w:t>
            </w:r>
            <w:r w:rsidR="006A5178">
              <w:rPr>
                <w:rFonts w:ascii="Calibri" w:eastAsia="Times New Roman" w:hAnsi="Calibri" w:cs="Calibri"/>
                <w:color w:val="000000"/>
                <w:lang w:eastAsia="en-GB"/>
              </w:rPr>
              <w:t xml:space="preserve">In this way, there will be no very little in repairing equipments. </w:t>
            </w:r>
          </w:p>
        </w:tc>
      </w:tr>
      <w:tr w:rsidR="007A1DF9" w:rsidRPr="007A1DF9" w:rsidTr="00B805EE">
        <w:trPr>
          <w:trHeight w:val="981"/>
        </w:trPr>
        <w:tc>
          <w:tcPr>
            <w:tcW w:w="440" w:type="dxa"/>
            <w:shd w:val="clear" w:color="auto" w:fill="auto"/>
            <w:noWrap/>
            <w:hideMark/>
          </w:tcPr>
          <w:p w:rsidR="007A1DF9" w:rsidRPr="007A1DF9" w:rsidRDefault="007A1DF9" w:rsidP="007A1DF9">
            <w:pPr>
              <w:spacing w:after="0" w:line="240" w:lineRule="auto"/>
              <w:jc w:val="right"/>
              <w:rPr>
                <w:rFonts w:ascii="Calibri" w:eastAsia="Times New Roman" w:hAnsi="Calibri" w:cs="Calibri"/>
                <w:color w:val="000000"/>
                <w:lang w:eastAsia="en-GB"/>
              </w:rPr>
            </w:pPr>
            <w:r w:rsidRPr="007A1DF9">
              <w:rPr>
                <w:rFonts w:ascii="Calibri" w:eastAsia="Times New Roman" w:hAnsi="Calibri" w:cs="Calibri"/>
                <w:color w:val="000000"/>
                <w:lang w:eastAsia="en-GB"/>
              </w:rPr>
              <w:t>10</w:t>
            </w:r>
          </w:p>
        </w:tc>
        <w:tc>
          <w:tcPr>
            <w:tcW w:w="3969" w:type="dxa"/>
            <w:shd w:val="clear" w:color="auto" w:fill="auto"/>
            <w:hideMark/>
          </w:tcPr>
          <w:p w:rsidR="007A1DF9" w:rsidRPr="007A1DF9" w:rsidRDefault="007A1DF9" w:rsidP="007A1DF9">
            <w:pPr>
              <w:spacing w:after="0" w:line="240" w:lineRule="auto"/>
              <w:rPr>
                <w:rFonts w:ascii="Courier New" w:eastAsia="Times New Roman" w:hAnsi="Courier New" w:cs="Courier New"/>
                <w:color w:val="17375E"/>
                <w:lang w:eastAsia="en-GB"/>
              </w:rPr>
            </w:pPr>
            <w:proofErr w:type="gramStart"/>
            <w:r w:rsidRPr="007A1DF9">
              <w:rPr>
                <w:rFonts w:ascii="Courier New" w:eastAsia="Times New Roman" w:hAnsi="Courier New" w:cs="Courier New"/>
                <w:color w:val="17375E"/>
                <w:lang w:eastAsia="en-GB"/>
              </w:rPr>
              <w:t>o</w:t>
            </w:r>
            <w:proofErr w:type="gramEnd"/>
            <w:r w:rsidRPr="007A1DF9">
              <w:rPr>
                <w:rFonts w:ascii="Times New Roman" w:eastAsia="Times New Roman" w:hAnsi="Times New Roman" w:cs="Times New Roman"/>
                <w:color w:val="17375E"/>
                <w:sz w:val="14"/>
                <w:szCs w:val="14"/>
                <w:lang w:eastAsia="en-GB"/>
              </w:rPr>
              <w:t xml:space="preserve">   </w:t>
            </w:r>
            <w:r w:rsidRPr="007A1DF9">
              <w:rPr>
                <w:rFonts w:ascii="Calibri" w:eastAsia="Times New Roman" w:hAnsi="Calibri" w:cs="Calibri"/>
                <w:color w:val="17375E"/>
                <w:lang w:eastAsia="en-GB"/>
              </w:rPr>
              <w:t>The JPWF describes the need for two boats but three are budgeted.</w:t>
            </w:r>
          </w:p>
        </w:tc>
        <w:tc>
          <w:tcPr>
            <w:tcW w:w="4785" w:type="dxa"/>
            <w:shd w:val="clear" w:color="auto" w:fill="auto"/>
            <w:hideMark/>
          </w:tcPr>
          <w:p w:rsidR="007A1DF9" w:rsidRPr="007A1DF9" w:rsidRDefault="007A1DF9" w:rsidP="007A1DF9">
            <w:pPr>
              <w:spacing w:after="0" w:line="240" w:lineRule="auto"/>
              <w:rPr>
                <w:rFonts w:ascii="Calibri" w:eastAsia="Times New Roman" w:hAnsi="Calibri" w:cs="Calibri"/>
                <w:color w:val="000000"/>
                <w:lang w:eastAsia="en-GB"/>
              </w:rPr>
            </w:pPr>
            <w:r w:rsidRPr="007A1DF9">
              <w:rPr>
                <w:rFonts w:ascii="Calibri" w:eastAsia="Times New Roman" w:hAnsi="Calibri" w:cs="Calibri"/>
                <w:color w:val="000000"/>
                <w:lang w:eastAsia="en-GB"/>
              </w:rPr>
              <w:t xml:space="preserve">Page 58 of JPWF, item 2.1.2.4 mentions 10 boats for the following </w:t>
            </w:r>
            <w:r w:rsidR="001A119D">
              <w:rPr>
                <w:rFonts w:ascii="Calibri" w:eastAsia="Times New Roman" w:hAnsi="Calibri" w:cs="Calibri"/>
                <w:color w:val="000000"/>
                <w:lang w:eastAsia="en-GB"/>
              </w:rPr>
              <w:t>districts</w:t>
            </w:r>
            <w:proofErr w:type="gramStart"/>
            <w:r w:rsidRPr="007A1DF9">
              <w:rPr>
                <w:rFonts w:ascii="Calibri" w:eastAsia="Times New Roman" w:hAnsi="Calibri" w:cs="Calibri"/>
                <w:color w:val="000000"/>
                <w:lang w:eastAsia="en-GB"/>
              </w:rPr>
              <w:t xml:space="preserve">-  </w:t>
            </w:r>
            <w:proofErr w:type="spellStart"/>
            <w:r w:rsidRPr="007A1DF9">
              <w:rPr>
                <w:rFonts w:ascii="Calibri" w:eastAsia="Times New Roman" w:hAnsi="Calibri" w:cs="Calibri"/>
                <w:color w:val="000000"/>
                <w:lang w:eastAsia="en-GB"/>
              </w:rPr>
              <w:t>Moyamba</w:t>
            </w:r>
            <w:proofErr w:type="spellEnd"/>
            <w:proofErr w:type="gramEnd"/>
            <w:r w:rsidRPr="007A1DF9">
              <w:rPr>
                <w:rFonts w:ascii="Calibri" w:eastAsia="Times New Roman" w:hAnsi="Calibri" w:cs="Calibri"/>
                <w:color w:val="000000"/>
                <w:lang w:eastAsia="en-GB"/>
              </w:rPr>
              <w:t xml:space="preserve"> 2, </w:t>
            </w:r>
            <w:proofErr w:type="spellStart"/>
            <w:r w:rsidRPr="007A1DF9">
              <w:rPr>
                <w:rFonts w:ascii="Calibri" w:eastAsia="Times New Roman" w:hAnsi="Calibri" w:cs="Calibri"/>
                <w:color w:val="000000"/>
                <w:lang w:eastAsia="en-GB"/>
              </w:rPr>
              <w:t>Bonthe</w:t>
            </w:r>
            <w:proofErr w:type="spellEnd"/>
            <w:r w:rsidRPr="007A1DF9">
              <w:rPr>
                <w:rFonts w:ascii="Calibri" w:eastAsia="Times New Roman" w:hAnsi="Calibri" w:cs="Calibri"/>
                <w:color w:val="000000"/>
                <w:lang w:eastAsia="en-GB"/>
              </w:rPr>
              <w:t xml:space="preserve"> 3, Western Area 1, </w:t>
            </w:r>
            <w:proofErr w:type="spellStart"/>
            <w:r w:rsidRPr="007A1DF9">
              <w:rPr>
                <w:rFonts w:ascii="Calibri" w:eastAsia="Times New Roman" w:hAnsi="Calibri" w:cs="Calibri"/>
                <w:color w:val="000000"/>
                <w:lang w:eastAsia="en-GB"/>
              </w:rPr>
              <w:t>Kambia</w:t>
            </w:r>
            <w:proofErr w:type="spellEnd"/>
            <w:r w:rsidRPr="007A1DF9">
              <w:rPr>
                <w:rFonts w:ascii="Calibri" w:eastAsia="Times New Roman" w:hAnsi="Calibri" w:cs="Calibri"/>
                <w:color w:val="000000"/>
                <w:lang w:eastAsia="en-GB"/>
              </w:rPr>
              <w:t xml:space="preserve"> 2 and </w:t>
            </w:r>
            <w:proofErr w:type="spellStart"/>
            <w:r w:rsidRPr="007A1DF9">
              <w:rPr>
                <w:rFonts w:ascii="Calibri" w:eastAsia="Times New Roman" w:hAnsi="Calibri" w:cs="Calibri"/>
                <w:color w:val="000000"/>
                <w:lang w:eastAsia="en-GB"/>
              </w:rPr>
              <w:t>Pujehun</w:t>
            </w:r>
            <w:proofErr w:type="spellEnd"/>
            <w:r w:rsidRPr="007A1DF9">
              <w:rPr>
                <w:rFonts w:ascii="Calibri" w:eastAsia="Times New Roman" w:hAnsi="Calibri" w:cs="Calibri"/>
                <w:color w:val="000000"/>
                <w:lang w:eastAsia="en-GB"/>
              </w:rPr>
              <w:t xml:space="preserve"> 2.</w:t>
            </w:r>
          </w:p>
        </w:tc>
      </w:tr>
      <w:tr w:rsidR="007A1DF9" w:rsidRPr="007A1DF9" w:rsidTr="006D2E0F">
        <w:trPr>
          <w:trHeight w:val="2700"/>
        </w:trPr>
        <w:tc>
          <w:tcPr>
            <w:tcW w:w="440" w:type="dxa"/>
            <w:shd w:val="clear" w:color="auto" w:fill="auto"/>
            <w:noWrap/>
            <w:hideMark/>
          </w:tcPr>
          <w:p w:rsidR="007A1DF9" w:rsidRPr="007A1DF9" w:rsidRDefault="007A1DF9" w:rsidP="007A1DF9">
            <w:pPr>
              <w:spacing w:after="0" w:line="240" w:lineRule="auto"/>
              <w:jc w:val="right"/>
              <w:rPr>
                <w:rFonts w:ascii="Calibri" w:eastAsia="Times New Roman" w:hAnsi="Calibri" w:cs="Calibri"/>
                <w:color w:val="000000"/>
                <w:lang w:eastAsia="en-GB"/>
              </w:rPr>
            </w:pPr>
            <w:r w:rsidRPr="007A1DF9">
              <w:rPr>
                <w:rFonts w:ascii="Calibri" w:eastAsia="Times New Roman" w:hAnsi="Calibri" w:cs="Calibri"/>
                <w:color w:val="000000"/>
                <w:lang w:eastAsia="en-GB"/>
              </w:rPr>
              <w:t>11</w:t>
            </w:r>
          </w:p>
        </w:tc>
        <w:tc>
          <w:tcPr>
            <w:tcW w:w="3969" w:type="dxa"/>
            <w:shd w:val="clear" w:color="auto" w:fill="auto"/>
            <w:hideMark/>
          </w:tcPr>
          <w:p w:rsidR="007A1DF9" w:rsidRPr="007A1DF9" w:rsidRDefault="007A1DF9" w:rsidP="007A1DF9">
            <w:pPr>
              <w:spacing w:after="0" w:line="240" w:lineRule="auto"/>
              <w:rPr>
                <w:rFonts w:ascii="Courier New" w:eastAsia="Times New Roman" w:hAnsi="Courier New" w:cs="Courier New"/>
                <w:color w:val="17375E"/>
                <w:lang w:eastAsia="en-GB"/>
              </w:rPr>
            </w:pPr>
            <w:proofErr w:type="gramStart"/>
            <w:r w:rsidRPr="007A1DF9">
              <w:rPr>
                <w:rFonts w:ascii="Courier New" w:eastAsia="Times New Roman" w:hAnsi="Courier New" w:cs="Courier New"/>
                <w:color w:val="17375E"/>
                <w:lang w:eastAsia="en-GB"/>
              </w:rPr>
              <w:t>o</w:t>
            </w:r>
            <w:proofErr w:type="gramEnd"/>
            <w:r w:rsidRPr="007A1DF9">
              <w:rPr>
                <w:rFonts w:ascii="Times New Roman" w:eastAsia="Times New Roman" w:hAnsi="Times New Roman" w:cs="Times New Roman"/>
                <w:color w:val="17375E"/>
                <w:sz w:val="14"/>
                <w:szCs w:val="14"/>
                <w:lang w:eastAsia="en-GB"/>
              </w:rPr>
              <w:t xml:space="preserve">   </w:t>
            </w:r>
            <w:r w:rsidRPr="007A1DF9">
              <w:rPr>
                <w:rFonts w:ascii="Calibri" w:eastAsia="Times New Roman" w:hAnsi="Calibri" w:cs="Calibri"/>
                <w:color w:val="17375E"/>
                <w:lang w:eastAsia="en-GB"/>
              </w:rPr>
              <w:t>There are allocations for vehicles at the central level for both the management team and for national supervision with no explanation as to why there is this ‘double’ requirement.</w:t>
            </w:r>
          </w:p>
        </w:tc>
        <w:tc>
          <w:tcPr>
            <w:tcW w:w="4785" w:type="dxa"/>
            <w:shd w:val="clear" w:color="auto" w:fill="auto"/>
            <w:hideMark/>
          </w:tcPr>
          <w:p w:rsidR="007A1DF9" w:rsidRPr="007A1DF9" w:rsidRDefault="007A1DF9" w:rsidP="001A119D">
            <w:pPr>
              <w:spacing w:after="0" w:line="240" w:lineRule="auto"/>
              <w:rPr>
                <w:rFonts w:ascii="Calibri" w:eastAsia="Times New Roman" w:hAnsi="Calibri" w:cs="Calibri"/>
                <w:color w:val="000000"/>
                <w:lang w:eastAsia="en-GB"/>
              </w:rPr>
            </w:pPr>
            <w:r w:rsidRPr="007A1DF9">
              <w:rPr>
                <w:rFonts w:ascii="Calibri" w:eastAsia="Times New Roman" w:hAnsi="Calibri" w:cs="Calibri"/>
                <w:color w:val="000000"/>
                <w:lang w:eastAsia="en-GB"/>
              </w:rPr>
              <w:t>The Facility Maintenance Team</w:t>
            </w:r>
            <w:r w:rsidR="006D2E0F">
              <w:rPr>
                <w:rFonts w:ascii="Calibri" w:eastAsia="Times New Roman" w:hAnsi="Calibri" w:cs="Calibri"/>
                <w:color w:val="000000"/>
                <w:lang w:eastAsia="en-GB"/>
              </w:rPr>
              <w:t>s</w:t>
            </w:r>
            <w:r w:rsidRPr="007A1DF9">
              <w:rPr>
                <w:rFonts w:ascii="Calibri" w:eastAsia="Times New Roman" w:hAnsi="Calibri" w:cs="Calibri"/>
                <w:color w:val="000000"/>
                <w:lang w:eastAsia="en-GB"/>
              </w:rPr>
              <w:t xml:space="preserve"> will </w:t>
            </w:r>
            <w:r w:rsidR="001A119D">
              <w:rPr>
                <w:rFonts w:ascii="Calibri" w:eastAsia="Times New Roman" w:hAnsi="Calibri" w:cs="Calibri"/>
                <w:color w:val="000000"/>
                <w:lang w:eastAsia="en-GB"/>
              </w:rPr>
              <w:t xml:space="preserve">be </w:t>
            </w:r>
            <w:r w:rsidRPr="007A1DF9">
              <w:rPr>
                <w:rFonts w:ascii="Calibri" w:eastAsia="Times New Roman" w:hAnsi="Calibri" w:cs="Calibri"/>
                <w:color w:val="000000"/>
                <w:lang w:eastAsia="en-GB"/>
              </w:rPr>
              <w:t>require</w:t>
            </w:r>
            <w:r w:rsidR="001A119D">
              <w:rPr>
                <w:rFonts w:ascii="Calibri" w:eastAsia="Times New Roman" w:hAnsi="Calibri" w:cs="Calibri"/>
                <w:color w:val="000000"/>
                <w:lang w:eastAsia="en-GB"/>
              </w:rPr>
              <w:t>d</w:t>
            </w:r>
            <w:r w:rsidRPr="007A1DF9">
              <w:rPr>
                <w:rFonts w:ascii="Calibri" w:eastAsia="Times New Roman" w:hAnsi="Calibri" w:cs="Calibri"/>
                <w:color w:val="000000"/>
                <w:lang w:eastAsia="en-GB"/>
              </w:rPr>
              <w:t xml:space="preserve"> to support districts in the repair of their equipment. They will be called at anytime, and will be required to respond</w:t>
            </w:r>
            <w:r w:rsidR="001A119D">
              <w:rPr>
                <w:rFonts w:ascii="Calibri" w:eastAsia="Times New Roman" w:hAnsi="Calibri" w:cs="Calibri"/>
                <w:color w:val="000000"/>
                <w:lang w:eastAsia="en-GB"/>
              </w:rPr>
              <w:t xml:space="preserve"> in good time</w:t>
            </w:r>
            <w:r w:rsidRPr="007A1DF9">
              <w:rPr>
                <w:rFonts w:ascii="Calibri" w:eastAsia="Times New Roman" w:hAnsi="Calibri" w:cs="Calibri"/>
                <w:color w:val="000000"/>
                <w:lang w:eastAsia="en-GB"/>
              </w:rPr>
              <w:t xml:space="preserve">. The National level supervision team will conduct supportive supervision of district teams and some facilities. They will visit </w:t>
            </w:r>
            <w:r w:rsidR="001A119D">
              <w:rPr>
                <w:rFonts w:ascii="Calibri" w:eastAsia="Times New Roman" w:hAnsi="Calibri" w:cs="Calibri"/>
                <w:color w:val="000000"/>
                <w:lang w:eastAsia="en-GB"/>
              </w:rPr>
              <w:t>few</w:t>
            </w:r>
            <w:r w:rsidR="001A119D" w:rsidRPr="007A1DF9">
              <w:rPr>
                <w:rFonts w:ascii="Calibri" w:eastAsia="Times New Roman" w:hAnsi="Calibri" w:cs="Calibri"/>
                <w:color w:val="000000"/>
                <w:lang w:eastAsia="en-GB"/>
              </w:rPr>
              <w:t xml:space="preserve"> </w:t>
            </w:r>
            <w:r w:rsidRPr="007A1DF9">
              <w:rPr>
                <w:rFonts w:ascii="Calibri" w:eastAsia="Times New Roman" w:hAnsi="Calibri" w:cs="Calibri"/>
                <w:color w:val="000000"/>
                <w:lang w:eastAsia="en-GB"/>
              </w:rPr>
              <w:t>facilit</w:t>
            </w:r>
            <w:r w:rsidR="001A119D">
              <w:rPr>
                <w:rFonts w:ascii="Calibri" w:eastAsia="Times New Roman" w:hAnsi="Calibri" w:cs="Calibri"/>
                <w:color w:val="000000"/>
                <w:lang w:eastAsia="en-GB"/>
              </w:rPr>
              <w:t>ies</w:t>
            </w:r>
            <w:r w:rsidRPr="007A1DF9">
              <w:rPr>
                <w:rFonts w:ascii="Calibri" w:eastAsia="Times New Roman" w:hAnsi="Calibri" w:cs="Calibri"/>
                <w:color w:val="000000"/>
                <w:lang w:eastAsia="en-GB"/>
              </w:rPr>
              <w:t xml:space="preserve"> in each quarter. </w:t>
            </w:r>
            <w:r w:rsidR="006D2E0F">
              <w:rPr>
                <w:rFonts w:ascii="Calibri" w:eastAsia="Times New Roman" w:hAnsi="Calibri" w:cs="Calibri"/>
                <w:color w:val="000000"/>
                <w:lang w:eastAsia="en-GB"/>
              </w:rPr>
              <w:t xml:space="preserve">For experience, these two activities cannot be conducted concurrently. </w:t>
            </w:r>
          </w:p>
        </w:tc>
      </w:tr>
      <w:tr w:rsidR="007A1DF9" w:rsidRPr="007A1DF9" w:rsidTr="006D2E0F">
        <w:trPr>
          <w:trHeight w:val="2100"/>
        </w:trPr>
        <w:tc>
          <w:tcPr>
            <w:tcW w:w="440" w:type="dxa"/>
            <w:shd w:val="clear" w:color="auto" w:fill="auto"/>
            <w:noWrap/>
            <w:hideMark/>
          </w:tcPr>
          <w:p w:rsidR="007A1DF9" w:rsidRPr="007A1DF9" w:rsidRDefault="007A1DF9" w:rsidP="007A1DF9">
            <w:pPr>
              <w:spacing w:after="0" w:line="240" w:lineRule="auto"/>
              <w:jc w:val="right"/>
              <w:rPr>
                <w:rFonts w:ascii="Calibri" w:eastAsia="Times New Roman" w:hAnsi="Calibri" w:cs="Calibri"/>
                <w:color w:val="000000"/>
                <w:lang w:eastAsia="en-GB"/>
              </w:rPr>
            </w:pPr>
            <w:r w:rsidRPr="007A1DF9">
              <w:rPr>
                <w:rFonts w:ascii="Calibri" w:eastAsia="Times New Roman" w:hAnsi="Calibri" w:cs="Calibri"/>
                <w:color w:val="000000"/>
                <w:lang w:eastAsia="en-GB"/>
              </w:rPr>
              <w:t>12</w:t>
            </w:r>
          </w:p>
        </w:tc>
        <w:tc>
          <w:tcPr>
            <w:tcW w:w="3969" w:type="dxa"/>
            <w:shd w:val="clear" w:color="auto" w:fill="auto"/>
            <w:hideMark/>
          </w:tcPr>
          <w:p w:rsidR="007A1DF9" w:rsidRPr="007A1DF9" w:rsidRDefault="007A1DF9" w:rsidP="007A1DF9">
            <w:pPr>
              <w:spacing w:after="0" w:line="240" w:lineRule="auto"/>
              <w:rPr>
                <w:rFonts w:ascii="Symbol" w:eastAsia="Times New Roman" w:hAnsi="Symbol" w:cs="Calibri"/>
                <w:color w:val="17375E"/>
                <w:lang w:eastAsia="en-GB"/>
              </w:rPr>
            </w:pPr>
            <w:r w:rsidRPr="007A1DF9">
              <w:rPr>
                <w:rFonts w:ascii="Times New Roman" w:eastAsia="Times New Roman" w:hAnsi="Times New Roman" w:cs="Times New Roman"/>
                <w:color w:val="17375E"/>
                <w:sz w:val="14"/>
                <w:szCs w:val="14"/>
                <w:lang w:eastAsia="en-GB"/>
              </w:rPr>
              <w:t xml:space="preserve"> </w:t>
            </w:r>
            <w:r w:rsidRPr="007A1DF9">
              <w:rPr>
                <w:rFonts w:ascii="Calibri" w:eastAsia="Times New Roman" w:hAnsi="Calibri" w:cs="Calibri"/>
                <w:color w:val="17375E"/>
                <w:lang w:eastAsia="en-GB"/>
              </w:rPr>
              <w:t xml:space="preserve">The proposed PSM activities should be linked with the soon to be established National Pharmaceutical Procurement Unit that will be in charge of procurement, storage and distribution. Please clarify how this linkage will be structured once this unit has been established. </w:t>
            </w:r>
          </w:p>
        </w:tc>
        <w:tc>
          <w:tcPr>
            <w:tcW w:w="4785" w:type="dxa"/>
            <w:shd w:val="clear" w:color="auto" w:fill="auto"/>
            <w:hideMark/>
          </w:tcPr>
          <w:p w:rsidR="007A1DF9" w:rsidRPr="007A1DF9" w:rsidRDefault="007A1DF9" w:rsidP="007A1DF9">
            <w:pPr>
              <w:spacing w:after="0" w:line="240" w:lineRule="auto"/>
              <w:rPr>
                <w:rFonts w:ascii="Calibri" w:eastAsia="Times New Roman" w:hAnsi="Calibri" w:cs="Calibri"/>
                <w:color w:val="000000"/>
                <w:lang w:eastAsia="en-GB"/>
              </w:rPr>
            </w:pPr>
            <w:r w:rsidRPr="007A1DF9">
              <w:rPr>
                <w:rFonts w:ascii="Calibri" w:eastAsia="Times New Roman" w:hAnsi="Calibri" w:cs="Calibri"/>
                <w:color w:val="000000"/>
                <w:lang w:eastAsia="en-GB"/>
              </w:rPr>
              <w:t>The proposed PSM activities will be linked with activities of the NPPU. Vehicles</w:t>
            </w:r>
            <w:r w:rsidR="006D2E0F">
              <w:rPr>
                <w:rFonts w:ascii="Calibri" w:eastAsia="Times New Roman" w:hAnsi="Calibri" w:cs="Calibri"/>
                <w:color w:val="000000"/>
                <w:lang w:eastAsia="en-GB"/>
              </w:rPr>
              <w:t xml:space="preserve"> and stores</w:t>
            </w:r>
            <w:r w:rsidRPr="007A1DF9">
              <w:rPr>
                <w:rFonts w:ascii="Calibri" w:eastAsia="Times New Roman" w:hAnsi="Calibri" w:cs="Calibri"/>
                <w:color w:val="000000"/>
                <w:lang w:eastAsia="en-GB"/>
              </w:rPr>
              <w:t xml:space="preserve"> for the distribution of drug will be handed over to the NPPU when it starts functioning. </w:t>
            </w:r>
          </w:p>
        </w:tc>
      </w:tr>
      <w:tr w:rsidR="007A1DF9" w:rsidRPr="007A1DF9" w:rsidTr="006D2E0F">
        <w:trPr>
          <w:trHeight w:val="3257"/>
        </w:trPr>
        <w:tc>
          <w:tcPr>
            <w:tcW w:w="440" w:type="dxa"/>
            <w:shd w:val="clear" w:color="auto" w:fill="auto"/>
            <w:noWrap/>
            <w:hideMark/>
          </w:tcPr>
          <w:p w:rsidR="007A1DF9" w:rsidRPr="007A1DF9" w:rsidRDefault="007A1DF9" w:rsidP="007A1DF9">
            <w:pPr>
              <w:spacing w:after="0" w:line="240" w:lineRule="auto"/>
              <w:jc w:val="right"/>
              <w:rPr>
                <w:rFonts w:ascii="Calibri" w:eastAsia="Times New Roman" w:hAnsi="Calibri" w:cs="Calibri"/>
                <w:color w:val="000000"/>
                <w:lang w:eastAsia="en-GB"/>
              </w:rPr>
            </w:pPr>
            <w:r w:rsidRPr="007A1DF9">
              <w:rPr>
                <w:rFonts w:ascii="Calibri" w:eastAsia="Times New Roman" w:hAnsi="Calibri" w:cs="Calibri"/>
                <w:color w:val="000000"/>
                <w:lang w:eastAsia="en-GB"/>
              </w:rPr>
              <w:lastRenderedPageBreak/>
              <w:t>13</w:t>
            </w:r>
          </w:p>
        </w:tc>
        <w:tc>
          <w:tcPr>
            <w:tcW w:w="3969" w:type="dxa"/>
            <w:shd w:val="clear" w:color="auto" w:fill="auto"/>
            <w:hideMark/>
          </w:tcPr>
          <w:p w:rsidR="007A1DF9" w:rsidRPr="007A1DF9" w:rsidRDefault="007A1DF9" w:rsidP="007A1DF9">
            <w:pPr>
              <w:spacing w:after="0" w:line="240" w:lineRule="auto"/>
              <w:rPr>
                <w:rFonts w:ascii="Calibri" w:eastAsia="Times New Roman" w:hAnsi="Calibri" w:cs="Calibri"/>
                <w:color w:val="17375E"/>
                <w:lang w:eastAsia="en-GB"/>
              </w:rPr>
            </w:pPr>
            <w:r w:rsidRPr="007A1DF9">
              <w:rPr>
                <w:rFonts w:ascii="Calibri" w:eastAsia="Times New Roman" w:hAnsi="Calibri" w:cs="Calibri"/>
                <w:color w:val="17375E"/>
                <w:lang w:eastAsia="en-GB"/>
              </w:rPr>
              <w:t>A comprehensive programmatic gap analysis is required in which all stakeholders supporting HSS in the country are mapped out to demonstrate that the request contained in this proposal is harmonised and aligned with existing efforts.</w:t>
            </w:r>
          </w:p>
        </w:tc>
        <w:tc>
          <w:tcPr>
            <w:tcW w:w="4785" w:type="dxa"/>
            <w:shd w:val="clear" w:color="auto" w:fill="auto"/>
            <w:hideMark/>
          </w:tcPr>
          <w:p w:rsidR="007A1DF9" w:rsidRPr="007A1DF9" w:rsidRDefault="007A1DF9" w:rsidP="006D2E0F">
            <w:pPr>
              <w:spacing w:after="0" w:line="240" w:lineRule="auto"/>
              <w:rPr>
                <w:rFonts w:ascii="Calibri" w:eastAsia="Times New Roman" w:hAnsi="Calibri" w:cs="Calibri"/>
                <w:color w:val="000000"/>
                <w:lang w:eastAsia="en-GB"/>
              </w:rPr>
            </w:pPr>
            <w:r w:rsidRPr="007A1DF9">
              <w:rPr>
                <w:rFonts w:ascii="Calibri" w:eastAsia="Times New Roman" w:hAnsi="Calibri" w:cs="Calibri"/>
                <w:color w:val="000000"/>
                <w:lang w:eastAsia="en-GB"/>
              </w:rPr>
              <w:t xml:space="preserve">At the time of developing the JPWF, the Health Sector undertook a programmatic and </w:t>
            </w:r>
            <w:r w:rsidR="001A119D" w:rsidRPr="007A1DF9">
              <w:rPr>
                <w:rFonts w:ascii="Calibri" w:eastAsia="Times New Roman" w:hAnsi="Calibri" w:cs="Calibri"/>
                <w:color w:val="000000"/>
                <w:lang w:eastAsia="en-GB"/>
              </w:rPr>
              <w:t>financial gap</w:t>
            </w:r>
            <w:r w:rsidRPr="007A1DF9">
              <w:rPr>
                <w:rFonts w:ascii="Calibri" w:eastAsia="Times New Roman" w:hAnsi="Calibri" w:cs="Calibri"/>
                <w:color w:val="000000"/>
                <w:lang w:eastAsia="en-GB"/>
              </w:rPr>
              <w:t xml:space="preserve"> analysis involving all stakeholders in the health sector.  However, we were unable to get </w:t>
            </w:r>
            <w:r w:rsidR="001A119D">
              <w:rPr>
                <w:rFonts w:ascii="Calibri" w:eastAsia="Times New Roman" w:hAnsi="Calibri" w:cs="Calibri"/>
                <w:color w:val="000000"/>
                <w:lang w:eastAsia="en-GB"/>
              </w:rPr>
              <w:t xml:space="preserve">comprehensive </w:t>
            </w:r>
            <w:r w:rsidRPr="007A1DF9">
              <w:rPr>
                <w:rFonts w:ascii="Calibri" w:eastAsia="Times New Roman" w:hAnsi="Calibri" w:cs="Calibri"/>
                <w:color w:val="000000"/>
                <w:lang w:eastAsia="en-GB"/>
              </w:rPr>
              <w:t xml:space="preserve">information from all stakeholders. Therefore, a </w:t>
            </w:r>
            <w:r w:rsidR="006D2E0F">
              <w:rPr>
                <w:rFonts w:ascii="Calibri" w:eastAsia="Times New Roman" w:hAnsi="Calibri" w:cs="Calibri"/>
                <w:color w:val="000000"/>
                <w:lang w:eastAsia="en-GB"/>
              </w:rPr>
              <w:t xml:space="preserve">programmatic and financial </w:t>
            </w:r>
            <w:r w:rsidRPr="007A1DF9">
              <w:rPr>
                <w:rFonts w:ascii="Calibri" w:eastAsia="Times New Roman" w:hAnsi="Calibri" w:cs="Calibri"/>
                <w:color w:val="000000"/>
                <w:lang w:eastAsia="en-GB"/>
              </w:rPr>
              <w:t xml:space="preserve">gap analysis is a critical part of the current Annual Health Sector Planning that will start </w:t>
            </w:r>
            <w:r w:rsidR="006D2E0F">
              <w:rPr>
                <w:rFonts w:ascii="Calibri" w:eastAsia="Times New Roman" w:hAnsi="Calibri" w:cs="Calibri"/>
                <w:color w:val="000000"/>
                <w:lang w:eastAsia="en-GB"/>
              </w:rPr>
              <w:t>in August</w:t>
            </w:r>
            <w:r w:rsidRPr="007A1DF9">
              <w:rPr>
                <w:rFonts w:ascii="Calibri" w:eastAsia="Times New Roman" w:hAnsi="Calibri" w:cs="Calibri"/>
                <w:color w:val="000000"/>
                <w:lang w:eastAsia="en-GB"/>
              </w:rPr>
              <w:t>.</w:t>
            </w:r>
            <w:r w:rsidR="00CE66CF">
              <w:rPr>
                <w:rFonts w:ascii="Calibri" w:eastAsia="Times New Roman" w:hAnsi="Calibri" w:cs="Calibri"/>
                <w:color w:val="000000"/>
                <w:lang w:eastAsia="en-GB"/>
              </w:rPr>
              <w:t xml:space="preserve"> The Financial and Programmatic gap analysis is ongoing and will be submitted as soon as it is completed. </w:t>
            </w:r>
            <w:r w:rsidRPr="007A1DF9">
              <w:rPr>
                <w:rFonts w:ascii="Calibri" w:eastAsia="Times New Roman" w:hAnsi="Calibri" w:cs="Calibri"/>
                <w:color w:val="000000"/>
                <w:lang w:eastAsia="en-GB"/>
              </w:rPr>
              <w:t xml:space="preserve"> Notwithstanding, the activities identified in for GAVI HSS support are those that are either not funded by any partner or seriously under-funded.</w:t>
            </w:r>
            <w:r w:rsidR="00CE66CF">
              <w:rPr>
                <w:rFonts w:ascii="Calibri" w:eastAsia="Times New Roman" w:hAnsi="Calibri" w:cs="Calibri"/>
                <w:color w:val="000000"/>
                <w:lang w:eastAsia="en-GB"/>
              </w:rPr>
              <w:t xml:space="preserve"> </w:t>
            </w:r>
            <w:r w:rsidRPr="007A1DF9">
              <w:rPr>
                <w:rFonts w:ascii="Calibri" w:eastAsia="Times New Roman" w:hAnsi="Calibri" w:cs="Calibri"/>
                <w:color w:val="000000"/>
                <w:lang w:eastAsia="en-GB"/>
              </w:rPr>
              <w:t xml:space="preserve"> </w:t>
            </w:r>
          </w:p>
        </w:tc>
      </w:tr>
      <w:tr w:rsidR="007A1DF9" w:rsidRPr="007A1DF9" w:rsidTr="006D2E0F">
        <w:trPr>
          <w:trHeight w:val="2100"/>
        </w:trPr>
        <w:tc>
          <w:tcPr>
            <w:tcW w:w="440" w:type="dxa"/>
            <w:shd w:val="clear" w:color="auto" w:fill="auto"/>
            <w:noWrap/>
            <w:hideMark/>
          </w:tcPr>
          <w:p w:rsidR="007A1DF9" w:rsidRPr="007A1DF9" w:rsidRDefault="007A1DF9" w:rsidP="007A1DF9">
            <w:pPr>
              <w:spacing w:after="0" w:line="240" w:lineRule="auto"/>
              <w:jc w:val="right"/>
              <w:rPr>
                <w:rFonts w:ascii="Calibri" w:eastAsia="Times New Roman" w:hAnsi="Calibri" w:cs="Calibri"/>
                <w:color w:val="000000"/>
                <w:lang w:eastAsia="en-GB"/>
              </w:rPr>
            </w:pPr>
            <w:r w:rsidRPr="007A1DF9">
              <w:rPr>
                <w:rFonts w:ascii="Calibri" w:eastAsia="Times New Roman" w:hAnsi="Calibri" w:cs="Calibri"/>
                <w:color w:val="000000"/>
                <w:lang w:eastAsia="en-GB"/>
              </w:rPr>
              <w:t>14</w:t>
            </w:r>
          </w:p>
        </w:tc>
        <w:tc>
          <w:tcPr>
            <w:tcW w:w="3969" w:type="dxa"/>
            <w:shd w:val="clear" w:color="auto" w:fill="auto"/>
            <w:hideMark/>
          </w:tcPr>
          <w:p w:rsidR="007A1DF9" w:rsidRPr="007A1DF9" w:rsidRDefault="007A1DF9" w:rsidP="007A1DF9">
            <w:pPr>
              <w:spacing w:after="0" w:line="240" w:lineRule="auto"/>
              <w:rPr>
                <w:rFonts w:ascii="Symbol" w:eastAsia="Times New Roman" w:hAnsi="Symbol" w:cs="Calibri"/>
                <w:color w:val="17375E"/>
                <w:lang w:eastAsia="en-GB"/>
              </w:rPr>
            </w:pPr>
            <w:r w:rsidRPr="007A1DF9">
              <w:rPr>
                <w:rFonts w:ascii="Times New Roman" w:eastAsia="Times New Roman" w:hAnsi="Times New Roman" w:cs="Times New Roman"/>
                <w:color w:val="17375E"/>
                <w:sz w:val="14"/>
                <w:szCs w:val="14"/>
                <w:lang w:eastAsia="en-GB"/>
              </w:rPr>
              <w:t xml:space="preserve"> </w:t>
            </w:r>
            <w:r w:rsidRPr="007A1DF9">
              <w:rPr>
                <w:rFonts w:ascii="Calibri" w:eastAsia="Times New Roman" w:hAnsi="Calibri" w:cs="Calibri"/>
                <w:color w:val="17375E"/>
                <w:lang w:eastAsia="en-GB"/>
              </w:rPr>
              <w:t>The proposal does not explain how Sierra Leone will propose to retain the bio medical engineers in order to benefit from their newly acquired skills over the life of the project. This is especially important given that low morale and brain drain of qualified staff are some of the HR challenges in Sierra Leone.</w:t>
            </w:r>
          </w:p>
        </w:tc>
        <w:tc>
          <w:tcPr>
            <w:tcW w:w="4785" w:type="dxa"/>
            <w:shd w:val="clear" w:color="auto" w:fill="auto"/>
            <w:hideMark/>
          </w:tcPr>
          <w:p w:rsidR="007A1DF9" w:rsidRPr="007A1DF9" w:rsidRDefault="007A1DF9" w:rsidP="007A1DF9">
            <w:pPr>
              <w:spacing w:after="0" w:line="240" w:lineRule="auto"/>
              <w:rPr>
                <w:rFonts w:ascii="Calibri" w:eastAsia="Times New Roman" w:hAnsi="Calibri" w:cs="Calibri"/>
                <w:color w:val="000000"/>
                <w:lang w:eastAsia="en-GB"/>
              </w:rPr>
            </w:pPr>
            <w:r w:rsidRPr="007A1DF9">
              <w:rPr>
                <w:rFonts w:ascii="Calibri" w:eastAsia="Times New Roman" w:hAnsi="Calibri" w:cs="Calibri"/>
                <w:color w:val="000000"/>
                <w:lang w:eastAsia="en-GB"/>
              </w:rPr>
              <w:t>The Biomedical Engineers will be recruited by Government and will be placed on a designated grade. As the current salaries are competitive with that for health workers in the sub-region</w:t>
            </w:r>
            <w:r w:rsidR="003446D2">
              <w:rPr>
                <w:rFonts w:ascii="Calibri" w:eastAsia="Times New Roman" w:hAnsi="Calibri" w:cs="Calibri"/>
                <w:color w:val="000000"/>
                <w:lang w:eastAsia="en-GB"/>
              </w:rPr>
              <w:t>, we are certain</w:t>
            </w:r>
            <w:r w:rsidR="0056738C">
              <w:rPr>
                <w:rFonts w:ascii="Calibri" w:eastAsia="Times New Roman" w:hAnsi="Calibri" w:cs="Calibri"/>
                <w:color w:val="000000"/>
                <w:lang w:eastAsia="en-GB"/>
              </w:rPr>
              <w:t xml:space="preserve"> to retain then. </w:t>
            </w:r>
          </w:p>
        </w:tc>
      </w:tr>
    </w:tbl>
    <w:p w:rsidR="007A1DF9" w:rsidRDefault="007A1DF9"/>
    <w:sectPr w:rsidR="007A1DF9" w:rsidSect="00DC14A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A1DF9"/>
    <w:rsid w:val="001A119D"/>
    <w:rsid w:val="003446D2"/>
    <w:rsid w:val="0038471C"/>
    <w:rsid w:val="00432B8A"/>
    <w:rsid w:val="0056738C"/>
    <w:rsid w:val="00613AF5"/>
    <w:rsid w:val="006A5178"/>
    <w:rsid w:val="006D2E0F"/>
    <w:rsid w:val="007A1DF9"/>
    <w:rsid w:val="007D0FD2"/>
    <w:rsid w:val="00A34218"/>
    <w:rsid w:val="00A76ADE"/>
    <w:rsid w:val="00AE38D1"/>
    <w:rsid w:val="00B805EE"/>
    <w:rsid w:val="00BD10B0"/>
    <w:rsid w:val="00CE66CF"/>
    <w:rsid w:val="00D81A63"/>
    <w:rsid w:val="00D9168A"/>
    <w:rsid w:val="00DC14A5"/>
    <w:rsid w:val="00FE77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4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A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763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Magbity</dc:creator>
  <cp:lastModifiedBy>Edward Magbity</cp:lastModifiedBy>
  <cp:revision>6</cp:revision>
  <dcterms:created xsi:type="dcterms:W3CDTF">2012-08-14T13:13:00Z</dcterms:created>
  <dcterms:modified xsi:type="dcterms:W3CDTF">2012-08-14T14:38:00Z</dcterms:modified>
</cp:coreProperties>
</file>