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F5" w:rsidRDefault="00CD6FF5" w:rsidP="00B0176D">
      <w:bookmarkStart w:id="0" w:name="_GoBack"/>
      <w:bookmarkEnd w:id="0"/>
    </w:p>
    <w:p w:rsidR="00CD6FF5" w:rsidRPr="00CA5509" w:rsidRDefault="00021F6D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A5509">
        <w:rPr>
          <w:rFonts w:ascii="Times New Roman" w:hAnsi="Times New Roman" w:cs="Times New Roman"/>
          <w:b/>
          <w:bCs/>
          <w:szCs w:val="24"/>
        </w:rPr>
        <w:t>C</w:t>
      </w:r>
      <w:r w:rsidR="00CD6FF5" w:rsidRPr="00CA5509">
        <w:rPr>
          <w:rFonts w:ascii="Times New Roman" w:hAnsi="Times New Roman" w:cs="Times New Roman"/>
          <w:b/>
          <w:bCs/>
          <w:szCs w:val="24"/>
        </w:rPr>
        <w:t>larification</w:t>
      </w:r>
      <w:r w:rsidRPr="00CA5509">
        <w:rPr>
          <w:rFonts w:ascii="Times New Roman" w:hAnsi="Times New Roman" w:cs="Times New Roman"/>
          <w:b/>
          <w:bCs/>
          <w:szCs w:val="24"/>
        </w:rPr>
        <w:t>s</w:t>
      </w:r>
      <w:r w:rsidR="00CD6FF5" w:rsidRPr="00CA5509">
        <w:rPr>
          <w:rFonts w:ascii="Times New Roman" w:hAnsi="Times New Roman" w:cs="Times New Roman"/>
          <w:b/>
          <w:bCs/>
          <w:szCs w:val="24"/>
        </w:rPr>
        <w:t xml:space="preserve"> </w:t>
      </w:r>
      <w:r w:rsidR="00AE1E60" w:rsidRPr="00CA5509">
        <w:rPr>
          <w:rFonts w:ascii="Times New Roman" w:hAnsi="Times New Roman" w:cs="Times New Roman"/>
          <w:b/>
          <w:bCs/>
          <w:szCs w:val="24"/>
        </w:rPr>
        <w:t>on proposal seeking PCV 13 at GAVI’s AMC price</w:t>
      </w:r>
      <w:r w:rsidRPr="00CA5509">
        <w:rPr>
          <w:rFonts w:ascii="Times New Roman" w:hAnsi="Times New Roman" w:cs="Times New Roman"/>
          <w:b/>
          <w:bCs/>
          <w:szCs w:val="24"/>
        </w:rPr>
        <w:t xml:space="preserve"> </w:t>
      </w:r>
      <w:r w:rsidR="004B2D93" w:rsidRPr="00CA5509">
        <w:rPr>
          <w:rFonts w:ascii="Times New Roman" w:hAnsi="Times New Roman" w:cs="Times New Roman"/>
          <w:b/>
          <w:bCs/>
          <w:szCs w:val="24"/>
        </w:rPr>
        <w:t xml:space="preserve">submitted </w:t>
      </w:r>
      <w:r w:rsidRPr="00CA5509">
        <w:rPr>
          <w:rFonts w:ascii="Times New Roman" w:hAnsi="Times New Roman" w:cs="Times New Roman"/>
          <w:b/>
          <w:bCs/>
          <w:szCs w:val="24"/>
        </w:rPr>
        <w:t>by the MOH, Mongolia</w:t>
      </w:r>
    </w:p>
    <w:p w:rsidR="00AE1E60" w:rsidRPr="00CA5509" w:rsidRDefault="00AE1E60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AE1E60" w:rsidRPr="00CA5509" w:rsidRDefault="00CD6FF5" w:rsidP="00B71E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A5509">
        <w:rPr>
          <w:rFonts w:ascii="Times New Roman" w:hAnsi="Times New Roman" w:cs="Times New Roman"/>
          <w:szCs w:val="24"/>
        </w:rPr>
        <w:t>The main recommendation</w:t>
      </w:r>
      <w:r w:rsidR="00B71E09" w:rsidRPr="00CA5509">
        <w:rPr>
          <w:rFonts w:ascii="Times New Roman" w:hAnsi="Times New Roman" w:cs="Times New Roman"/>
          <w:szCs w:val="24"/>
        </w:rPr>
        <w:t xml:space="preserve"> </w:t>
      </w:r>
      <w:r w:rsidR="00F21FC3" w:rsidRPr="00CA5509">
        <w:rPr>
          <w:rFonts w:ascii="Times New Roman" w:hAnsi="Times New Roman" w:cs="Times New Roman"/>
          <w:szCs w:val="24"/>
        </w:rPr>
        <w:t xml:space="preserve">of </w:t>
      </w:r>
      <w:r w:rsidRPr="00CA5509">
        <w:rPr>
          <w:rFonts w:ascii="Times New Roman" w:hAnsi="Times New Roman" w:cs="Times New Roman"/>
          <w:szCs w:val="24"/>
        </w:rPr>
        <w:t xml:space="preserve">the EVM assessment </w:t>
      </w:r>
      <w:r w:rsidR="004B2D93" w:rsidRPr="00CA5509">
        <w:rPr>
          <w:rFonts w:ascii="Times New Roman" w:hAnsi="Times New Roman" w:cs="Times New Roman"/>
          <w:szCs w:val="24"/>
        </w:rPr>
        <w:t xml:space="preserve">done in </w:t>
      </w:r>
      <w:r w:rsidR="00F21FC3" w:rsidRPr="00CA5509">
        <w:rPr>
          <w:rFonts w:ascii="Times New Roman" w:hAnsi="Times New Roman" w:cs="Times New Roman"/>
          <w:szCs w:val="24"/>
        </w:rPr>
        <w:t xml:space="preserve">2012 </w:t>
      </w:r>
      <w:r w:rsidRPr="00CA5509">
        <w:rPr>
          <w:rFonts w:ascii="Times New Roman" w:hAnsi="Times New Roman" w:cs="Times New Roman"/>
          <w:szCs w:val="24"/>
        </w:rPr>
        <w:t xml:space="preserve">was to increase the net vaccine storage volume by </w:t>
      </w:r>
      <w:r w:rsidR="00AE1E60" w:rsidRPr="00CA5509">
        <w:rPr>
          <w:rFonts w:ascii="Times New Roman" w:hAnsi="Times New Roman" w:cs="Times New Roman"/>
          <w:szCs w:val="24"/>
        </w:rPr>
        <w:t>installation of</w:t>
      </w:r>
      <w:r w:rsidRPr="00CA5509">
        <w:rPr>
          <w:rFonts w:ascii="Times New Roman" w:hAnsi="Times New Roman" w:cs="Times New Roman"/>
          <w:szCs w:val="24"/>
        </w:rPr>
        <w:t xml:space="preserve"> cold room with 40 cubic meters volume</w:t>
      </w:r>
      <w:r w:rsidR="004B2D93" w:rsidRPr="00CA5509">
        <w:rPr>
          <w:rFonts w:ascii="Times New Roman" w:hAnsi="Times New Roman" w:cs="Times New Roman"/>
          <w:szCs w:val="24"/>
        </w:rPr>
        <w:t xml:space="preserve"> at the Central Vaccine Store</w:t>
      </w:r>
      <w:r w:rsidRPr="00CA5509">
        <w:rPr>
          <w:rFonts w:ascii="Times New Roman" w:hAnsi="Times New Roman" w:cs="Times New Roman"/>
          <w:szCs w:val="24"/>
        </w:rPr>
        <w:t xml:space="preserve">. </w:t>
      </w:r>
      <w:r w:rsidR="004B2D93" w:rsidRPr="00CA5509">
        <w:rPr>
          <w:rFonts w:ascii="Times New Roman" w:hAnsi="Times New Roman" w:cs="Times New Roman"/>
          <w:szCs w:val="24"/>
        </w:rPr>
        <w:t xml:space="preserve">The </w:t>
      </w:r>
      <w:r w:rsidR="00AE1E60" w:rsidRPr="00CA5509">
        <w:rPr>
          <w:rFonts w:ascii="Times New Roman" w:hAnsi="Times New Roman" w:cs="Times New Roman"/>
          <w:szCs w:val="24"/>
        </w:rPr>
        <w:t>MOH ordered</w:t>
      </w:r>
      <w:r w:rsidR="00F21FC3" w:rsidRPr="00CA5509">
        <w:rPr>
          <w:rFonts w:ascii="Times New Roman" w:hAnsi="Times New Roman" w:cs="Times New Roman"/>
          <w:szCs w:val="24"/>
        </w:rPr>
        <w:t xml:space="preserve"> </w:t>
      </w:r>
      <w:r w:rsidR="00882AAA">
        <w:rPr>
          <w:rFonts w:ascii="Times New Roman" w:hAnsi="Times New Roman" w:cs="Times New Roman"/>
          <w:szCs w:val="24"/>
        </w:rPr>
        <w:t>40 cubic meter</w:t>
      </w:r>
      <w:r w:rsidR="00F21FC3" w:rsidRPr="00CA5509">
        <w:rPr>
          <w:rFonts w:ascii="Times New Roman" w:hAnsi="Times New Roman" w:cs="Times New Roman"/>
          <w:szCs w:val="24"/>
        </w:rPr>
        <w:t xml:space="preserve"> cold room </w:t>
      </w:r>
      <w:r w:rsidR="00AE1E60" w:rsidRPr="00CA5509">
        <w:rPr>
          <w:rFonts w:ascii="Times New Roman" w:hAnsi="Times New Roman" w:cs="Times New Roman"/>
          <w:szCs w:val="24"/>
        </w:rPr>
        <w:t xml:space="preserve">to </w:t>
      </w:r>
      <w:r w:rsidR="00F21FC3" w:rsidRPr="00CA5509">
        <w:rPr>
          <w:rFonts w:ascii="Times New Roman" w:hAnsi="Times New Roman" w:cs="Times New Roman"/>
          <w:szCs w:val="24"/>
        </w:rPr>
        <w:t xml:space="preserve">the </w:t>
      </w:r>
      <w:r w:rsidR="00AE1E60" w:rsidRPr="00CA5509">
        <w:rPr>
          <w:rFonts w:ascii="Times New Roman" w:hAnsi="Times New Roman" w:cs="Times New Roman"/>
          <w:szCs w:val="24"/>
        </w:rPr>
        <w:t>UNICEF</w:t>
      </w:r>
      <w:r w:rsidR="00B71E09" w:rsidRPr="00CA5509">
        <w:rPr>
          <w:rFonts w:ascii="Times New Roman" w:hAnsi="Times New Roman" w:cs="Times New Roman"/>
          <w:szCs w:val="24"/>
        </w:rPr>
        <w:t xml:space="preserve"> </w:t>
      </w:r>
      <w:r w:rsidR="004B2D93" w:rsidRPr="00CA5509">
        <w:rPr>
          <w:rFonts w:ascii="Times New Roman" w:hAnsi="Times New Roman" w:cs="Times New Roman"/>
          <w:szCs w:val="24"/>
        </w:rPr>
        <w:t>S</w:t>
      </w:r>
      <w:r w:rsidR="00B71E09" w:rsidRPr="00CA5509">
        <w:rPr>
          <w:rFonts w:ascii="Times New Roman" w:hAnsi="Times New Roman" w:cs="Times New Roman"/>
          <w:szCs w:val="24"/>
        </w:rPr>
        <w:t xml:space="preserve">upply </w:t>
      </w:r>
      <w:r w:rsidR="004B2D93" w:rsidRPr="00CA5509">
        <w:rPr>
          <w:rFonts w:ascii="Times New Roman" w:hAnsi="Times New Roman" w:cs="Times New Roman"/>
          <w:szCs w:val="24"/>
        </w:rPr>
        <w:t>D</w:t>
      </w:r>
      <w:r w:rsidR="00B71E09" w:rsidRPr="00CA5509">
        <w:rPr>
          <w:rFonts w:ascii="Times New Roman" w:hAnsi="Times New Roman" w:cs="Times New Roman"/>
          <w:szCs w:val="24"/>
        </w:rPr>
        <w:t>ivision</w:t>
      </w:r>
      <w:r w:rsidR="004B2D93" w:rsidRPr="00CA5509">
        <w:rPr>
          <w:rFonts w:ascii="Times New Roman" w:hAnsi="Times New Roman" w:cs="Times New Roman"/>
          <w:szCs w:val="24"/>
        </w:rPr>
        <w:t xml:space="preserve"> recently.</w:t>
      </w:r>
      <w:r w:rsidR="0034484E" w:rsidRPr="00CA5509">
        <w:rPr>
          <w:rFonts w:ascii="Times New Roman" w:hAnsi="Times New Roman" w:cs="Times New Roman"/>
          <w:szCs w:val="24"/>
        </w:rPr>
        <w:t xml:space="preserve"> We hope the room </w:t>
      </w:r>
      <w:r w:rsidR="00F21FC3" w:rsidRPr="00CA5509">
        <w:rPr>
          <w:rFonts w:ascii="Times New Roman" w:hAnsi="Times New Roman" w:cs="Times New Roman"/>
          <w:szCs w:val="24"/>
        </w:rPr>
        <w:t xml:space="preserve">will be </w:t>
      </w:r>
      <w:r w:rsidR="0034484E" w:rsidRPr="00CA5509">
        <w:rPr>
          <w:rFonts w:ascii="Times New Roman" w:hAnsi="Times New Roman" w:cs="Times New Roman"/>
          <w:szCs w:val="24"/>
        </w:rPr>
        <w:t xml:space="preserve">installed </w:t>
      </w:r>
      <w:r w:rsidR="00F21FC3" w:rsidRPr="00CA5509">
        <w:rPr>
          <w:rFonts w:ascii="Times New Roman" w:hAnsi="Times New Roman" w:cs="Times New Roman"/>
          <w:szCs w:val="24"/>
        </w:rPr>
        <w:t>at the</w:t>
      </w:r>
      <w:r w:rsidR="0034484E" w:rsidRPr="00CA5509">
        <w:rPr>
          <w:rFonts w:ascii="Times New Roman" w:hAnsi="Times New Roman" w:cs="Times New Roman"/>
          <w:szCs w:val="24"/>
        </w:rPr>
        <w:t xml:space="preserve"> Central vaccine </w:t>
      </w:r>
      <w:r w:rsidR="004B2D93" w:rsidRPr="00CA5509">
        <w:rPr>
          <w:rFonts w:ascii="Times New Roman" w:hAnsi="Times New Roman" w:cs="Times New Roman"/>
          <w:szCs w:val="24"/>
        </w:rPr>
        <w:t>S</w:t>
      </w:r>
      <w:r w:rsidR="0034484E" w:rsidRPr="00CA5509">
        <w:rPr>
          <w:rFonts w:ascii="Times New Roman" w:hAnsi="Times New Roman" w:cs="Times New Roman"/>
          <w:szCs w:val="24"/>
        </w:rPr>
        <w:t>tor</w:t>
      </w:r>
      <w:r w:rsidR="004B2D93" w:rsidRPr="00CA5509">
        <w:rPr>
          <w:rFonts w:ascii="Times New Roman" w:hAnsi="Times New Roman" w:cs="Times New Roman"/>
          <w:szCs w:val="24"/>
        </w:rPr>
        <w:t>e</w:t>
      </w:r>
      <w:r w:rsidR="0034484E" w:rsidRPr="00CA5509">
        <w:rPr>
          <w:rFonts w:ascii="Times New Roman" w:hAnsi="Times New Roman" w:cs="Times New Roman"/>
          <w:szCs w:val="24"/>
        </w:rPr>
        <w:t xml:space="preserve"> </w:t>
      </w:r>
      <w:r w:rsidR="00F21FC3" w:rsidRPr="00CA5509">
        <w:rPr>
          <w:rFonts w:ascii="Times New Roman" w:hAnsi="Times New Roman" w:cs="Times New Roman"/>
          <w:szCs w:val="24"/>
        </w:rPr>
        <w:t>of the</w:t>
      </w:r>
      <w:r w:rsidR="0034484E" w:rsidRPr="00CA5509">
        <w:rPr>
          <w:rFonts w:ascii="Times New Roman" w:hAnsi="Times New Roman" w:cs="Times New Roman"/>
          <w:szCs w:val="24"/>
        </w:rPr>
        <w:t xml:space="preserve"> National Center for Communicable Diseases</w:t>
      </w:r>
      <w:r w:rsidR="00882AAA" w:rsidRPr="00882AAA">
        <w:rPr>
          <w:rFonts w:ascii="Times New Roman" w:hAnsi="Times New Roman" w:cs="Times New Roman"/>
          <w:szCs w:val="24"/>
        </w:rPr>
        <w:t xml:space="preserve"> </w:t>
      </w:r>
      <w:r w:rsidR="00882AAA" w:rsidRPr="00CA5509">
        <w:rPr>
          <w:rFonts w:ascii="Times New Roman" w:hAnsi="Times New Roman" w:cs="Times New Roman"/>
          <w:szCs w:val="24"/>
        </w:rPr>
        <w:t>within the first half of 2014</w:t>
      </w:r>
      <w:r w:rsidR="0034484E" w:rsidRPr="00CA5509">
        <w:rPr>
          <w:rFonts w:ascii="Times New Roman" w:hAnsi="Times New Roman" w:cs="Times New Roman"/>
          <w:szCs w:val="24"/>
        </w:rPr>
        <w:t xml:space="preserve">.  </w:t>
      </w:r>
    </w:p>
    <w:p w:rsidR="0034484E" w:rsidRPr="00CA5509" w:rsidRDefault="0034484E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882AAA" w:rsidRDefault="004B2D93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 xml:space="preserve">As per recommendation of the EVSM assessment </w:t>
      </w:r>
      <w:r w:rsidR="00DD0CFF" w:rsidRPr="00CA5509">
        <w:rPr>
          <w:rFonts w:ascii="Times New Roman" w:hAnsi="Times New Roman" w:cs="Times New Roman"/>
          <w:szCs w:val="24"/>
        </w:rPr>
        <w:t xml:space="preserve">total </w:t>
      </w:r>
      <w:r w:rsidRPr="00CA5509">
        <w:rPr>
          <w:rFonts w:ascii="Times New Roman" w:hAnsi="Times New Roman" w:cs="Times New Roman"/>
          <w:szCs w:val="24"/>
        </w:rPr>
        <w:t xml:space="preserve">of </w:t>
      </w:r>
      <w:r w:rsidR="00DD0CFF" w:rsidRPr="00CA5509">
        <w:rPr>
          <w:rFonts w:ascii="Times New Roman" w:hAnsi="Times New Roman" w:cs="Times New Roman"/>
          <w:szCs w:val="24"/>
        </w:rPr>
        <w:t>4800 cub meters storage capacity is needed</w:t>
      </w:r>
      <w:r w:rsidRPr="00CA5509">
        <w:rPr>
          <w:rFonts w:ascii="Times New Roman" w:hAnsi="Times New Roman" w:cs="Times New Roman"/>
          <w:szCs w:val="24"/>
        </w:rPr>
        <w:t xml:space="preserve"> additionally</w:t>
      </w:r>
      <w:r w:rsidR="00DD0CFF" w:rsidRPr="00CA5509">
        <w:rPr>
          <w:rFonts w:ascii="Times New Roman" w:hAnsi="Times New Roman" w:cs="Times New Roman"/>
          <w:szCs w:val="24"/>
        </w:rPr>
        <w:t xml:space="preserve"> </w:t>
      </w:r>
      <w:r w:rsidRPr="00CA5509">
        <w:rPr>
          <w:rFonts w:ascii="Times New Roman" w:hAnsi="Times New Roman" w:cs="Times New Roman"/>
          <w:szCs w:val="24"/>
        </w:rPr>
        <w:t xml:space="preserve">for </w:t>
      </w:r>
      <w:r w:rsidR="00DD0CFF" w:rsidRPr="00CA5509">
        <w:rPr>
          <w:rFonts w:ascii="Times New Roman" w:hAnsi="Times New Roman" w:cs="Times New Roman"/>
          <w:szCs w:val="24"/>
        </w:rPr>
        <w:t>intermediate and gr</w:t>
      </w:r>
      <w:r w:rsidRPr="00CA5509">
        <w:rPr>
          <w:rFonts w:ascii="Times New Roman" w:hAnsi="Times New Roman" w:cs="Times New Roman"/>
          <w:szCs w:val="24"/>
        </w:rPr>
        <w:t>a</w:t>
      </w:r>
      <w:r w:rsidR="00DD0CFF" w:rsidRPr="00CA5509">
        <w:rPr>
          <w:rFonts w:ascii="Times New Roman" w:hAnsi="Times New Roman" w:cs="Times New Roman"/>
          <w:szCs w:val="24"/>
        </w:rPr>
        <w:t>ss roo</w:t>
      </w:r>
      <w:r w:rsidRPr="00CA5509">
        <w:rPr>
          <w:rFonts w:ascii="Times New Roman" w:hAnsi="Times New Roman" w:cs="Times New Roman"/>
          <w:szCs w:val="24"/>
        </w:rPr>
        <w:t>t</w:t>
      </w:r>
      <w:r w:rsidR="00DD0CFF" w:rsidRPr="00CA5509">
        <w:rPr>
          <w:rFonts w:ascii="Times New Roman" w:hAnsi="Times New Roman" w:cs="Times New Roman"/>
          <w:szCs w:val="24"/>
        </w:rPr>
        <w:t xml:space="preserve"> level immunization units for PCV</w:t>
      </w:r>
      <w:r w:rsidRPr="00CA5509">
        <w:rPr>
          <w:rFonts w:ascii="Times New Roman" w:hAnsi="Times New Roman" w:cs="Times New Roman"/>
          <w:szCs w:val="24"/>
        </w:rPr>
        <w:t xml:space="preserve"> and other new vaccine</w:t>
      </w:r>
      <w:r w:rsidR="00DD0CFF" w:rsidRPr="00CA5509">
        <w:rPr>
          <w:rFonts w:ascii="Times New Roman" w:hAnsi="Times New Roman" w:cs="Times New Roman"/>
          <w:szCs w:val="24"/>
        </w:rPr>
        <w:t xml:space="preserve"> introduction. </w:t>
      </w:r>
    </w:p>
    <w:p w:rsidR="00882AAA" w:rsidRDefault="00882AAA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34484E" w:rsidRPr="00CA5509" w:rsidRDefault="0034484E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eastAsia="Calibri" w:hAnsi="Times New Roman" w:cs="Times New Roman"/>
          <w:szCs w:val="24"/>
        </w:rPr>
        <w:t>Currently 3</w:t>
      </w:r>
      <w:r w:rsidR="00D4766F" w:rsidRPr="00CA5509">
        <w:rPr>
          <w:rFonts w:ascii="Times New Roman" w:hAnsi="Times New Roman" w:cs="Times New Roman"/>
          <w:szCs w:val="24"/>
        </w:rPr>
        <w:t>3</w:t>
      </w:r>
      <w:r w:rsidRPr="00CA5509">
        <w:rPr>
          <w:rFonts w:ascii="Times New Roman" w:eastAsia="Calibri" w:hAnsi="Times New Roman" w:cs="Times New Roman"/>
          <w:szCs w:val="24"/>
        </w:rPr>
        <w:t xml:space="preserve"> I</w:t>
      </w:r>
      <w:r w:rsidR="00DD0CFF" w:rsidRPr="00CA5509">
        <w:rPr>
          <w:rFonts w:ascii="Times New Roman" w:eastAsia="Calibri" w:hAnsi="Times New Roman" w:cs="Times New Roman"/>
          <w:szCs w:val="24"/>
        </w:rPr>
        <w:t xml:space="preserve">ce </w:t>
      </w:r>
      <w:r w:rsidRPr="00CA5509">
        <w:rPr>
          <w:rFonts w:ascii="Times New Roman" w:eastAsia="Calibri" w:hAnsi="Times New Roman" w:cs="Times New Roman"/>
          <w:szCs w:val="24"/>
        </w:rPr>
        <w:t>L</w:t>
      </w:r>
      <w:r w:rsidR="00DD0CFF" w:rsidRPr="00CA5509">
        <w:rPr>
          <w:rFonts w:ascii="Times New Roman" w:eastAsia="Calibri" w:hAnsi="Times New Roman" w:cs="Times New Roman"/>
          <w:szCs w:val="24"/>
        </w:rPr>
        <w:t xml:space="preserve">ined </w:t>
      </w:r>
      <w:r w:rsidRPr="00CA5509">
        <w:rPr>
          <w:rFonts w:ascii="Times New Roman" w:eastAsia="Calibri" w:hAnsi="Times New Roman" w:cs="Times New Roman"/>
          <w:szCs w:val="24"/>
        </w:rPr>
        <w:t>R</w:t>
      </w:r>
      <w:r w:rsidR="00DD0CFF" w:rsidRPr="00CA5509">
        <w:rPr>
          <w:rFonts w:ascii="Times New Roman" w:eastAsia="Calibri" w:hAnsi="Times New Roman" w:cs="Times New Roman"/>
          <w:szCs w:val="24"/>
        </w:rPr>
        <w:t>efrigerators (ILRs)</w:t>
      </w:r>
      <w:r w:rsidRPr="00CA5509">
        <w:rPr>
          <w:rFonts w:ascii="Times New Roman" w:eastAsia="Calibri" w:hAnsi="Times New Roman" w:cs="Times New Roman"/>
          <w:szCs w:val="24"/>
        </w:rPr>
        <w:t xml:space="preserve"> </w:t>
      </w:r>
      <w:r w:rsidR="00DD0CFF" w:rsidRPr="00CA5509">
        <w:rPr>
          <w:rFonts w:ascii="Times New Roman" w:eastAsia="Calibri" w:hAnsi="Times New Roman" w:cs="Times New Roman"/>
          <w:szCs w:val="24"/>
        </w:rPr>
        <w:t xml:space="preserve">are being </w:t>
      </w:r>
      <w:r w:rsidRPr="00CA5509">
        <w:rPr>
          <w:rFonts w:ascii="Times New Roman" w:eastAsia="Calibri" w:hAnsi="Times New Roman" w:cs="Times New Roman"/>
          <w:szCs w:val="24"/>
        </w:rPr>
        <w:t xml:space="preserve">used at </w:t>
      </w:r>
      <w:r w:rsidR="00DD0CFF" w:rsidRPr="00CA5509">
        <w:rPr>
          <w:rFonts w:ascii="Times New Roman" w:eastAsia="Calibri" w:hAnsi="Times New Roman" w:cs="Times New Roman"/>
          <w:szCs w:val="24"/>
        </w:rPr>
        <w:t xml:space="preserve">the </w:t>
      </w:r>
      <w:r w:rsidR="004B2D93" w:rsidRPr="00CA5509">
        <w:rPr>
          <w:rFonts w:ascii="Times New Roman" w:eastAsia="Calibri" w:hAnsi="Times New Roman" w:cs="Times New Roman"/>
          <w:szCs w:val="24"/>
        </w:rPr>
        <w:t>C</w:t>
      </w:r>
      <w:r w:rsidRPr="00CA5509">
        <w:rPr>
          <w:rFonts w:ascii="Times New Roman" w:eastAsia="Calibri" w:hAnsi="Times New Roman" w:cs="Times New Roman"/>
          <w:szCs w:val="24"/>
        </w:rPr>
        <w:t>entr</w:t>
      </w:r>
      <w:r w:rsidR="00D4766F" w:rsidRPr="00CA5509">
        <w:rPr>
          <w:rFonts w:ascii="Times New Roman" w:hAnsi="Times New Roman" w:cs="Times New Roman"/>
          <w:szCs w:val="24"/>
        </w:rPr>
        <w:t>al</w:t>
      </w:r>
      <w:r w:rsidR="004B2D93" w:rsidRPr="00CA5509">
        <w:rPr>
          <w:rFonts w:ascii="Times New Roman" w:hAnsi="Times New Roman" w:cs="Times New Roman"/>
          <w:szCs w:val="24"/>
        </w:rPr>
        <w:t xml:space="preserve"> Vaccine </w:t>
      </w:r>
      <w:r w:rsidR="00B71E09" w:rsidRPr="00CA5509">
        <w:rPr>
          <w:rFonts w:ascii="Times New Roman" w:hAnsi="Times New Roman" w:cs="Times New Roman"/>
          <w:szCs w:val="24"/>
        </w:rPr>
        <w:t>Store</w:t>
      </w:r>
      <w:r w:rsidR="00D4766F" w:rsidRPr="00CA5509">
        <w:rPr>
          <w:rFonts w:ascii="Times New Roman" w:hAnsi="Times New Roman" w:cs="Times New Roman"/>
          <w:szCs w:val="24"/>
        </w:rPr>
        <w:t xml:space="preserve"> (6 Vestfrost MK 304,</w:t>
      </w:r>
      <w:r w:rsidR="00B71E09" w:rsidRPr="00CA5509">
        <w:rPr>
          <w:rFonts w:ascii="Times New Roman" w:hAnsi="Times New Roman" w:cs="Times New Roman"/>
          <w:szCs w:val="24"/>
        </w:rPr>
        <w:t xml:space="preserve">and </w:t>
      </w:r>
      <w:r w:rsidR="00D4766F" w:rsidRPr="00CA5509">
        <w:rPr>
          <w:rFonts w:ascii="Times New Roman" w:hAnsi="Times New Roman" w:cs="Times New Roman"/>
          <w:szCs w:val="24"/>
        </w:rPr>
        <w:t>27 Haier HBC-200)</w:t>
      </w:r>
      <w:r w:rsidRPr="00CA5509">
        <w:rPr>
          <w:rFonts w:ascii="Times New Roman" w:eastAsia="Calibri" w:hAnsi="Times New Roman" w:cs="Times New Roman"/>
          <w:szCs w:val="24"/>
        </w:rPr>
        <w:t xml:space="preserve">. All </w:t>
      </w:r>
      <w:r w:rsidR="004B2D93" w:rsidRPr="00CA5509">
        <w:rPr>
          <w:rFonts w:ascii="Times New Roman" w:eastAsia="Calibri" w:hAnsi="Times New Roman" w:cs="Times New Roman"/>
          <w:szCs w:val="24"/>
        </w:rPr>
        <w:t xml:space="preserve">these </w:t>
      </w:r>
      <w:r w:rsidRPr="00CA5509">
        <w:rPr>
          <w:rFonts w:ascii="Times New Roman" w:eastAsia="Calibri" w:hAnsi="Times New Roman" w:cs="Times New Roman"/>
          <w:szCs w:val="24"/>
        </w:rPr>
        <w:t xml:space="preserve">ILRs have a total net volume of </w:t>
      </w:r>
      <w:r w:rsidR="00D4766F" w:rsidRPr="00CA5509">
        <w:rPr>
          <w:rFonts w:ascii="Times New Roman" w:hAnsi="Times New Roman" w:cs="Times New Roman"/>
          <w:szCs w:val="24"/>
        </w:rPr>
        <w:t>3,078</w:t>
      </w:r>
      <w:r w:rsidRPr="00CA5509">
        <w:rPr>
          <w:rFonts w:ascii="Times New Roman" w:eastAsia="Calibri" w:hAnsi="Times New Roman" w:cs="Times New Roman"/>
          <w:szCs w:val="24"/>
        </w:rPr>
        <w:t xml:space="preserve"> litres.</w:t>
      </w:r>
      <w:r w:rsidR="005815D1" w:rsidRPr="00CA5509">
        <w:rPr>
          <w:rFonts w:ascii="Times New Roman" w:hAnsi="Times New Roman" w:cs="Times New Roman"/>
          <w:szCs w:val="24"/>
        </w:rPr>
        <w:t xml:space="preserve"> The </w:t>
      </w:r>
      <w:r w:rsidR="005815D1" w:rsidRPr="00CA5509">
        <w:rPr>
          <w:rFonts w:ascii="Times New Roman" w:eastAsia="Calibri" w:hAnsi="Times New Roman" w:cs="Times New Roman"/>
          <w:szCs w:val="24"/>
        </w:rPr>
        <w:t xml:space="preserve">ILRs </w:t>
      </w:r>
      <w:r w:rsidR="005815D1" w:rsidRPr="00CA5509">
        <w:rPr>
          <w:rFonts w:ascii="Times New Roman" w:hAnsi="Times New Roman" w:cs="Times New Roman"/>
          <w:szCs w:val="24"/>
        </w:rPr>
        <w:t xml:space="preserve">would be </w:t>
      </w:r>
      <w:r w:rsidR="005815D1" w:rsidRPr="00CA5509">
        <w:rPr>
          <w:rFonts w:ascii="Times New Roman" w:eastAsia="Calibri" w:hAnsi="Times New Roman" w:cs="Times New Roman"/>
          <w:szCs w:val="24"/>
        </w:rPr>
        <w:t>replace</w:t>
      </w:r>
      <w:r w:rsidR="005815D1" w:rsidRPr="00CA5509">
        <w:rPr>
          <w:rFonts w:ascii="Times New Roman" w:hAnsi="Times New Roman" w:cs="Times New Roman"/>
          <w:szCs w:val="24"/>
        </w:rPr>
        <w:t>d</w:t>
      </w:r>
      <w:r w:rsidR="005815D1" w:rsidRPr="00CA5509">
        <w:rPr>
          <w:rFonts w:ascii="Times New Roman" w:eastAsia="Calibri" w:hAnsi="Times New Roman" w:cs="Times New Roman"/>
          <w:szCs w:val="24"/>
        </w:rPr>
        <w:t xml:space="preserve"> </w:t>
      </w:r>
      <w:r w:rsidR="005815D1" w:rsidRPr="00CA5509">
        <w:rPr>
          <w:rFonts w:ascii="Times New Roman" w:hAnsi="Times New Roman" w:cs="Times New Roman"/>
          <w:szCs w:val="24"/>
        </w:rPr>
        <w:t xml:space="preserve">by </w:t>
      </w:r>
      <w:r w:rsidR="005815D1" w:rsidRPr="00CA5509">
        <w:rPr>
          <w:rFonts w:ascii="Times New Roman" w:eastAsia="Calibri" w:hAnsi="Times New Roman" w:cs="Times New Roman"/>
          <w:szCs w:val="24"/>
        </w:rPr>
        <w:t>the cold room</w:t>
      </w:r>
      <w:r w:rsidR="005815D1" w:rsidRPr="00CA5509">
        <w:rPr>
          <w:rFonts w:ascii="Times New Roman" w:hAnsi="Times New Roman" w:cs="Times New Roman"/>
          <w:szCs w:val="24"/>
        </w:rPr>
        <w:t xml:space="preserve"> and </w:t>
      </w:r>
      <w:r w:rsidR="00DD0CFF" w:rsidRPr="00CA5509">
        <w:rPr>
          <w:rFonts w:ascii="Times New Roman" w:hAnsi="Times New Roman" w:cs="Times New Roman"/>
          <w:szCs w:val="24"/>
        </w:rPr>
        <w:t xml:space="preserve">will </w:t>
      </w:r>
      <w:r w:rsidR="00D4766F" w:rsidRPr="00CA5509">
        <w:rPr>
          <w:rFonts w:ascii="Times New Roman" w:hAnsi="Times New Roman" w:cs="Times New Roman"/>
          <w:szCs w:val="24"/>
        </w:rPr>
        <w:t xml:space="preserve">be shifted to lower levels where need cold chain volume. </w:t>
      </w:r>
    </w:p>
    <w:p w:rsidR="00D4766F" w:rsidRPr="00CA5509" w:rsidRDefault="00D4766F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4766F" w:rsidRPr="00CA5509" w:rsidRDefault="00CE1C6F" w:rsidP="00B71E09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 xml:space="preserve">The </w:t>
      </w:r>
      <w:r w:rsidR="00D4766F" w:rsidRPr="00CA5509">
        <w:rPr>
          <w:rFonts w:ascii="Times New Roman" w:hAnsi="Times New Roman" w:cs="Times New Roman"/>
          <w:szCs w:val="24"/>
        </w:rPr>
        <w:t xml:space="preserve">MoH Mongolia procured </w:t>
      </w:r>
      <w:r w:rsidR="005815D1" w:rsidRPr="00CA5509">
        <w:rPr>
          <w:rFonts w:ascii="Times New Roman" w:hAnsi="Times New Roman" w:cs="Times New Roman"/>
          <w:szCs w:val="24"/>
        </w:rPr>
        <w:t xml:space="preserve">new </w:t>
      </w:r>
      <w:r w:rsidR="00D4766F" w:rsidRPr="00CA5509">
        <w:rPr>
          <w:rFonts w:ascii="Times New Roman" w:hAnsi="Times New Roman" w:cs="Times New Roman"/>
          <w:szCs w:val="24"/>
        </w:rPr>
        <w:t>30 ILRs in 2013</w:t>
      </w:r>
      <w:r w:rsidR="00DD0CFF" w:rsidRPr="00CA5509">
        <w:rPr>
          <w:rFonts w:ascii="Times New Roman" w:hAnsi="Times New Roman" w:cs="Times New Roman"/>
          <w:szCs w:val="24"/>
        </w:rPr>
        <w:t>,</w:t>
      </w:r>
      <w:r w:rsidR="009D5F7E" w:rsidRPr="00CA5509">
        <w:rPr>
          <w:rFonts w:ascii="Times New Roman" w:hAnsi="Times New Roman" w:cs="Times New Roman"/>
          <w:szCs w:val="24"/>
        </w:rPr>
        <w:t xml:space="preserve"> </w:t>
      </w:r>
      <w:r w:rsidR="004B2D93" w:rsidRPr="00CA5509">
        <w:rPr>
          <w:rFonts w:ascii="Times New Roman" w:hAnsi="Times New Roman" w:cs="Times New Roman"/>
          <w:szCs w:val="24"/>
        </w:rPr>
        <w:t xml:space="preserve">the </w:t>
      </w:r>
      <w:r w:rsidR="00DD0CFF" w:rsidRPr="00CA5509">
        <w:rPr>
          <w:rFonts w:ascii="Times New Roman" w:hAnsi="Times New Roman" w:cs="Times New Roman"/>
          <w:szCs w:val="24"/>
        </w:rPr>
        <w:t xml:space="preserve">WHO 22 </w:t>
      </w:r>
      <w:r w:rsidR="004B2D93" w:rsidRPr="00CA5509">
        <w:rPr>
          <w:rFonts w:ascii="Times New Roman" w:hAnsi="Times New Roman" w:cs="Times New Roman"/>
          <w:szCs w:val="24"/>
        </w:rPr>
        <w:t xml:space="preserve">ILRs (MK 074) </w:t>
      </w:r>
      <w:r w:rsidR="00DD0CFF" w:rsidRPr="00CA5509">
        <w:rPr>
          <w:rFonts w:ascii="Times New Roman" w:hAnsi="Times New Roman" w:cs="Times New Roman"/>
          <w:szCs w:val="24"/>
        </w:rPr>
        <w:t xml:space="preserve">and plus 18 </w:t>
      </w:r>
      <w:r w:rsidR="004B2D93" w:rsidRPr="00CA5509">
        <w:rPr>
          <w:rFonts w:ascii="Times New Roman" w:hAnsi="Times New Roman" w:cs="Times New Roman"/>
          <w:szCs w:val="24"/>
        </w:rPr>
        <w:t xml:space="preserve">ILRs (MK 074) </w:t>
      </w:r>
      <w:r w:rsidR="00DD0CFF" w:rsidRPr="00CA5509">
        <w:rPr>
          <w:rFonts w:ascii="Times New Roman" w:hAnsi="Times New Roman" w:cs="Times New Roman"/>
          <w:szCs w:val="24"/>
        </w:rPr>
        <w:t>by the UNICEF for immunization units</w:t>
      </w:r>
      <w:r w:rsidR="004B2D93" w:rsidRPr="00CA5509">
        <w:rPr>
          <w:rFonts w:ascii="Times New Roman" w:hAnsi="Times New Roman" w:cs="Times New Roman"/>
          <w:szCs w:val="24"/>
        </w:rPr>
        <w:t xml:space="preserve"> of PCV demonstration sites and its focus areas</w:t>
      </w:r>
      <w:r w:rsidR="00D4766F" w:rsidRPr="00CA5509">
        <w:rPr>
          <w:rFonts w:ascii="Times New Roman" w:hAnsi="Times New Roman" w:cs="Times New Roman"/>
          <w:szCs w:val="24"/>
        </w:rPr>
        <w:t>. The</w:t>
      </w:r>
      <w:r w:rsidR="00B71E09" w:rsidRPr="00CA5509">
        <w:rPr>
          <w:rFonts w:ascii="Times New Roman" w:hAnsi="Times New Roman" w:cs="Times New Roman"/>
          <w:szCs w:val="24"/>
        </w:rPr>
        <w:t>se new</w:t>
      </w:r>
      <w:r w:rsidR="00D4766F" w:rsidRPr="00CA5509">
        <w:rPr>
          <w:rFonts w:ascii="Times New Roman" w:hAnsi="Times New Roman" w:cs="Times New Roman"/>
          <w:szCs w:val="24"/>
        </w:rPr>
        <w:t xml:space="preserve"> ILRs </w:t>
      </w:r>
      <w:r w:rsidR="004B2D93" w:rsidRPr="00CA5509">
        <w:rPr>
          <w:rFonts w:ascii="Times New Roman" w:hAnsi="Times New Roman" w:cs="Times New Roman"/>
          <w:szCs w:val="24"/>
        </w:rPr>
        <w:t>will be located at</w:t>
      </w:r>
      <w:r w:rsidR="00D4766F" w:rsidRPr="00CA5509">
        <w:rPr>
          <w:rFonts w:ascii="Times New Roman" w:hAnsi="Times New Roman" w:cs="Times New Roman"/>
          <w:szCs w:val="24"/>
        </w:rPr>
        <w:t xml:space="preserve"> lower levels</w:t>
      </w:r>
      <w:r w:rsidR="00B71E09" w:rsidRPr="00CA5509">
        <w:rPr>
          <w:rFonts w:ascii="Times New Roman" w:hAnsi="Times New Roman" w:cs="Times New Roman"/>
          <w:szCs w:val="24"/>
        </w:rPr>
        <w:t xml:space="preserve"> of immunization units</w:t>
      </w:r>
      <w:r w:rsidR="00D4766F" w:rsidRPr="00CA5509">
        <w:rPr>
          <w:rFonts w:ascii="Times New Roman" w:hAnsi="Times New Roman" w:cs="Times New Roman"/>
          <w:szCs w:val="24"/>
        </w:rPr>
        <w:t xml:space="preserve"> where need cold chain volume</w:t>
      </w:r>
      <w:r w:rsidR="004B2D93" w:rsidRPr="00CA5509">
        <w:rPr>
          <w:rFonts w:ascii="Times New Roman" w:hAnsi="Times New Roman" w:cs="Times New Roman"/>
          <w:szCs w:val="24"/>
        </w:rPr>
        <w:t xml:space="preserve"> and replacements</w:t>
      </w:r>
      <w:r w:rsidR="00D4766F" w:rsidRPr="00CA5509">
        <w:rPr>
          <w:rFonts w:ascii="Times New Roman" w:hAnsi="Times New Roman" w:cs="Times New Roman"/>
          <w:szCs w:val="24"/>
        </w:rPr>
        <w:t xml:space="preserve">.   </w:t>
      </w:r>
    </w:p>
    <w:p w:rsidR="0034484E" w:rsidRPr="00CA5509" w:rsidRDefault="0034484E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815D1" w:rsidRPr="00CA5509" w:rsidRDefault="005815D1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>According to the replacement p</w:t>
      </w:r>
      <w:r w:rsidR="00AF3857" w:rsidRPr="00CA5509">
        <w:rPr>
          <w:rFonts w:ascii="Times New Roman" w:hAnsi="Times New Roman" w:cs="Times New Roman"/>
          <w:szCs w:val="24"/>
        </w:rPr>
        <w:t xml:space="preserve">lan of cold chain equipments every year </w:t>
      </w:r>
      <w:r w:rsidR="004B2D93" w:rsidRPr="00CA5509">
        <w:rPr>
          <w:rFonts w:ascii="Times New Roman" w:hAnsi="Times New Roman" w:cs="Times New Roman"/>
          <w:szCs w:val="24"/>
        </w:rPr>
        <w:t xml:space="preserve">the </w:t>
      </w:r>
      <w:r w:rsidR="00AF3857" w:rsidRPr="00CA5509">
        <w:rPr>
          <w:rFonts w:ascii="Times New Roman" w:hAnsi="Times New Roman" w:cs="Times New Roman"/>
          <w:szCs w:val="24"/>
        </w:rPr>
        <w:t>MoH</w:t>
      </w:r>
      <w:r w:rsidRPr="00CA5509">
        <w:rPr>
          <w:rFonts w:ascii="Times New Roman" w:hAnsi="Times New Roman" w:cs="Times New Roman"/>
          <w:szCs w:val="24"/>
        </w:rPr>
        <w:t xml:space="preserve"> wi</w:t>
      </w:r>
      <w:r w:rsidR="00AF3857" w:rsidRPr="00CA5509">
        <w:rPr>
          <w:rFonts w:ascii="Times New Roman" w:hAnsi="Times New Roman" w:cs="Times New Roman"/>
          <w:szCs w:val="24"/>
        </w:rPr>
        <w:t xml:space="preserve">ll </w:t>
      </w:r>
      <w:r w:rsidR="00F7035E" w:rsidRPr="00CA5509">
        <w:rPr>
          <w:rFonts w:ascii="Times New Roman" w:hAnsi="Times New Roman" w:cs="Times New Roman"/>
          <w:szCs w:val="24"/>
        </w:rPr>
        <w:t>procure</w:t>
      </w:r>
      <w:r w:rsidR="00AF3857" w:rsidRPr="00CA5509">
        <w:rPr>
          <w:rFonts w:ascii="Times New Roman" w:hAnsi="Times New Roman" w:cs="Times New Roman"/>
          <w:szCs w:val="24"/>
        </w:rPr>
        <w:t xml:space="preserve"> 30-50 of refrigerators</w:t>
      </w:r>
      <w:r w:rsidR="004B2D93" w:rsidRPr="00CA5509">
        <w:rPr>
          <w:rFonts w:ascii="Times New Roman" w:hAnsi="Times New Roman" w:cs="Times New Roman"/>
          <w:szCs w:val="24"/>
        </w:rPr>
        <w:t xml:space="preserve"> newly to replace unrepairable ILRs</w:t>
      </w:r>
      <w:r w:rsidR="00AF3857" w:rsidRPr="00CA5509">
        <w:rPr>
          <w:rFonts w:ascii="Times New Roman" w:hAnsi="Times New Roman" w:cs="Times New Roman"/>
          <w:szCs w:val="24"/>
        </w:rPr>
        <w:t xml:space="preserve">. </w:t>
      </w:r>
    </w:p>
    <w:p w:rsidR="00AF3857" w:rsidRPr="00CA5509" w:rsidRDefault="00AF3857" w:rsidP="00B71E09">
      <w:pPr>
        <w:pStyle w:val="ListParagraph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F2CC0" w:rsidRPr="00CA5509" w:rsidRDefault="00B0176D" w:rsidP="00B71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 xml:space="preserve">If Pfizer donation on PCV -13 vaccines </w:t>
      </w:r>
      <w:r w:rsidR="00F21FC3" w:rsidRPr="00CA5509">
        <w:rPr>
          <w:rFonts w:ascii="Times New Roman" w:hAnsi="Times New Roman" w:cs="Times New Roman"/>
          <w:szCs w:val="24"/>
        </w:rPr>
        <w:t xml:space="preserve">is </w:t>
      </w:r>
      <w:r w:rsidRPr="00CA5509">
        <w:rPr>
          <w:rFonts w:ascii="Times New Roman" w:hAnsi="Times New Roman" w:cs="Times New Roman"/>
          <w:szCs w:val="24"/>
        </w:rPr>
        <w:t>not available</w:t>
      </w:r>
      <w:r w:rsidR="00F21FC3" w:rsidRPr="00CA5509">
        <w:rPr>
          <w:rFonts w:ascii="Times New Roman" w:hAnsi="Times New Roman" w:cs="Times New Roman"/>
          <w:szCs w:val="24"/>
        </w:rPr>
        <w:t xml:space="preserve">, the </w:t>
      </w:r>
      <w:r w:rsidRPr="00CA5509">
        <w:rPr>
          <w:rFonts w:ascii="Times New Roman" w:hAnsi="Times New Roman" w:cs="Times New Roman"/>
          <w:szCs w:val="24"/>
        </w:rPr>
        <w:t>MOH</w:t>
      </w:r>
      <w:r w:rsidR="00CD6FF5" w:rsidRPr="00CA5509">
        <w:rPr>
          <w:rFonts w:ascii="Times New Roman" w:hAnsi="Times New Roman" w:cs="Times New Roman"/>
          <w:szCs w:val="24"/>
        </w:rPr>
        <w:t xml:space="preserve"> of Mongolia</w:t>
      </w:r>
      <w:r w:rsidR="00F21FC3" w:rsidRPr="00CA5509">
        <w:rPr>
          <w:rFonts w:ascii="Times New Roman" w:hAnsi="Times New Roman" w:cs="Times New Roman"/>
          <w:szCs w:val="24"/>
        </w:rPr>
        <w:t xml:space="preserve"> will</w:t>
      </w:r>
      <w:r w:rsidRPr="00CA5509">
        <w:rPr>
          <w:rFonts w:ascii="Times New Roman" w:hAnsi="Times New Roman" w:cs="Times New Roman"/>
          <w:szCs w:val="24"/>
        </w:rPr>
        <w:t xml:space="preserve"> pay </w:t>
      </w:r>
      <w:r w:rsidR="00AF3857" w:rsidRPr="00CA5509">
        <w:rPr>
          <w:rFonts w:ascii="Times New Roman" w:hAnsi="Times New Roman" w:cs="Times New Roman"/>
          <w:szCs w:val="24"/>
        </w:rPr>
        <w:t xml:space="preserve">for </w:t>
      </w:r>
      <w:r w:rsidRPr="00CA5509">
        <w:rPr>
          <w:rFonts w:ascii="Times New Roman" w:hAnsi="Times New Roman" w:cs="Times New Roman"/>
          <w:szCs w:val="24"/>
        </w:rPr>
        <w:t>120</w:t>
      </w:r>
      <w:r w:rsidR="00CD6FF5" w:rsidRPr="00CA5509">
        <w:rPr>
          <w:rFonts w:ascii="Times New Roman" w:hAnsi="Times New Roman" w:cs="Times New Roman"/>
          <w:szCs w:val="24"/>
        </w:rPr>
        <w:t>,000</w:t>
      </w:r>
      <w:r w:rsidR="00AF3857" w:rsidRPr="00CA5509">
        <w:rPr>
          <w:rFonts w:ascii="Times New Roman" w:hAnsi="Times New Roman" w:cs="Times New Roman"/>
          <w:szCs w:val="24"/>
        </w:rPr>
        <w:t xml:space="preserve"> of</w:t>
      </w:r>
      <w:r w:rsidRPr="00CA5509">
        <w:rPr>
          <w:rFonts w:ascii="Times New Roman" w:hAnsi="Times New Roman" w:cs="Times New Roman"/>
          <w:szCs w:val="24"/>
        </w:rPr>
        <w:t xml:space="preserve"> </w:t>
      </w:r>
      <w:r w:rsidR="00AF3857" w:rsidRPr="00CA5509">
        <w:rPr>
          <w:rFonts w:ascii="Times New Roman" w:hAnsi="Times New Roman" w:cs="Times New Roman"/>
          <w:szCs w:val="24"/>
        </w:rPr>
        <w:t xml:space="preserve">PCV-13 </w:t>
      </w:r>
      <w:r w:rsidRPr="00CA5509">
        <w:rPr>
          <w:rFonts w:ascii="Times New Roman" w:hAnsi="Times New Roman" w:cs="Times New Roman"/>
          <w:szCs w:val="24"/>
        </w:rPr>
        <w:t xml:space="preserve">vaccines </w:t>
      </w:r>
      <w:r w:rsidR="004B2D93" w:rsidRPr="00CA5509">
        <w:rPr>
          <w:rFonts w:ascii="Times New Roman" w:hAnsi="Times New Roman" w:cs="Times New Roman"/>
          <w:szCs w:val="24"/>
        </w:rPr>
        <w:t>at</w:t>
      </w:r>
      <w:r w:rsidR="00CD6FF5" w:rsidRPr="00CA5509">
        <w:rPr>
          <w:rFonts w:ascii="Times New Roman" w:hAnsi="Times New Roman" w:cs="Times New Roman"/>
          <w:szCs w:val="24"/>
        </w:rPr>
        <w:t xml:space="preserve"> AMC price </w:t>
      </w:r>
      <w:r w:rsidRPr="00CA5509">
        <w:rPr>
          <w:rFonts w:ascii="Times New Roman" w:hAnsi="Times New Roman" w:cs="Times New Roman"/>
          <w:szCs w:val="24"/>
        </w:rPr>
        <w:t>and safety devices</w:t>
      </w:r>
      <w:r w:rsidR="005815D1" w:rsidRPr="00CA5509">
        <w:rPr>
          <w:rFonts w:ascii="Times New Roman" w:hAnsi="Times New Roman" w:cs="Times New Roman"/>
          <w:szCs w:val="24"/>
        </w:rPr>
        <w:t xml:space="preserve"> for the selected 2 districts</w:t>
      </w:r>
      <w:r w:rsidR="00F21FC3" w:rsidRPr="00CA5509">
        <w:rPr>
          <w:rFonts w:ascii="Times New Roman" w:hAnsi="Times New Roman" w:cs="Times New Roman"/>
          <w:szCs w:val="24"/>
        </w:rPr>
        <w:t xml:space="preserve"> for PCV demonstration</w:t>
      </w:r>
      <w:r w:rsidR="00AF3857" w:rsidRPr="00CA5509">
        <w:rPr>
          <w:rFonts w:ascii="Times New Roman" w:hAnsi="Times New Roman" w:cs="Times New Roman"/>
          <w:szCs w:val="24"/>
        </w:rPr>
        <w:t xml:space="preserve"> in 2014</w:t>
      </w:r>
      <w:r w:rsidR="00CD6FF5" w:rsidRPr="00CA5509">
        <w:rPr>
          <w:rFonts w:ascii="Times New Roman" w:hAnsi="Times New Roman" w:cs="Times New Roman"/>
          <w:szCs w:val="24"/>
        </w:rPr>
        <w:t xml:space="preserve">. </w:t>
      </w:r>
    </w:p>
    <w:p w:rsidR="00B71E09" w:rsidRPr="00CA5509" w:rsidRDefault="00B71E09" w:rsidP="00B71E0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C3B0C" w:rsidRPr="00CA5509" w:rsidRDefault="002C3B0C" w:rsidP="00B71E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 xml:space="preserve">In Mongolia, </w:t>
      </w:r>
      <w:r w:rsidR="00CA5509" w:rsidRPr="00CA5509">
        <w:rPr>
          <w:rFonts w:ascii="Times New Roman" w:hAnsi="Times New Roman" w:cs="Times New Roman"/>
          <w:szCs w:val="24"/>
        </w:rPr>
        <w:t>the</w:t>
      </w:r>
      <w:r w:rsidR="00F21FC3" w:rsidRPr="00CA5509">
        <w:rPr>
          <w:rFonts w:ascii="Times New Roman" w:hAnsi="Times New Roman" w:cs="Times New Roman"/>
          <w:szCs w:val="24"/>
        </w:rPr>
        <w:t xml:space="preserve"> </w:t>
      </w:r>
      <w:r w:rsidRPr="00CA5509">
        <w:rPr>
          <w:rFonts w:ascii="Times New Roman" w:hAnsi="Times New Roman" w:cs="Times New Roman"/>
          <w:szCs w:val="24"/>
        </w:rPr>
        <w:t xml:space="preserve">waste which </w:t>
      </w:r>
      <w:r w:rsidR="00F21FC3" w:rsidRPr="00CA5509">
        <w:rPr>
          <w:rFonts w:ascii="Times New Roman" w:hAnsi="Times New Roman" w:cs="Times New Roman"/>
          <w:szCs w:val="24"/>
        </w:rPr>
        <w:t xml:space="preserve">is </w:t>
      </w:r>
      <w:r w:rsidRPr="00CA5509">
        <w:rPr>
          <w:rFonts w:ascii="Times New Roman" w:hAnsi="Times New Roman" w:cs="Times New Roman"/>
          <w:szCs w:val="24"/>
        </w:rPr>
        <w:t xml:space="preserve">generated due to immunization activities </w:t>
      </w:r>
      <w:r w:rsidR="00F21FC3" w:rsidRPr="00CA5509">
        <w:rPr>
          <w:rFonts w:ascii="Times New Roman" w:hAnsi="Times New Roman" w:cs="Times New Roman"/>
          <w:szCs w:val="24"/>
        </w:rPr>
        <w:t xml:space="preserve">should be </w:t>
      </w:r>
      <w:r w:rsidRPr="00CA5509">
        <w:rPr>
          <w:rFonts w:ascii="Times New Roman" w:hAnsi="Times New Roman" w:cs="Times New Roman"/>
          <w:szCs w:val="24"/>
        </w:rPr>
        <w:t xml:space="preserve">disposed in accordance with Ministerial order No.359 approved on 7 November 2011. </w:t>
      </w:r>
      <w:r w:rsidR="00F21FC3" w:rsidRPr="00CA5509">
        <w:rPr>
          <w:rFonts w:ascii="Times New Roman" w:hAnsi="Times New Roman" w:cs="Times New Roman"/>
          <w:szCs w:val="24"/>
        </w:rPr>
        <w:t xml:space="preserve">The following Provisions are legally </w:t>
      </w:r>
      <w:r w:rsidR="00CA5509" w:rsidRPr="00CA5509">
        <w:rPr>
          <w:rFonts w:ascii="Times New Roman" w:hAnsi="Times New Roman" w:cs="Times New Roman"/>
          <w:szCs w:val="24"/>
        </w:rPr>
        <w:t>enforced</w:t>
      </w:r>
      <w:r w:rsidR="00F21FC3" w:rsidRPr="00CA5509">
        <w:rPr>
          <w:rFonts w:ascii="Times New Roman" w:hAnsi="Times New Roman" w:cs="Times New Roman"/>
          <w:szCs w:val="24"/>
        </w:rPr>
        <w:t xml:space="preserve"> as per</w:t>
      </w:r>
      <w:r w:rsidR="004B2D93" w:rsidRPr="00CA5509">
        <w:rPr>
          <w:rFonts w:ascii="Times New Roman" w:hAnsi="Times New Roman" w:cs="Times New Roman"/>
          <w:szCs w:val="24"/>
        </w:rPr>
        <w:t xml:space="preserve"> the</w:t>
      </w:r>
      <w:r w:rsidR="00F21FC3" w:rsidRPr="00CA5509">
        <w:rPr>
          <w:rFonts w:ascii="Times New Roman" w:hAnsi="Times New Roman" w:cs="Times New Roman"/>
          <w:szCs w:val="24"/>
        </w:rPr>
        <w:t xml:space="preserve"> Minister’s decree:  </w:t>
      </w:r>
      <w:r w:rsidRPr="00CA5509">
        <w:rPr>
          <w:rFonts w:ascii="Times New Roman" w:hAnsi="Times New Roman" w:cs="Times New Roman"/>
          <w:szCs w:val="24"/>
        </w:rPr>
        <w:t xml:space="preserve"> </w:t>
      </w:r>
    </w:p>
    <w:p w:rsidR="002C3B0C" w:rsidRPr="00CA5509" w:rsidRDefault="002C3B0C" w:rsidP="00B71E0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A5509">
        <w:rPr>
          <w:rFonts w:ascii="Times New Roman" w:hAnsi="Times New Roman"/>
          <w:sz w:val="24"/>
          <w:szCs w:val="24"/>
          <w:lang w:val="mn-MN"/>
        </w:rPr>
        <w:t>3.</w:t>
      </w:r>
      <w:r w:rsidRPr="00CA5509">
        <w:rPr>
          <w:rFonts w:ascii="Times New Roman" w:hAnsi="Times New Roman"/>
          <w:sz w:val="24"/>
          <w:szCs w:val="24"/>
        </w:rPr>
        <w:t>1</w:t>
      </w:r>
      <w:r w:rsidRPr="00CA5509">
        <w:rPr>
          <w:rFonts w:ascii="Times New Roman" w:hAnsi="Times New Roman"/>
          <w:sz w:val="24"/>
          <w:szCs w:val="24"/>
          <w:lang w:val="mn-MN"/>
        </w:rPr>
        <w:t xml:space="preserve">. </w:t>
      </w:r>
      <w:r w:rsidRPr="00CA5509">
        <w:rPr>
          <w:rFonts w:ascii="Times New Roman" w:hAnsi="Times New Roman"/>
          <w:sz w:val="24"/>
          <w:szCs w:val="24"/>
        </w:rPr>
        <w:t xml:space="preserve">In urban area with dedicated waste management mechanism the following steps should be complied to disinfect and manage the waste of vaccine and bio preparation. </w:t>
      </w:r>
    </w:p>
    <w:p w:rsidR="002C3B0C" w:rsidRPr="00CA5509" w:rsidRDefault="002C3B0C" w:rsidP="00B71E09">
      <w:pPr>
        <w:pStyle w:val="ListParagraph"/>
        <w:ind w:left="1440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  <w:lang w:val="mn-MN"/>
        </w:rPr>
        <w:t>3.</w:t>
      </w:r>
      <w:r w:rsidRPr="00CA5509">
        <w:rPr>
          <w:rFonts w:ascii="Times New Roman" w:hAnsi="Times New Roman" w:cs="Times New Roman"/>
          <w:szCs w:val="24"/>
        </w:rPr>
        <w:t>1</w:t>
      </w:r>
      <w:r w:rsidRPr="00CA5509">
        <w:rPr>
          <w:rFonts w:ascii="Times New Roman" w:hAnsi="Times New Roman" w:cs="Times New Roman"/>
          <w:szCs w:val="24"/>
          <w:lang w:val="mn-MN"/>
        </w:rPr>
        <w:t xml:space="preserve">.1. </w:t>
      </w:r>
      <w:r w:rsidRPr="00CA5509">
        <w:rPr>
          <w:rFonts w:ascii="Times New Roman" w:hAnsi="Times New Roman" w:cs="Times New Roman"/>
          <w:szCs w:val="24"/>
        </w:rPr>
        <w:t>To disinfect items in high pressure saturated steam at 132 °C for around 30 minutes (autoclave)</w:t>
      </w:r>
    </w:p>
    <w:p w:rsidR="002C3B0C" w:rsidRPr="00CA5509" w:rsidRDefault="002C3B0C" w:rsidP="00B71E09">
      <w:pPr>
        <w:pStyle w:val="ListParagraph"/>
        <w:ind w:left="1440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  <w:lang w:val="mn-MN"/>
        </w:rPr>
        <w:t>3.</w:t>
      </w:r>
      <w:r w:rsidRPr="00CA5509">
        <w:rPr>
          <w:rFonts w:ascii="Times New Roman" w:hAnsi="Times New Roman" w:cs="Times New Roman"/>
          <w:szCs w:val="24"/>
        </w:rPr>
        <w:t>1</w:t>
      </w:r>
      <w:r w:rsidRPr="00CA5509">
        <w:rPr>
          <w:rFonts w:ascii="Times New Roman" w:hAnsi="Times New Roman" w:cs="Times New Roman"/>
          <w:szCs w:val="24"/>
          <w:lang w:val="mn-MN"/>
        </w:rPr>
        <w:t xml:space="preserve">.2. </w:t>
      </w:r>
      <w:r w:rsidRPr="00CA5509">
        <w:rPr>
          <w:rFonts w:ascii="Times New Roman" w:hAnsi="Times New Roman" w:cs="Times New Roman"/>
          <w:szCs w:val="24"/>
        </w:rPr>
        <w:t xml:space="preserve">To smash </w:t>
      </w:r>
      <w:r w:rsidR="00F77921" w:rsidRPr="00CA5509">
        <w:rPr>
          <w:rFonts w:ascii="Times New Roman" w:hAnsi="Times New Roman" w:cs="Times New Roman"/>
          <w:szCs w:val="24"/>
        </w:rPr>
        <w:t xml:space="preserve">sharps and hard items </w:t>
      </w:r>
      <w:r w:rsidRPr="00CA5509">
        <w:rPr>
          <w:rFonts w:ascii="Times New Roman" w:hAnsi="Times New Roman" w:cs="Times New Roman"/>
          <w:szCs w:val="24"/>
        </w:rPr>
        <w:t>using the crusher</w:t>
      </w:r>
    </w:p>
    <w:p w:rsidR="002C3B0C" w:rsidRPr="00CA5509" w:rsidRDefault="002C3B0C" w:rsidP="00B71E09">
      <w:pPr>
        <w:pStyle w:val="ListParagraph"/>
        <w:ind w:left="1440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  <w:lang w:val="mn-MN"/>
        </w:rPr>
        <w:t>3.</w:t>
      </w:r>
      <w:r w:rsidRPr="00CA5509">
        <w:rPr>
          <w:rFonts w:ascii="Times New Roman" w:hAnsi="Times New Roman" w:cs="Times New Roman"/>
          <w:szCs w:val="24"/>
        </w:rPr>
        <w:t>1</w:t>
      </w:r>
      <w:r w:rsidRPr="00CA5509">
        <w:rPr>
          <w:rFonts w:ascii="Times New Roman" w:hAnsi="Times New Roman" w:cs="Times New Roman"/>
          <w:szCs w:val="24"/>
          <w:lang w:val="mn-MN"/>
        </w:rPr>
        <w:t xml:space="preserve">.3. </w:t>
      </w:r>
      <w:r w:rsidRPr="00CA5509">
        <w:rPr>
          <w:rFonts w:ascii="Times New Roman" w:hAnsi="Times New Roman" w:cs="Times New Roman"/>
          <w:szCs w:val="24"/>
        </w:rPr>
        <w:t xml:space="preserve">To disinfect wastes produced by the crusher using chemical disinfectants such as chlorine lime, calcium hypochlorite, chlorine beta-naphthol, benzyl chlorine phenol, quaternary ammonium compounds etc. and then to bury it in  2 meters </w:t>
      </w:r>
      <w:r w:rsidR="00B71E09" w:rsidRPr="00CA5509">
        <w:rPr>
          <w:rFonts w:ascii="Times New Roman" w:hAnsi="Times New Roman" w:cs="Times New Roman"/>
          <w:szCs w:val="24"/>
        </w:rPr>
        <w:t xml:space="preserve">or above deep </w:t>
      </w:r>
      <w:r w:rsidRPr="00CA5509">
        <w:rPr>
          <w:rFonts w:ascii="Times New Roman" w:hAnsi="Times New Roman" w:cs="Times New Roman"/>
          <w:szCs w:val="24"/>
        </w:rPr>
        <w:t xml:space="preserve">hole.    </w:t>
      </w:r>
    </w:p>
    <w:p w:rsidR="002C3B0C" w:rsidRPr="00CA5509" w:rsidRDefault="002C3B0C" w:rsidP="00B71E09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2C3B0C" w:rsidRPr="00CA5509" w:rsidRDefault="002C3B0C" w:rsidP="00B71E09">
      <w:pPr>
        <w:pStyle w:val="ListParagraph"/>
        <w:ind w:left="810"/>
        <w:jc w:val="both"/>
        <w:rPr>
          <w:rFonts w:ascii="Times New Roman" w:hAnsi="Times New Roman" w:cs="Times New Roman"/>
          <w:szCs w:val="24"/>
        </w:rPr>
      </w:pPr>
    </w:p>
    <w:p w:rsidR="002C3B0C" w:rsidRPr="00AB5885" w:rsidRDefault="00AB5885" w:rsidP="00AB5885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C3B0C" w:rsidRPr="00AB5885">
        <w:rPr>
          <w:rFonts w:ascii="Times New Roman" w:hAnsi="Times New Roman"/>
          <w:szCs w:val="24"/>
        </w:rPr>
        <w:t xml:space="preserve">In area without dedicated waste management mechanism </w:t>
      </w:r>
      <w:r w:rsidR="00CA5509" w:rsidRPr="00AB5885">
        <w:rPr>
          <w:rFonts w:ascii="Times New Roman" w:hAnsi="Times New Roman"/>
          <w:szCs w:val="24"/>
        </w:rPr>
        <w:t xml:space="preserve">including rural area </w:t>
      </w:r>
      <w:r w:rsidR="002C3B0C" w:rsidRPr="00AB5885">
        <w:rPr>
          <w:rFonts w:ascii="Times New Roman" w:hAnsi="Times New Roman"/>
          <w:szCs w:val="24"/>
        </w:rPr>
        <w:t>the following steps should be complied to disinfect and manage the waste of vaccine and bio preparation.</w:t>
      </w:r>
    </w:p>
    <w:p w:rsidR="002C3B0C" w:rsidRPr="00CA5509" w:rsidRDefault="002C3B0C" w:rsidP="00AB58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>To disinfect items in high pressure saturated steam at 132 °C/</w:t>
      </w:r>
      <w:r w:rsidRPr="00CA5509">
        <w:rPr>
          <w:rFonts w:ascii="Times New Roman" w:hAnsi="Times New Roman" w:cs="Times New Roman"/>
          <w:spacing w:val="-3"/>
          <w:szCs w:val="24"/>
        </w:rPr>
        <w:t xml:space="preserve"> approximately 2 atmosphere pressure</w:t>
      </w:r>
      <w:r w:rsidRPr="00CA5509">
        <w:rPr>
          <w:rFonts w:ascii="Times New Roman" w:hAnsi="Times New Roman" w:cs="Times New Roman"/>
          <w:szCs w:val="24"/>
        </w:rPr>
        <w:t xml:space="preserve"> for around 30 minutes (autoclave)</w:t>
      </w:r>
    </w:p>
    <w:p w:rsidR="002C3B0C" w:rsidRPr="00AB5885" w:rsidRDefault="002C3B0C" w:rsidP="00AB5885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Cs w:val="24"/>
        </w:rPr>
      </w:pPr>
      <w:r w:rsidRPr="00AB5885">
        <w:rPr>
          <w:rFonts w:ascii="Times New Roman" w:hAnsi="Times New Roman"/>
          <w:szCs w:val="24"/>
        </w:rPr>
        <w:t xml:space="preserve"> To smash after the disinfection and bury it in 30 cm </w:t>
      </w:r>
      <w:r w:rsidR="00B71E09" w:rsidRPr="00AB5885">
        <w:rPr>
          <w:rFonts w:ascii="Times New Roman" w:hAnsi="Times New Roman"/>
          <w:szCs w:val="24"/>
        </w:rPr>
        <w:t xml:space="preserve">deep </w:t>
      </w:r>
      <w:r w:rsidRPr="00AB5885">
        <w:rPr>
          <w:rFonts w:ascii="Times New Roman" w:hAnsi="Times New Roman"/>
          <w:szCs w:val="24"/>
        </w:rPr>
        <w:t xml:space="preserve">hole in centralized waste place.   </w:t>
      </w:r>
    </w:p>
    <w:p w:rsidR="004B2D93" w:rsidRPr="00CA5509" w:rsidRDefault="002C3B0C" w:rsidP="00E5121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A5509">
        <w:rPr>
          <w:rFonts w:ascii="Times New Roman" w:hAnsi="Times New Roman"/>
          <w:sz w:val="24"/>
          <w:szCs w:val="24"/>
        </w:rPr>
        <w:t>This process will be followed in the rural areas and providing the autoclave for health care settings in rural area has been done step by step.</w:t>
      </w:r>
      <w:r w:rsidR="00CA5509" w:rsidRPr="00CA5509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4B2D93" w:rsidRPr="00CA5509">
        <w:rPr>
          <w:rFonts w:ascii="Times New Roman" w:hAnsi="Times New Roman"/>
          <w:sz w:val="24"/>
          <w:szCs w:val="24"/>
        </w:rPr>
        <w:t xml:space="preserve">The </w:t>
      </w:r>
      <w:r w:rsidR="00CE1C6F" w:rsidRPr="00CA5509">
        <w:rPr>
          <w:rFonts w:ascii="Times New Roman" w:hAnsi="Times New Roman"/>
          <w:sz w:val="24"/>
          <w:szCs w:val="24"/>
        </w:rPr>
        <w:t xml:space="preserve">country Multi Year Plan on immunization planned </w:t>
      </w:r>
      <w:r w:rsidR="004B2D93" w:rsidRPr="00CA5509">
        <w:rPr>
          <w:rFonts w:ascii="Times New Roman" w:hAnsi="Times New Roman"/>
          <w:sz w:val="24"/>
          <w:szCs w:val="24"/>
        </w:rPr>
        <w:t>the follow</w:t>
      </w:r>
      <w:r w:rsidR="00E5121B">
        <w:rPr>
          <w:rFonts w:ascii="Times New Roman" w:hAnsi="Times New Roman"/>
          <w:sz w:val="24"/>
          <w:szCs w:val="24"/>
        </w:rPr>
        <w:t>ing budget for safety and waste</w:t>
      </w:r>
      <w:r w:rsidR="004B2D93" w:rsidRPr="00CA5509">
        <w:rPr>
          <w:rFonts w:ascii="Times New Roman" w:hAnsi="Times New Roman"/>
          <w:sz w:val="24"/>
          <w:szCs w:val="24"/>
        </w:rPr>
        <w:t xml:space="preserve"> management of the immunization activities which will be reflected in the local and central budget of the MOH accordingly</w:t>
      </w:r>
      <w:r w:rsidR="00B71E09" w:rsidRPr="00CA5509">
        <w:rPr>
          <w:rFonts w:ascii="Times New Roman" w:hAnsi="Times New Roman"/>
          <w:sz w:val="24"/>
          <w:szCs w:val="24"/>
        </w:rPr>
        <w:t xml:space="preserve"> from 2015</w:t>
      </w:r>
      <w:r w:rsidR="004B2D93" w:rsidRPr="00CA5509">
        <w:rPr>
          <w:rFonts w:ascii="Times New Roman" w:hAnsi="Times New Roman"/>
          <w:sz w:val="24"/>
          <w:szCs w:val="24"/>
        </w:rPr>
        <w:t xml:space="preserve">: </w:t>
      </w:r>
    </w:p>
    <w:p w:rsidR="004B2D93" w:rsidRPr="00CA5509" w:rsidRDefault="004B2D93" w:rsidP="00B71E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1170"/>
        <w:gridCol w:w="1170"/>
        <w:gridCol w:w="1260"/>
        <w:gridCol w:w="1260"/>
        <w:gridCol w:w="1188"/>
      </w:tblGrid>
      <w:tr w:rsidR="002C3B0C" w:rsidRPr="00CA5509" w:rsidTr="006A4455">
        <w:tc>
          <w:tcPr>
            <w:tcW w:w="46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CA5509">
              <w:rPr>
                <w:rFonts w:ascii="Times New Roman" w:hAnsi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0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Program component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C3B0C" w:rsidRPr="00CA5509" w:rsidTr="006A4455">
        <w:trPr>
          <w:trHeight w:val="602"/>
        </w:trPr>
        <w:tc>
          <w:tcPr>
            <w:tcW w:w="46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Autoclave installation for all province and districts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51000$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68000$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102000$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136000$</w:t>
            </w:r>
          </w:p>
        </w:tc>
        <w:tc>
          <w:tcPr>
            <w:tcW w:w="118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145000$</w:t>
            </w:r>
          </w:p>
        </w:tc>
      </w:tr>
      <w:tr w:rsidR="002C3B0C" w:rsidRPr="00CA5509" w:rsidTr="006A4455">
        <w:tc>
          <w:tcPr>
            <w:tcW w:w="46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Maintenance and running  costs for waste management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7650$</w:t>
            </w:r>
          </w:p>
        </w:tc>
        <w:tc>
          <w:tcPr>
            <w:tcW w:w="117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17850$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33150$</w:t>
            </w:r>
          </w:p>
        </w:tc>
        <w:tc>
          <w:tcPr>
            <w:tcW w:w="1260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53550$</w:t>
            </w:r>
          </w:p>
        </w:tc>
        <w:tc>
          <w:tcPr>
            <w:tcW w:w="1188" w:type="dxa"/>
            <w:vAlign w:val="center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60000$</w:t>
            </w:r>
          </w:p>
        </w:tc>
      </w:tr>
      <w:tr w:rsidR="002C3B0C" w:rsidRPr="00CA5509" w:rsidTr="006A4455">
        <w:tc>
          <w:tcPr>
            <w:tcW w:w="468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85650$</w:t>
            </w:r>
          </w:p>
        </w:tc>
        <w:tc>
          <w:tcPr>
            <w:tcW w:w="1170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85850$</w:t>
            </w:r>
          </w:p>
        </w:tc>
        <w:tc>
          <w:tcPr>
            <w:tcW w:w="1260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135105$</w:t>
            </w:r>
          </w:p>
        </w:tc>
        <w:tc>
          <w:tcPr>
            <w:tcW w:w="1260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189550$</w:t>
            </w:r>
          </w:p>
        </w:tc>
        <w:tc>
          <w:tcPr>
            <w:tcW w:w="1188" w:type="dxa"/>
          </w:tcPr>
          <w:p w:rsidR="002C3B0C" w:rsidRPr="00CA5509" w:rsidRDefault="002C3B0C" w:rsidP="00B7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09">
              <w:rPr>
                <w:rFonts w:ascii="Times New Roman" w:hAnsi="Times New Roman"/>
                <w:sz w:val="24"/>
                <w:szCs w:val="24"/>
              </w:rPr>
              <w:t>205000$</w:t>
            </w:r>
          </w:p>
        </w:tc>
      </w:tr>
    </w:tbl>
    <w:p w:rsidR="00AF3857" w:rsidRPr="00CA5509" w:rsidRDefault="00AF3857" w:rsidP="00B71E09">
      <w:pPr>
        <w:jc w:val="both"/>
        <w:rPr>
          <w:rFonts w:ascii="Times New Roman" w:hAnsi="Times New Roman"/>
          <w:sz w:val="24"/>
          <w:szCs w:val="24"/>
        </w:rPr>
      </w:pPr>
    </w:p>
    <w:p w:rsidR="004B2D93" w:rsidRPr="00CA5509" w:rsidRDefault="00B71E09" w:rsidP="00B71E09">
      <w:pPr>
        <w:pStyle w:val="ListParagraph"/>
        <w:ind w:left="810"/>
        <w:jc w:val="both"/>
        <w:rPr>
          <w:rFonts w:ascii="Times New Roman" w:hAnsi="Times New Roman" w:cs="Times New Roman"/>
          <w:szCs w:val="24"/>
        </w:rPr>
      </w:pPr>
      <w:r w:rsidRPr="00CA5509">
        <w:rPr>
          <w:rFonts w:ascii="Times New Roman" w:hAnsi="Times New Roman" w:cs="Times New Roman"/>
          <w:szCs w:val="24"/>
        </w:rPr>
        <w:t>Currently a</w:t>
      </w:r>
      <w:r w:rsidR="004B2D93" w:rsidRPr="00CA5509">
        <w:rPr>
          <w:rFonts w:ascii="Times New Roman" w:hAnsi="Times New Roman" w:cs="Times New Roman"/>
          <w:szCs w:val="24"/>
        </w:rPr>
        <w:t>ll immunization units in Ulaanbaatar city have contract</w:t>
      </w:r>
      <w:r w:rsidRPr="00CA5509">
        <w:rPr>
          <w:rFonts w:ascii="Times New Roman" w:hAnsi="Times New Roman" w:cs="Times New Roman"/>
          <w:szCs w:val="24"/>
        </w:rPr>
        <w:t>ed</w:t>
      </w:r>
      <w:r w:rsidR="004B2D93" w:rsidRPr="00CA5509">
        <w:rPr>
          <w:rFonts w:ascii="Times New Roman" w:hAnsi="Times New Roman" w:cs="Times New Roman"/>
          <w:szCs w:val="24"/>
        </w:rPr>
        <w:t xml:space="preserve"> with “Element”</w:t>
      </w:r>
      <w:r w:rsidRPr="00CA5509">
        <w:rPr>
          <w:rFonts w:ascii="Times New Roman" w:hAnsi="Times New Roman" w:cs="Times New Roman"/>
          <w:szCs w:val="24"/>
        </w:rPr>
        <w:t>, a private</w:t>
      </w:r>
      <w:r w:rsidR="004B2D93" w:rsidRPr="00CA5509">
        <w:rPr>
          <w:rFonts w:ascii="Times New Roman" w:hAnsi="Times New Roman" w:cs="Times New Roman"/>
          <w:szCs w:val="24"/>
        </w:rPr>
        <w:t xml:space="preserve"> company. This company is responsible for disinfecting and managing the wastes from immunization units</w:t>
      </w:r>
      <w:r w:rsidRPr="00CA5509">
        <w:rPr>
          <w:rFonts w:ascii="Times New Roman" w:hAnsi="Times New Roman" w:cs="Times New Roman"/>
          <w:szCs w:val="24"/>
        </w:rPr>
        <w:t xml:space="preserve">. Now the </w:t>
      </w:r>
      <w:r w:rsidR="00597191">
        <w:rPr>
          <w:rFonts w:ascii="Times New Roman" w:hAnsi="Times New Roman" w:cs="Times New Roman"/>
          <w:szCs w:val="24"/>
        </w:rPr>
        <w:t>‘</w:t>
      </w:r>
      <w:r w:rsidRPr="00CA5509">
        <w:rPr>
          <w:rFonts w:ascii="Times New Roman" w:hAnsi="Times New Roman" w:cs="Times New Roman"/>
          <w:szCs w:val="24"/>
        </w:rPr>
        <w:t>Element</w:t>
      </w:r>
      <w:r w:rsidR="00597191">
        <w:rPr>
          <w:rFonts w:ascii="Times New Roman" w:hAnsi="Times New Roman" w:cs="Times New Roman"/>
          <w:szCs w:val="24"/>
        </w:rPr>
        <w:t>’</w:t>
      </w:r>
      <w:r w:rsidRPr="00CA5509">
        <w:rPr>
          <w:rFonts w:ascii="Times New Roman" w:hAnsi="Times New Roman" w:cs="Times New Roman"/>
          <w:szCs w:val="24"/>
        </w:rPr>
        <w:t xml:space="preserve"> company</w:t>
      </w:r>
      <w:r w:rsidR="00597191">
        <w:rPr>
          <w:rFonts w:ascii="Times New Roman" w:hAnsi="Times New Roman" w:cs="Times New Roman"/>
          <w:szCs w:val="24"/>
        </w:rPr>
        <w:t xml:space="preserve"> </w:t>
      </w:r>
      <w:r w:rsidRPr="00CA5509">
        <w:rPr>
          <w:rFonts w:ascii="Times New Roman" w:hAnsi="Times New Roman" w:cs="Times New Roman"/>
          <w:szCs w:val="24"/>
        </w:rPr>
        <w:t>performs the function</w:t>
      </w:r>
      <w:r w:rsidR="004B2D93" w:rsidRPr="00CA5509">
        <w:rPr>
          <w:rFonts w:ascii="Times New Roman" w:hAnsi="Times New Roman" w:cs="Times New Roman"/>
          <w:szCs w:val="24"/>
        </w:rPr>
        <w:t xml:space="preserve">.  </w:t>
      </w:r>
    </w:p>
    <w:p w:rsidR="004B2D93" w:rsidRPr="00CA5509" w:rsidRDefault="004B2D93" w:rsidP="00B71E09">
      <w:pPr>
        <w:jc w:val="both"/>
        <w:rPr>
          <w:rFonts w:ascii="Times New Roman" w:hAnsi="Times New Roman"/>
          <w:sz w:val="24"/>
          <w:szCs w:val="24"/>
        </w:rPr>
      </w:pPr>
    </w:p>
    <w:sectPr w:rsidR="004B2D93" w:rsidRPr="00CA5509" w:rsidSect="003F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on">
    <w:panose1 w:val="020B0500000000000000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3B2"/>
    <w:multiLevelType w:val="multilevel"/>
    <w:tmpl w:val="E4A67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B2F2B5E"/>
    <w:multiLevelType w:val="multilevel"/>
    <w:tmpl w:val="406CF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57266B0"/>
    <w:multiLevelType w:val="multilevel"/>
    <w:tmpl w:val="5A20D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A"/>
    <w:rsid w:val="00021F6D"/>
    <w:rsid w:val="0007040D"/>
    <w:rsid w:val="0008486F"/>
    <w:rsid w:val="000D128D"/>
    <w:rsid w:val="000F6329"/>
    <w:rsid w:val="001F5C7E"/>
    <w:rsid w:val="00212046"/>
    <w:rsid w:val="002C3B0C"/>
    <w:rsid w:val="0034484E"/>
    <w:rsid w:val="003F0458"/>
    <w:rsid w:val="00401833"/>
    <w:rsid w:val="00415D33"/>
    <w:rsid w:val="004B2D93"/>
    <w:rsid w:val="005801C0"/>
    <w:rsid w:val="005815D1"/>
    <w:rsid w:val="0058577D"/>
    <w:rsid w:val="00597191"/>
    <w:rsid w:val="006B3425"/>
    <w:rsid w:val="00882AAA"/>
    <w:rsid w:val="008A778A"/>
    <w:rsid w:val="008C341F"/>
    <w:rsid w:val="00993DBD"/>
    <w:rsid w:val="009D5F7E"/>
    <w:rsid w:val="00AB5885"/>
    <w:rsid w:val="00AE1E60"/>
    <w:rsid w:val="00AF3857"/>
    <w:rsid w:val="00B0176D"/>
    <w:rsid w:val="00B71E09"/>
    <w:rsid w:val="00B9462B"/>
    <w:rsid w:val="00C276D2"/>
    <w:rsid w:val="00CA5509"/>
    <w:rsid w:val="00CD6FF5"/>
    <w:rsid w:val="00CE1C6F"/>
    <w:rsid w:val="00D4766F"/>
    <w:rsid w:val="00DD0CFF"/>
    <w:rsid w:val="00E5121B"/>
    <w:rsid w:val="00F21FC3"/>
    <w:rsid w:val="00F7035E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on" w:eastAsiaTheme="minorHAnsi" w:hAnsi="Arial Mo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F5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33"/>
    <w:pPr>
      <w:spacing w:after="200"/>
      <w:ind w:left="720"/>
      <w:contextualSpacing/>
    </w:pPr>
    <w:rPr>
      <w:rFonts w:ascii="Arial Mon" w:eastAsiaTheme="minorHAnsi" w:hAnsi="Arial Mo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on" w:eastAsiaTheme="minorHAnsi" w:hAnsi="Arial Mo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F5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33"/>
    <w:pPr>
      <w:spacing w:after="200"/>
      <w:ind w:left="720"/>
      <w:contextualSpacing/>
    </w:pPr>
    <w:rPr>
      <w:rFonts w:ascii="Arial Mon" w:eastAsiaTheme="minorHAnsi" w:hAnsi="Arial Mo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5FD2-8367-4A6C-98EE-5E88A42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2014-01-03T06:22:00Z</cp:lastPrinted>
  <dcterms:created xsi:type="dcterms:W3CDTF">2014-01-05T07:03:00Z</dcterms:created>
  <dcterms:modified xsi:type="dcterms:W3CDTF">2014-01-05T07:03:00Z</dcterms:modified>
</cp:coreProperties>
</file>