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C4" w:rsidRDefault="00237C61" w:rsidP="00237C61">
      <w:pPr>
        <w:jc w:val="center"/>
        <w:rPr>
          <w:b/>
          <w:sz w:val="28"/>
          <w:szCs w:val="28"/>
        </w:rPr>
      </w:pPr>
      <w:r w:rsidRPr="00237C61">
        <w:rPr>
          <w:b/>
          <w:sz w:val="28"/>
          <w:szCs w:val="28"/>
        </w:rPr>
        <w:t>COUNTRY REPLIES TO THE IRC FOR RESUBMISSION</w:t>
      </w:r>
    </w:p>
    <w:p w:rsidR="00237C61" w:rsidRDefault="00237C61" w:rsidP="00237C61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37C61" w:rsidTr="00237C61">
        <w:tc>
          <w:tcPr>
            <w:tcW w:w="4788" w:type="dxa"/>
          </w:tcPr>
          <w:p w:rsidR="00237C61" w:rsidRDefault="00BD71F6" w:rsidP="00BD7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4788" w:type="dxa"/>
          </w:tcPr>
          <w:p w:rsidR="00237C61" w:rsidRDefault="00BD71F6" w:rsidP="00237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</w:t>
            </w:r>
          </w:p>
        </w:tc>
      </w:tr>
      <w:tr w:rsidR="00237C61" w:rsidTr="00237C61">
        <w:tc>
          <w:tcPr>
            <w:tcW w:w="4788" w:type="dxa"/>
          </w:tcPr>
          <w:p w:rsidR="00237C61" w:rsidRPr="00BD71F6" w:rsidRDefault="00BD71F6" w:rsidP="00BD7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Clarify budget assumptions with unit costs</w:t>
            </w:r>
          </w:p>
        </w:tc>
        <w:tc>
          <w:tcPr>
            <w:tcW w:w="4788" w:type="dxa"/>
          </w:tcPr>
          <w:p w:rsidR="00237C61" w:rsidRDefault="00BD71F6" w:rsidP="00BD7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column on the Budget template has been provided </w:t>
            </w:r>
            <w:r w:rsidR="00807C5F">
              <w:rPr>
                <w:sz w:val="28"/>
                <w:szCs w:val="28"/>
              </w:rPr>
              <w:t>on the unit costs with explanatory notes</w:t>
            </w:r>
            <w:r>
              <w:rPr>
                <w:sz w:val="28"/>
                <w:szCs w:val="28"/>
              </w:rPr>
              <w:t xml:space="preserve"> under the Budget. Clarification for training items is as follows:</w:t>
            </w:r>
          </w:p>
          <w:p w:rsidR="00BD71F6" w:rsidRDefault="00BD71F6" w:rsidP="00BD71F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3.2.2.1</w:t>
            </w:r>
            <w:r w:rsidRPr="00BD71F6">
              <w:rPr>
                <w:sz w:val="28"/>
                <w:szCs w:val="28"/>
              </w:rPr>
              <w:t>Training of Cold Chain Assistants</w:t>
            </w:r>
            <w:r>
              <w:rPr>
                <w:sz w:val="28"/>
                <w:szCs w:val="28"/>
              </w:rPr>
              <w:t xml:space="preserve"> – A total of </w:t>
            </w:r>
            <w:r w:rsidR="006C081E">
              <w:rPr>
                <w:sz w:val="28"/>
                <w:szCs w:val="28"/>
              </w:rPr>
              <w:t xml:space="preserve">24 cold chain assistants will be trained 4 from the national level and 2 from each of the 10 districts. Meals and accommodation will be $180 per person multiplied by 5 days of training it will be $900 </w:t>
            </w:r>
          </w:p>
          <w:p w:rsidR="006C081E" w:rsidRDefault="00AD63DA" w:rsidP="00BD71F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-Costs for the Impact Study and DQA</w:t>
            </w:r>
          </w:p>
          <w:p w:rsidR="00AD63DA" w:rsidRDefault="00AD63DA" w:rsidP="00AD63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been extrapolated from other experiences undertaking similar studies which will require field work as well. They have been reduced from the previous figure to fit into the budget.</w:t>
            </w:r>
          </w:p>
          <w:p w:rsidR="00AD63DA" w:rsidRPr="00BD71F6" w:rsidRDefault="00AD63DA" w:rsidP="00AD63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-$45</w:t>
            </w:r>
            <w:r w:rsidR="00224509">
              <w:rPr>
                <w:sz w:val="28"/>
                <w:szCs w:val="28"/>
              </w:rPr>
              <w:t>,000 is provision for the pool provided to mitigate weaknesses in health information system and drug supply chain management</w:t>
            </w:r>
          </w:p>
        </w:tc>
      </w:tr>
      <w:tr w:rsidR="00237C61" w:rsidTr="00237C61">
        <w:tc>
          <w:tcPr>
            <w:tcW w:w="4788" w:type="dxa"/>
          </w:tcPr>
          <w:p w:rsidR="00237C61" w:rsidRPr="00224509" w:rsidRDefault="00224509" w:rsidP="0022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 source and explanation on how 17,449 unimmunized children less than I  year was derived</w:t>
            </w:r>
          </w:p>
        </w:tc>
        <w:tc>
          <w:tcPr>
            <w:tcW w:w="4788" w:type="dxa"/>
          </w:tcPr>
          <w:p w:rsidR="00237C61" w:rsidRPr="00224509" w:rsidRDefault="00224509" w:rsidP="007B0D1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Lesotho Ministry of Health 2011 EPI Report. It is the number of children who did not complete their schedule of 3 doses of P</w:t>
            </w:r>
            <w:r w:rsidR="007B0D16">
              <w:rPr>
                <w:sz w:val="28"/>
                <w:szCs w:val="28"/>
              </w:rPr>
              <w:t>entavalent.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37C61" w:rsidTr="00237C61">
        <w:tc>
          <w:tcPr>
            <w:tcW w:w="4788" w:type="dxa"/>
          </w:tcPr>
          <w:p w:rsidR="00237C61" w:rsidRPr="007B0D16" w:rsidRDefault="007B0D16" w:rsidP="007B0D16">
            <w:pPr>
              <w:rPr>
                <w:sz w:val="28"/>
                <w:szCs w:val="28"/>
              </w:rPr>
            </w:pPr>
            <w:r w:rsidRPr="007B0D16">
              <w:rPr>
                <w:sz w:val="28"/>
                <w:szCs w:val="28"/>
              </w:rPr>
              <w:t xml:space="preserve">Explain the impact of </w:t>
            </w:r>
            <w:r>
              <w:rPr>
                <w:sz w:val="28"/>
                <w:szCs w:val="28"/>
              </w:rPr>
              <w:t>outreach services in hard to reach populations on immunization coverage.</w:t>
            </w:r>
          </w:p>
        </w:tc>
        <w:tc>
          <w:tcPr>
            <w:tcW w:w="4788" w:type="dxa"/>
          </w:tcPr>
          <w:p w:rsidR="000216F2" w:rsidRDefault="00A25D6C" w:rsidP="0022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assumption of the proposal is based on the premise that </w:t>
            </w:r>
          </w:p>
          <w:p w:rsidR="00237C61" w:rsidRPr="00A25D6C" w:rsidRDefault="00A25D6C" w:rsidP="00021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children</w:t>
            </w:r>
            <w:proofErr w:type="gramEnd"/>
            <w:r>
              <w:rPr>
                <w:sz w:val="28"/>
                <w:szCs w:val="28"/>
              </w:rPr>
              <w:t xml:space="preserve"> who do not present to our health facilities for immunization face accessibility challenges which can only </w:t>
            </w:r>
            <w:r>
              <w:rPr>
                <w:sz w:val="28"/>
                <w:szCs w:val="28"/>
              </w:rPr>
              <w:lastRenderedPageBreak/>
              <w:t xml:space="preserve">be met </w:t>
            </w:r>
            <w:r w:rsidR="00626338">
              <w:rPr>
                <w:sz w:val="28"/>
                <w:szCs w:val="28"/>
              </w:rPr>
              <w:t>through outreach services. We estimate half of the unimmunized to be reached through the outreach by 4x4</w:t>
            </w:r>
            <w:r w:rsidR="000216F2">
              <w:rPr>
                <w:sz w:val="28"/>
                <w:szCs w:val="28"/>
              </w:rPr>
              <w:t xml:space="preserve"> and</w:t>
            </w:r>
            <w:r w:rsidR="00626338">
              <w:rPr>
                <w:sz w:val="28"/>
                <w:szCs w:val="28"/>
              </w:rPr>
              <w:t xml:space="preserve"> </w:t>
            </w:r>
            <w:r w:rsidR="000216F2">
              <w:rPr>
                <w:sz w:val="28"/>
                <w:szCs w:val="28"/>
              </w:rPr>
              <w:t>nurses sleeping overnight to reach out to the ones who can make it to outreach areas.</w:t>
            </w:r>
          </w:p>
        </w:tc>
      </w:tr>
    </w:tbl>
    <w:p w:rsidR="00237C61" w:rsidRPr="00237C61" w:rsidRDefault="00237C61" w:rsidP="00237C61">
      <w:pPr>
        <w:jc w:val="center"/>
        <w:rPr>
          <w:b/>
          <w:sz w:val="28"/>
          <w:szCs w:val="28"/>
        </w:rPr>
      </w:pPr>
    </w:p>
    <w:sectPr w:rsidR="00237C61" w:rsidRPr="00237C61" w:rsidSect="00BD0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6938"/>
    <w:multiLevelType w:val="hybridMultilevel"/>
    <w:tmpl w:val="A32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7C61"/>
    <w:rsid w:val="000216F2"/>
    <w:rsid w:val="00224509"/>
    <w:rsid w:val="00237C61"/>
    <w:rsid w:val="00626338"/>
    <w:rsid w:val="006C081E"/>
    <w:rsid w:val="007B0D16"/>
    <w:rsid w:val="00807C5F"/>
    <w:rsid w:val="00A25D6C"/>
    <w:rsid w:val="00AD63DA"/>
    <w:rsid w:val="00BD0CC4"/>
    <w:rsid w:val="00BD71F6"/>
    <w:rsid w:val="00C8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khuele</dc:creator>
  <cp:keywords/>
  <dc:description/>
  <cp:lastModifiedBy>khuele</cp:lastModifiedBy>
  <cp:revision>2</cp:revision>
  <dcterms:created xsi:type="dcterms:W3CDTF">2013-10-25T12:13:00Z</dcterms:created>
  <dcterms:modified xsi:type="dcterms:W3CDTF">2013-10-25T12:13:00Z</dcterms:modified>
</cp:coreProperties>
</file>