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520"/>
        <w:gridCol w:w="1409"/>
        <w:gridCol w:w="2954"/>
        <w:gridCol w:w="2425"/>
        <w:gridCol w:w="591"/>
        <w:gridCol w:w="769"/>
        <w:gridCol w:w="62"/>
        <w:gridCol w:w="43"/>
      </w:tblGrid>
      <w:tr w:rsidR="00000000">
        <w:tblPrEx>
          <w:tblCellMar>
            <w:top w:w="0" w:type="dxa"/>
            <w:left w:w="0" w:type="dxa"/>
            <w:bottom w:w="0" w:type="dxa"/>
            <w:right w:w="0" w:type="dxa"/>
          </w:tblCellMar>
        </w:tblPrEx>
        <w:trPr>
          <w:trHeight w:val="47"/>
        </w:trPr>
        <w:tc>
          <w:tcPr>
            <w:tcW w:w="2462" w:type="dxa"/>
            <w:vMerge w:val="restart"/>
            <w:tcMar>
              <w:top w:w="0" w:type="dxa"/>
              <w:left w:w="0" w:type="dxa"/>
              <w:bottom w:w="0" w:type="dxa"/>
              <w:right w:w="0" w:type="dxa"/>
            </w:tcMar>
          </w:tcPr>
          <w:p w:rsidR="00000000" w:rsidRDefault="000D2E85">
            <w:bookmarkStart w:id="0" w:name="_GoBack"/>
            <w:bookmarkEnd w:id="0"/>
            <w:r>
              <w:rPr>
                <w:noProof/>
                <w:lang w:val="en-GB" w:eastAsia="en-GB"/>
              </w:rPr>
              <w:drawing>
                <wp:inline distT="0" distB="0" distL="0" distR="0">
                  <wp:extent cx="1565275" cy="892175"/>
                  <wp:effectExtent l="19050" t="19050" r="15875" b="22225"/>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892175"/>
                          </a:xfrm>
                          <a:prstGeom prst="rect">
                            <a:avLst/>
                          </a:prstGeom>
                          <a:noFill/>
                          <a:ln w="0" cmpd="sng">
                            <a:solidFill>
                              <a:srgbClr val="000000"/>
                            </a:solidFill>
                            <a:miter lim="800000"/>
                            <a:headEnd/>
                            <a:tailEnd/>
                          </a:ln>
                          <a:effectLst/>
                        </pic:spPr>
                      </pic:pic>
                    </a:graphicData>
                  </a:graphic>
                </wp:inline>
              </w:drawing>
            </w:r>
          </w:p>
        </w:tc>
        <w:tc>
          <w:tcPr>
            <w:tcW w:w="1417" w:type="dxa"/>
            <w:tcMar>
              <w:top w:w="0" w:type="dxa"/>
              <w:left w:w="0" w:type="dxa"/>
              <w:bottom w:w="0" w:type="dxa"/>
              <w:right w:w="0" w:type="dxa"/>
            </w:tcMar>
          </w:tcPr>
          <w:p w:rsidR="00000000" w:rsidRDefault="000D2E85">
            <w:pPr>
              <w:pStyle w:val="EmptyLayoutCell"/>
            </w:pPr>
          </w:p>
        </w:tc>
        <w:tc>
          <w:tcPr>
            <w:tcW w:w="2980" w:type="dxa"/>
            <w:tcMar>
              <w:top w:w="0" w:type="dxa"/>
              <w:left w:w="0" w:type="dxa"/>
              <w:bottom w:w="0" w:type="dxa"/>
              <w:right w:w="0" w:type="dxa"/>
            </w:tcMar>
          </w:tcPr>
          <w:p w:rsidR="00000000" w:rsidRDefault="000D2E85">
            <w:pPr>
              <w:pStyle w:val="EmptyLayoutCell"/>
            </w:pPr>
          </w:p>
        </w:tc>
        <w:tc>
          <w:tcPr>
            <w:tcW w:w="2438" w:type="dxa"/>
            <w:tcMar>
              <w:top w:w="0" w:type="dxa"/>
              <w:left w:w="0" w:type="dxa"/>
              <w:bottom w:w="0" w:type="dxa"/>
              <w:right w:w="0" w:type="dxa"/>
            </w:tcMar>
          </w:tcPr>
          <w:p w:rsidR="00000000" w:rsidRDefault="000D2E85">
            <w:pPr>
              <w:pStyle w:val="EmptyLayoutCell"/>
            </w:pPr>
          </w:p>
        </w:tc>
        <w:tc>
          <w:tcPr>
            <w:tcW w:w="596" w:type="dxa"/>
            <w:tcMar>
              <w:top w:w="0" w:type="dxa"/>
              <w:left w:w="0" w:type="dxa"/>
              <w:bottom w:w="0" w:type="dxa"/>
              <w:right w:w="0" w:type="dxa"/>
            </w:tcMar>
          </w:tcPr>
          <w:p w:rsidR="00000000" w:rsidRDefault="000D2E85">
            <w:pPr>
              <w:pStyle w:val="EmptyLayoutCell"/>
            </w:pPr>
          </w:p>
        </w:tc>
        <w:tc>
          <w:tcPr>
            <w:tcW w:w="771" w:type="dxa"/>
            <w:tcMar>
              <w:top w:w="0" w:type="dxa"/>
              <w:left w:w="0" w:type="dxa"/>
              <w:bottom w:w="0" w:type="dxa"/>
              <w:right w:w="0" w:type="dxa"/>
            </w:tcMar>
          </w:tcPr>
          <w:p w:rsidR="00000000" w:rsidRDefault="000D2E85">
            <w:pPr>
              <w:pStyle w:val="EmptyLayoutCell"/>
            </w:pPr>
          </w:p>
        </w:tc>
        <w:tc>
          <w:tcPr>
            <w:tcW w:w="62" w:type="dxa"/>
            <w:tcMar>
              <w:top w:w="0" w:type="dxa"/>
              <w:left w:w="0" w:type="dxa"/>
              <w:bottom w:w="0" w:type="dxa"/>
              <w:right w:w="0" w:type="dxa"/>
            </w:tcMar>
          </w:tcPr>
          <w:p w:rsidR="00000000" w:rsidRDefault="000D2E85">
            <w:pPr>
              <w:pStyle w:val="EmptyLayoutCell"/>
            </w:pPr>
          </w:p>
        </w:tc>
        <w:tc>
          <w:tcPr>
            <w:tcW w:w="43" w:type="dxa"/>
            <w:tcMar>
              <w:top w:w="0" w:type="dxa"/>
              <w:left w:w="0" w:type="dxa"/>
              <w:bottom w:w="0" w:type="dxa"/>
              <w:right w:w="0" w:type="dxa"/>
            </w:tcMar>
          </w:tcPr>
          <w:p w:rsidR="00000000" w:rsidRDefault="000D2E85">
            <w:pPr>
              <w:pStyle w:val="EmptyLayoutCell"/>
            </w:pPr>
          </w:p>
        </w:tc>
      </w:tr>
      <w:tr w:rsidR="000D2E85" w:rsidTr="000D2E85">
        <w:tblPrEx>
          <w:tblCellMar>
            <w:top w:w="0" w:type="dxa"/>
            <w:left w:w="0" w:type="dxa"/>
            <w:bottom w:w="0" w:type="dxa"/>
            <w:right w:w="0" w:type="dxa"/>
          </w:tblCellMar>
        </w:tblPrEx>
        <w:trPr>
          <w:trHeight w:val="235"/>
        </w:trPr>
        <w:tc>
          <w:tcPr>
            <w:tcW w:w="2462" w:type="dxa"/>
            <w:vMerge/>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833" w:type="dxa"/>
            <w:gridSpan w:val="2"/>
          </w:tcPr>
          <w:tbl>
            <w:tblPr>
              <w:tblW w:w="0" w:type="auto"/>
              <w:tblCellMar>
                <w:left w:w="0" w:type="dxa"/>
                <w:right w:w="0" w:type="dxa"/>
              </w:tblCellMar>
              <w:tblLook w:val="0000" w:firstRow="0" w:lastRow="0" w:firstColumn="0" w:lastColumn="0" w:noHBand="0" w:noVBand="0"/>
            </w:tblPr>
            <w:tblGrid>
              <w:gridCol w:w="831"/>
            </w:tblGrid>
            <w:tr w:rsidR="00000000">
              <w:tblPrEx>
                <w:tblCellMar>
                  <w:top w:w="0" w:type="dxa"/>
                  <w:left w:w="0" w:type="dxa"/>
                  <w:bottom w:w="0" w:type="dxa"/>
                  <w:right w:w="0" w:type="dxa"/>
                </w:tblCellMar>
              </w:tblPrEx>
              <w:trPr>
                <w:trHeight w:val="155"/>
              </w:trPr>
              <w:tc>
                <w:tcPr>
                  <w:tcW w:w="833" w:type="dxa"/>
                  <w:tcMar>
                    <w:top w:w="40" w:type="dxa"/>
                    <w:left w:w="40" w:type="dxa"/>
                    <w:bottom w:w="40" w:type="dxa"/>
                    <w:right w:w="40" w:type="dxa"/>
                  </w:tcMar>
                  <w:vAlign w:val="center"/>
                </w:tcPr>
                <w:p w:rsidR="00000000" w:rsidRDefault="000D2E85">
                  <w:pPr>
                    <w:jc w:val="center"/>
                  </w:pPr>
                  <w:r>
                    <w:rPr>
                      <w:rFonts w:ascii="Arial" w:eastAsia="Arial" w:hAnsi="Arial"/>
                      <w:i/>
                      <w:color w:val="000101"/>
                      <w:sz w:val="16"/>
                    </w:rPr>
                    <w:t>[V2.9]</w:t>
                  </w:r>
                </w:p>
              </w:tc>
            </w:tr>
          </w:tbl>
          <w:p w:rsidR="00000000" w:rsidRDefault="000D2E85"/>
        </w:tc>
        <w:tc>
          <w:tcPr>
            <w:tcW w:w="43" w:type="dxa"/>
          </w:tcPr>
          <w:p w:rsidR="00000000" w:rsidRDefault="000D2E85">
            <w:pPr>
              <w:pStyle w:val="EmptyLayoutCell"/>
            </w:pPr>
          </w:p>
        </w:tc>
      </w:tr>
      <w:tr w:rsidR="00000000">
        <w:tblPrEx>
          <w:tblCellMar>
            <w:top w:w="0" w:type="dxa"/>
            <w:left w:w="0" w:type="dxa"/>
            <w:bottom w:w="0" w:type="dxa"/>
            <w:right w:w="0" w:type="dxa"/>
          </w:tblCellMar>
        </w:tblPrEx>
        <w:trPr>
          <w:trHeight w:val="1142"/>
        </w:trPr>
        <w:tc>
          <w:tcPr>
            <w:tcW w:w="2462" w:type="dxa"/>
            <w:vMerge/>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40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32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i/>
                      <w:color w:val="000101"/>
                      <w:sz w:val="28"/>
                    </w:rPr>
                    <w:t>GAVI Alliance</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70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62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color w:val="000101"/>
                      <w:sz w:val="56"/>
                    </w:rPr>
                    <w:t>Formulaire de demande de soutien pour les réponses aux conditions des pays</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40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32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i/>
                      <w:color w:val="000101"/>
                      <w:sz w:val="28"/>
                    </w:rPr>
                    <w:t>Pour soutien à:</w:t>
                  </w:r>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i/>
                      <w:color w:val="000000"/>
                      <w:sz w:val="28"/>
                    </w:rPr>
                    <w:t>Soutien aux nouveaux vaccins (vaccination systématique)</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43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color w:val="000101"/>
                      <w:sz w:val="32"/>
                    </w:rPr>
                    <w:t>Soumis par</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685"/>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605"/>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color w:val="000101"/>
                      <w:sz w:val="56"/>
                    </w:rPr>
                    <w:t>Le Gouvernement de</w:t>
                  </w:r>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76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68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i/>
                      <w:color w:val="008080"/>
                      <w:sz w:val="56"/>
                    </w:rPr>
                    <w:t>Côte d'Ivoire</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43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color w:val="000000"/>
                      <w:sz w:val="32"/>
                    </w:rPr>
                    <w:t xml:space="preserve">Date de soumission: </w:t>
                  </w:r>
                  <w:r>
                    <w:rPr>
                      <w:rFonts w:ascii="Arial" w:eastAsia="Arial" w:hAnsi="Arial"/>
                      <w:b/>
                      <w:color w:val="000000"/>
                      <w:sz w:val="32"/>
                    </w:rPr>
                    <w:t>31/01/2013</w:t>
                  </w:r>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430"/>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color w:val="000000"/>
                      <w:sz w:val="28"/>
                      <w:u w:val="single"/>
                    </w:rPr>
                    <w:t>Délai de soumission: 01/02/2013</w:t>
                  </w:r>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355"/>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color w:val="000101"/>
                      <w:sz w:val="22"/>
                    </w:rPr>
                    <w:t>Sélectionnez l'année de début et de f</w:t>
                  </w:r>
                  <w:r>
                    <w:rPr>
                      <w:rFonts w:ascii="Arial" w:eastAsia="Arial" w:hAnsi="Arial"/>
                      <w:b/>
                      <w:color w:val="000101"/>
                      <w:sz w:val="22"/>
                    </w:rPr>
                    <w:t>in de votre Plan pluriannuel complet (PPAC)</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00000">
        <w:tblPrEx>
          <w:tblCellMar>
            <w:top w:w="0" w:type="dxa"/>
            <w:left w:w="0" w:type="dxa"/>
            <w:bottom w:w="0" w:type="dxa"/>
            <w:right w:w="0" w:type="dxa"/>
          </w:tblCellMar>
        </w:tblPrEx>
        <w:trPr>
          <w:trHeight w:val="15"/>
        </w:trPr>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000000">
              <w:tblPrEx>
                <w:tblCellMar>
                  <w:top w:w="0" w:type="dxa"/>
                  <w:left w:w="0" w:type="dxa"/>
                  <w:bottom w:w="0" w:type="dxa"/>
                  <w:right w:w="0" w:type="dxa"/>
                </w:tblCellMar>
              </w:tblPrEx>
              <w:trPr>
                <w:trHeight w:val="320"/>
              </w:trPr>
              <w:tc>
                <w:tcPr>
                  <w:tcW w:w="2462" w:type="dxa"/>
                  <w:tcMar>
                    <w:top w:w="40" w:type="dxa"/>
                    <w:left w:w="40" w:type="dxa"/>
                    <w:bottom w:w="40" w:type="dxa"/>
                    <w:right w:w="40" w:type="dxa"/>
                  </w:tcMar>
                  <w:vAlign w:val="center"/>
                </w:tcPr>
                <w:p w:rsidR="00000000" w:rsidRDefault="000D2E85">
                  <w:pPr>
                    <w:jc w:val="center"/>
                  </w:pPr>
                  <w:r>
                    <w:rPr>
                      <w:rFonts w:ascii="Arial" w:eastAsia="Arial" w:hAnsi="Arial"/>
                      <w:color w:val="000101"/>
                      <w:sz w:val="28"/>
                    </w:rPr>
                    <w:t>Année de début</w:t>
                  </w:r>
                </w:p>
              </w:tc>
            </w:tr>
          </w:tbl>
          <w:p w:rsidR="00000000" w:rsidRDefault="000D2E85"/>
        </w:tc>
        <w:tc>
          <w:tcPr>
            <w:tcW w:w="1417" w:type="dxa"/>
            <w:vMerge w:val="restart"/>
          </w:tcPr>
          <w:tbl>
            <w:tblPr>
              <w:tblW w:w="0" w:type="auto"/>
              <w:tblCellMar>
                <w:left w:w="0" w:type="dxa"/>
                <w:right w:w="0" w:type="dxa"/>
              </w:tblCellMar>
              <w:tblLook w:val="0000" w:firstRow="0" w:lastRow="0" w:firstColumn="0" w:lastColumn="0" w:noHBand="0" w:noVBand="0"/>
            </w:tblPr>
            <w:tblGrid>
              <w:gridCol w:w="1409"/>
            </w:tblGrid>
            <w:tr w:rsidR="00000000">
              <w:tblPrEx>
                <w:tblCellMar>
                  <w:top w:w="0" w:type="dxa"/>
                  <w:left w:w="0" w:type="dxa"/>
                  <w:bottom w:w="0" w:type="dxa"/>
                  <w:right w:w="0" w:type="dxa"/>
                </w:tblCellMar>
              </w:tblPrEx>
              <w:trPr>
                <w:trHeight w:val="320"/>
              </w:trPr>
              <w:tc>
                <w:tcPr>
                  <w:tcW w:w="1417" w:type="dxa"/>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22"/>
                    </w:rPr>
                    <w:t>2011</w:t>
                  </w:r>
                </w:p>
              </w:tc>
            </w:tr>
          </w:tbl>
          <w:p w:rsidR="00000000" w:rsidRDefault="000D2E85"/>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385"/>
        </w:trPr>
        <w:tc>
          <w:tcPr>
            <w:tcW w:w="2462" w:type="dxa"/>
            <w:vMerge/>
          </w:tcPr>
          <w:p w:rsidR="00000000" w:rsidRDefault="000D2E85">
            <w:pPr>
              <w:pStyle w:val="EmptyLayoutCell"/>
            </w:pPr>
          </w:p>
        </w:tc>
        <w:tc>
          <w:tcPr>
            <w:tcW w:w="1417" w:type="dxa"/>
            <w:vMerge/>
          </w:tcPr>
          <w:p w:rsidR="00000000" w:rsidRDefault="000D2E85">
            <w:pPr>
              <w:pStyle w:val="EmptyLayoutCell"/>
            </w:pPr>
          </w:p>
        </w:tc>
        <w:tc>
          <w:tcPr>
            <w:tcW w:w="2980" w:type="dxa"/>
          </w:tcPr>
          <w:p w:rsidR="00000000" w:rsidRDefault="000D2E85">
            <w:pPr>
              <w:pStyle w:val="EmptyLayoutCell"/>
            </w:pPr>
          </w:p>
        </w:tc>
        <w:tc>
          <w:tcPr>
            <w:tcW w:w="2438" w:type="dxa"/>
            <w:vMerge w:val="restart"/>
          </w:tcPr>
          <w:tbl>
            <w:tblPr>
              <w:tblW w:w="0" w:type="auto"/>
              <w:tblCellMar>
                <w:left w:w="0" w:type="dxa"/>
                <w:right w:w="0" w:type="dxa"/>
              </w:tblCellMar>
              <w:tblLook w:val="0000" w:firstRow="0" w:lastRow="0" w:firstColumn="0" w:lastColumn="0" w:noHBand="0" w:noVBand="0"/>
            </w:tblPr>
            <w:tblGrid>
              <w:gridCol w:w="2425"/>
            </w:tblGrid>
            <w:tr w:rsidR="00000000">
              <w:tblPrEx>
                <w:tblCellMar>
                  <w:top w:w="0" w:type="dxa"/>
                  <w:left w:w="0" w:type="dxa"/>
                  <w:bottom w:w="0" w:type="dxa"/>
                  <w:right w:w="0" w:type="dxa"/>
                </w:tblCellMar>
              </w:tblPrEx>
              <w:trPr>
                <w:trHeight w:val="320"/>
              </w:trPr>
              <w:tc>
                <w:tcPr>
                  <w:tcW w:w="2438" w:type="dxa"/>
                  <w:tcMar>
                    <w:top w:w="40" w:type="dxa"/>
                    <w:left w:w="40" w:type="dxa"/>
                    <w:bottom w:w="40" w:type="dxa"/>
                    <w:right w:w="40" w:type="dxa"/>
                  </w:tcMar>
                  <w:vAlign w:val="center"/>
                </w:tcPr>
                <w:p w:rsidR="00000000" w:rsidRDefault="000D2E85">
                  <w:pPr>
                    <w:jc w:val="center"/>
                  </w:pPr>
                  <w:r>
                    <w:rPr>
                      <w:rFonts w:ascii="Arial" w:eastAsia="Arial" w:hAnsi="Arial"/>
                      <w:color w:val="000101"/>
                      <w:sz w:val="28"/>
                    </w:rPr>
                    <w:t>Année de fin</w:t>
                  </w:r>
                </w:p>
              </w:tc>
            </w:tr>
          </w:tbl>
          <w:p w:rsidR="00000000" w:rsidRDefault="000D2E85"/>
        </w:tc>
        <w:tc>
          <w:tcPr>
            <w:tcW w:w="1367" w:type="dxa"/>
            <w:gridSpan w:val="2"/>
            <w:vMerge w:val="restart"/>
          </w:tcPr>
          <w:tbl>
            <w:tblPr>
              <w:tblW w:w="0" w:type="auto"/>
              <w:tblCellMar>
                <w:left w:w="0" w:type="dxa"/>
                <w:right w:w="0" w:type="dxa"/>
              </w:tblCellMar>
              <w:tblLook w:val="0000" w:firstRow="0" w:lastRow="0" w:firstColumn="0" w:lastColumn="0" w:noHBand="0" w:noVBand="0"/>
            </w:tblPr>
            <w:tblGrid>
              <w:gridCol w:w="1360"/>
            </w:tblGrid>
            <w:tr w:rsidR="00000000">
              <w:tblPrEx>
                <w:tblCellMar>
                  <w:top w:w="0" w:type="dxa"/>
                  <w:left w:w="0" w:type="dxa"/>
                  <w:bottom w:w="0" w:type="dxa"/>
                  <w:right w:w="0" w:type="dxa"/>
                </w:tblCellMar>
              </w:tblPrEx>
              <w:trPr>
                <w:trHeight w:val="320"/>
              </w:trPr>
              <w:tc>
                <w:tcPr>
                  <w:tcW w:w="1367" w:type="dxa"/>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22"/>
                    </w:rPr>
                    <w:t>2015</w:t>
                  </w:r>
                </w:p>
              </w:tc>
            </w:tr>
          </w:tbl>
          <w:p w:rsidR="00000000" w:rsidRDefault="000D2E85"/>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15"/>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vMerge/>
          </w:tcPr>
          <w:p w:rsidR="00000000" w:rsidRDefault="000D2E85">
            <w:pPr>
              <w:pStyle w:val="EmptyLayoutCell"/>
            </w:pPr>
          </w:p>
        </w:tc>
        <w:tc>
          <w:tcPr>
            <w:tcW w:w="1367" w:type="dxa"/>
            <w:gridSpan w:val="2"/>
            <w:vMerge/>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00000">
        <w:tblPrEx>
          <w:tblCellMar>
            <w:top w:w="0" w:type="dxa"/>
            <w:left w:w="0" w:type="dxa"/>
            <w:bottom w:w="0" w:type="dxa"/>
            <w:right w:w="0" w:type="dxa"/>
          </w:tblCellMar>
        </w:tblPrEx>
        <w:trPr>
          <w:trHeight w:val="164"/>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355"/>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color w:val="000101"/>
                      <w:sz w:val="22"/>
                    </w:rPr>
                    <w:t>Formulaire mis à jour en 2012</w:t>
                  </w:r>
                </w:p>
              </w:tc>
            </w:tr>
          </w:tbl>
          <w:p w:rsidR="00000000" w:rsidRDefault="000D2E85"/>
        </w:tc>
      </w:tr>
      <w:tr w:rsidR="00000000">
        <w:tblPrEx>
          <w:tblCellMar>
            <w:top w:w="0" w:type="dxa"/>
            <w:left w:w="0" w:type="dxa"/>
            <w:bottom w:w="0" w:type="dxa"/>
            <w:right w:w="0" w:type="dxa"/>
          </w:tblCellMar>
        </w:tblPrEx>
        <w:trPr>
          <w:trHeight w:val="179"/>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rPr>
          <w:trHeight w:val="355"/>
        </w:trPr>
        <w:tc>
          <w:tcPr>
            <w:tcW w:w="10769" w:type="dxa"/>
            <w:gridSpan w:val="8"/>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0D2E85">
                  <w:pPr>
                    <w:jc w:val="center"/>
                  </w:pPr>
                  <w:r>
                    <w:rPr>
                      <w:rFonts w:ascii="Arial" w:eastAsia="Arial" w:hAnsi="Arial"/>
                      <w:b/>
                      <w:color w:val="000101"/>
                      <w:sz w:val="22"/>
                    </w:rPr>
                    <w:t>(À utiliser avec les directives de Décembre 2012)</w:t>
                  </w:r>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c>
          <w:tcPr>
            <w:tcW w:w="10769" w:type="dxa"/>
            <w:gridSpan w:val="8"/>
          </w:tcPr>
          <w:tbl>
            <w:tblPr>
              <w:tblW w:w="0" w:type="auto"/>
              <w:tblCellMar>
                <w:left w:w="0" w:type="dxa"/>
                <w:right w:w="0" w:type="dxa"/>
              </w:tblCellMar>
              <w:tblLook w:val="0000" w:firstRow="0" w:lastRow="0" w:firstColumn="0" w:lastColumn="0" w:noHBand="0" w:noVBand="0"/>
            </w:tblPr>
            <w:tblGrid>
              <w:gridCol w:w="10750"/>
            </w:tblGrid>
            <w:tr w:rsidR="00000000">
              <w:tblPrEx>
                <w:tblCellMar>
                  <w:top w:w="0" w:type="dxa"/>
                  <w:left w:w="0" w:type="dxa"/>
                  <w:bottom w:w="0" w:type="dxa"/>
                  <w:right w:w="0" w:type="dxa"/>
                </w:tblCellMar>
              </w:tblPrEx>
              <w:trPr>
                <w:trHeight w:val="260"/>
              </w:trPr>
              <w:tc>
                <w:tcPr>
                  <w:tcW w:w="10771"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rsidR="00000000" w:rsidRDefault="000D2E85">
                  <w:r>
                    <w:rPr>
                      <w:rFonts w:ascii="Arial" w:eastAsia="Arial" w:hAnsi="Arial"/>
                      <w:b/>
                      <w:color w:val="FF0000"/>
                      <w:sz w:val="22"/>
                    </w:rPr>
                    <w:t>Veuillez soumettre la proposition en utilisant la plateforme en ligne</w:t>
                  </w:r>
                </w:p>
              </w:tc>
            </w:tr>
            <w:tr w:rsidR="00000000">
              <w:tblPrEx>
                <w:tblCellMar>
                  <w:top w:w="0" w:type="dxa"/>
                  <w:left w:w="0" w:type="dxa"/>
                  <w:bottom w:w="0" w:type="dxa"/>
                  <w:right w:w="0" w:type="dxa"/>
                </w:tblCellMar>
              </w:tblPrEx>
              <w:trPr>
                <w:trHeight w:val="260"/>
              </w:trPr>
              <w:tc>
                <w:tcPr>
                  <w:tcW w:w="10771"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rsidR="00000000" w:rsidRDefault="000D2E85">
                  <w:hyperlink r:id="rId9" w:history="1">
                    <w:r>
                      <w:rPr>
                        <w:rFonts w:ascii="Arial" w:eastAsia="Arial" w:hAnsi="Arial"/>
                        <w:color w:val="0000FF"/>
                        <w:sz w:val="22"/>
                        <w:u w:val="single"/>
                      </w:rPr>
                      <w:t>https://AppsPortal.gavialliance.org/PDExtranet</w:t>
                    </w:r>
                  </w:hyperlink>
                </w:p>
              </w:tc>
            </w:tr>
          </w:tbl>
          <w:p w:rsidR="00000000" w:rsidRDefault="000D2E85"/>
        </w:tc>
      </w:tr>
      <w:tr w:rsidR="00000000">
        <w:tblPrEx>
          <w:tblCellMar>
            <w:top w:w="0" w:type="dxa"/>
            <w:left w:w="0" w:type="dxa"/>
            <w:bottom w:w="0" w:type="dxa"/>
            <w:right w:w="0" w:type="dxa"/>
          </w:tblCellMar>
        </w:tblPrEx>
        <w:trPr>
          <w:trHeight w:val="180"/>
        </w:trPr>
        <w:tc>
          <w:tcPr>
            <w:tcW w:w="2462" w:type="dxa"/>
          </w:tcPr>
          <w:p w:rsidR="00000000" w:rsidRDefault="000D2E85">
            <w:pPr>
              <w:pStyle w:val="EmptyLayoutCell"/>
            </w:pPr>
          </w:p>
        </w:tc>
        <w:tc>
          <w:tcPr>
            <w:tcW w:w="1417" w:type="dxa"/>
          </w:tcPr>
          <w:p w:rsidR="00000000" w:rsidRDefault="000D2E85">
            <w:pPr>
              <w:pStyle w:val="EmptyLayoutCell"/>
            </w:pPr>
          </w:p>
        </w:tc>
        <w:tc>
          <w:tcPr>
            <w:tcW w:w="2980" w:type="dxa"/>
          </w:tcPr>
          <w:p w:rsidR="00000000" w:rsidRDefault="000D2E85">
            <w:pPr>
              <w:pStyle w:val="EmptyLayoutCell"/>
            </w:pPr>
          </w:p>
        </w:tc>
        <w:tc>
          <w:tcPr>
            <w:tcW w:w="2438" w:type="dxa"/>
          </w:tcPr>
          <w:p w:rsidR="00000000" w:rsidRDefault="000D2E85">
            <w:pPr>
              <w:pStyle w:val="EmptyLayoutCell"/>
            </w:pPr>
          </w:p>
        </w:tc>
        <w:tc>
          <w:tcPr>
            <w:tcW w:w="596" w:type="dxa"/>
          </w:tcPr>
          <w:p w:rsidR="00000000" w:rsidRDefault="000D2E85">
            <w:pPr>
              <w:pStyle w:val="EmptyLayoutCell"/>
            </w:pPr>
          </w:p>
        </w:tc>
        <w:tc>
          <w:tcPr>
            <w:tcW w:w="771" w:type="dxa"/>
          </w:tcPr>
          <w:p w:rsidR="00000000" w:rsidRDefault="000D2E85">
            <w:pPr>
              <w:pStyle w:val="EmptyLayoutCell"/>
            </w:pPr>
          </w:p>
        </w:tc>
        <w:tc>
          <w:tcPr>
            <w:tcW w:w="62" w:type="dxa"/>
          </w:tcPr>
          <w:p w:rsidR="00000000" w:rsidRDefault="000D2E85">
            <w:pPr>
              <w:pStyle w:val="EmptyLayoutCell"/>
            </w:pPr>
          </w:p>
        </w:tc>
        <w:tc>
          <w:tcPr>
            <w:tcW w:w="43" w:type="dxa"/>
          </w:tcPr>
          <w:p w:rsidR="00000000" w:rsidRDefault="000D2E85">
            <w:pPr>
              <w:pStyle w:val="EmptyLayoutCell"/>
            </w:pPr>
          </w:p>
        </w:tc>
      </w:tr>
      <w:tr w:rsidR="000D2E85" w:rsidTr="000D2E85">
        <w:tblPrEx>
          <w:tblCellMar>
            <w:top w:w="0" w:type="dxa"/>
            <w:left w:w="0" w:type="dxa"/>
            <w:bottom w:w="0" w:type="dxa"/>
            <w:right w:w="0" w:type="dxa"/>
          </w:tblCellMar>
        </w:tblPrEx>
        <w:tc>
          <w:tcPr>
            <w:tcW w:w="10769" w:type="dxa"/>
            <w:gridSpan w:val="8"/>
          </w:tcPr>
          <w:tbl>
            <w:tblPr>
              <w:tblW w:w="0" w:type="auto"/>
              <w:tblCellMar>
                <w:left w:w="0" w:type="dxa"/>
                <w:right w:w="0" w:type="dxa"/>
              </w:tblCellMar>
              <w:tblLook w:val="0000" w:firstRow="0" w:lastRow="0" w:firstColumn="0" w:lastColumn="0" w:noHBand="0" w:noVBand="0"/>
            </w:tblPr>
            <w:tblGrid>
              <w:gridCol w:w="10750"/>
            </w:tblGrid>
            <w:tr w:rsidR="000D2E85" w:rsidTr="000D2E85">
              <w:tblPrEx>
                <w:tblCellMar>
                  <w:top w:w="0" w:type="dxa"/>
                  <w:left w:w="0" w:type="dxa"/>
                  <w:bottom w:w="0" w:type="dxa"/>
                  <w:right w:w="0" w:type="dxa"/>
                </w:tblCellMar>
              </w:tblPrEx>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 xml:space="preserve">Renseignements auprès de: </w:t>
                  </w:r>
                  <w:r>
                    <w:rPr>
                      <w:rFonts w:ascii="Arial" w:eastAsia="Arial" w:hAnsi="Arial"/>
                      <w:color w:val="000000"/>
                      <w:u w:val="single"/>
                    </w:rPr>
                    <w:t>proposals@gavialliance.org</w:t>
                  </w:r>
                  <w:r>
                    <w:rPr>
                      <w:rFonts w:ascii="Arial" w:eastAsia="Arial" w:hAnsi="Arial"/>
                      <w:color w:val="000000"/>
                    </w:rPr>
                    <w:t xml:space="preserve"> ou de représentants d'une agence partenaire de GAVI. Les documents peuvent être partagés avec les partenaires et les collaborateurs de GAVI et le grand public. La Proposition et ses pièces jointes doivent être soumises en anglais, français, espagnol ou ru</w:t>
                  </w:r>
                  <w:r>
                    <w:rPr>
                      <w:rFonts w:ascii="Arial" w:eastAsia="Arial" w:hAnsi="Arial"/>
                      <w:color w:val="000000"/>
                    </w:rPr>
                    <w:t>sse.</w:t>
                  </w:r>
                </w:p>
              </w:tc>
            </w:tr>
            <w:tr w:rsidR="000D2E85" w:rsidTr="000D2E85">
              <w:tblPrEx>
                <w:tblCellMar>
                  <w:top w:w="0" w:type="dxa"/>
                  <w:left w:w="0" w:type="dxa"/>
                  <w:bottom w:w="0" w:type="dxa"/>
                  <w:right w:w="0" w:type="dxa"/>
                </w:tblCellMar>
              </w:tblPrEx>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Note:</w:t>
                  </w:r>
                  <w:r>
                    <w:rPr>
                      <w:rFonts w:ascii="Arial" w:eastAsia="Arial" w:hAnsi="Arial"/>
                      <w:color w:val="000000"/>
                    </w:rPr>
                    <w:t xml:space="preserve"> Veuillez vous assurer que la demande a bien été reçue par le Secrétariat de GAVI avant expiration du délai.</w:t>
                  </w:r>
                </w:p>
              </w:tc>
            </w:tr>
            <w:tr w:rsidR="000D2E85" w:rsidTr="000D2E85">
              <w:tblPrEx>
                <w:tblCellMar>
                  <w:top w:w="0" w:type="dxa"/>
                  <w:left w:w="0" w:type="dxa"/>
                  <w:bottom w:w="0" w:type="dxa"/>
                  <w:right w:w="0" w:type="dxa"/>
                </w:tblCellMar>
              </w:tblPrEx>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 xml:space="preserve"> Le Secrétariat de GAVI n'est pas en mesure de renvoyer les documents et pièces jointes soumis aux pays. Sauf accord spécial, les doc</w:t>
                  </w:r>
                  <w:r>
                    <w:rPr>
                      <w:rFonts w:ascii="Arial" w:eastAsia="Arial" w:hAnsi="Arial"/>
                      <w:color w:val="000000"/>
                    </w:rPr>
                    <w:t xml:space="preserve">uments sont partagés avec les partenaires de GAVI Alliance et le grand public. </w:t>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51"/>
            </w:tblGrid>
            <w:tr w:rsidR="00000000">
              <w:tblPrEx>
                <w:tblCellMar>
                  <w:top w:w="0" w:type="dxa"/>
                  <w:left w:w="0" w:type="dxa"/>
                  <w:bottom w:w="0" w:type="dxa"/>
                  <w:right w:w="0" w:type="dxa"/>
                </w:tblCellMar>
              </w:tblPrEx>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sz w:val="16"/>
                    </w:rPr>
                    <w:t xml:space="preserve">CLAUSES ET CONDITIONS GÉNÉRALES DU SOUTIEN DE </w:t>
                  </w:r>
                  <w:r>
                    <w:rPr>
                      <w:rFonts w:ascii="Arial" w:eastAsia="Arial" w:hAnsi="Arial"/>
                      <w:b/>
                      <w:color w:val="000000"/>
                      <w:sz w:val="16"/>
                    </w:rPr>
                    <w:br/>
                    <w:t>GAVI ALLIANCE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FINANCEMENT UTILISÉ UNIQUEMENT POUR LES PROGRAMMES APPROUVÉS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du candidat ("Pays") confirme q</w:t>
                  </w:r>
                  <w:r>
                    <w:rPr>
                      <w:rFonts w:ascii="Arial" w:eastAsia="Arial" w:hAnsi="Arial"/>
                      <w:color w:val="000000"/>
                      <w:sz w:val="16"/>
                    </w:rPr>
                    <w:t>ue tous les financements fournis par GAVI Alliance seront utilisés et appliqués pour la seule fin de réalisation du/des programme(s) approuvés décrits dans la demande de soutien du pays. Toute modification substantielle du/ des programme(s) approuvé(s) doi</w:t>
                  </w:r>
                  <w:r>
                    <w:rPr>
                      <w:rFonts w:ascii="Arial" w:eastAsia="Arial" w:hAnsi="Arial"/>
                      <w:color w:val="000000"/>
                      <w:sz w:val="16"/>
                    </w:rPr>
                    <w:t xml:space="preserve">t être examinée et approuvée à l'avance par GAVI Alliance. Toutes les décisions de financement concernant la demande de soutien sont du ressort du Conseil de GAVI Alliance et sont subordonnées aux procédures du CEI et à la disponibilié des fonds. </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AMENDEM</w:t>
                  </w:r>
                  <w:r>
                    <w:rPr>
                      <w:rFonts w:ascii="Arial" w:eastAsia="Arial" w:hAnsi="Arial"/>
                      <w:b/>
                      <w:color w:val="000000"/>
                      <w:sz w:val="16"/>
                    </w:rPr>
                    <w:t>ENT À L'APPLICATION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avisera GAVI Alliance dans son Rapport annuel de situation s'il souhaite proposer un changement à la description du/des programme(s) dans sa demande de soutien. GAVI Alliance apportera les documents nécessaires à l'appui du cha</w:t>
                  </w:r>
                  <w:r>
                    <w:rPr>
                      <w:rFonts w:ascii="Arial" w:eastAsia="Arial" w:hAnsi="Arial"/>
                      <w:color w:val="000000"/>
                      <w:sz w:val="16"/>
                    </w:rPr>
                    <w:t>ngement approuvé et la demande du Pays sera amendée en conséquence.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RESTITUTION DE FONDS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accepte de rembourser à GAVI Alliance tous les montants de financement qui n'auront pas été utilisés pour le/les programme(s) décrits dans sa demande de sout</w:t>
                  </w:r>
                  <w:r>
                    <w:rPr>
                      <w:rFonts w:ascii="Arial" w:eastAsia="Arial" w:hAnsi="Arial"/>
                      <w:color w:val="000000"/>
                      <w:sz w:val="16"/>
                    </w:rPr>
                    <w:t>ien. Le remboursement du pays est réalisé en dollars US, et, sauf accord spécifique, dans un délai de soixante (60) jours après que le Pays a reçu la demande de remboursement de GAVI Alliance et viré sur le(s) compte(s )indiqué(s) par GAVI Alliance.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SUSPE</w:t>
                  </w:r>
                  <w:r>
                    <w:rPr>
                      <w:rFonts w:ascii="Arial" w:eastAsia="Arial" w:hAnsi="Arial"/>
                      <w:b/>
                      <w:color w:val="000000"/>
                      <w:sz w:val="16"/>
                    </w:rPr>
                    <w:t>NSION/ FIN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 xml:space="preserve">GAVI Alliance peut suspendre tout ou partie de son financement au Pays si elle a des raisons de soupçonner que les fonds ont été utilisés à d'autres fins que pour les programmes décrits dans la présente demande de soutien du Pays, ou dans tout </w:t>
                  </w:r>
                  <w:r>
                    <w:rPr>
                      <w:rFonts w:ascii="Arial" w:eastAsia="Arial" w:hAnsi="Arial"/>
                      <w:color w:val="000000"/>
                      <w:sz w:val="16"/>
                    </w:rPr>
                    <w:t>amendement à la demande approuvé par GAVI Alliance. GAVI Alliance se réserve le droit de mettre fin à son soutien au pays pour le(s) programme(s) décrits dans sa demande en cas d'utilisation abusive attestée des fonds de GAVI Alliance.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ANTICORRUPTION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 xml:space="preserve">Le </w:t>
                  </w:r>
                  <w:r>
                    <w:rPr>
                      <w:rFonts w:ascii="Arial" w:eastAsia="Arial" w:hAnsi="Arial"/>
                      <w:color w:val="000000"/>
                      <w:sz w:val="16"/>
                    </w:rPr>
                    <w:t>Pays confirme que les fonds fournis par GAVI Alliance ne seront pas offerts à un tiers et qu'il ne cherchera pas non plus à retirer des cadeaux, des paiements ou des avantages directement ou indirectement en rapport avec cette demande qui pourraient être c</w:t>
                  </w:r>
                  <w:r>
                    <w:rPr>
                      <w:rFonts w:ascii="Arial" w:eastAsia="Arial" w:hAnsi="Arial"/>
                      <w:color w:val="000000"/>
                      <w:sz w:val="16"/>
                    </w:rPr>
                    <w:t>onsidérés comme une pratique illégale ou une prévarication.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CONTRÔLE DES COMPTES ET ARCHIVES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procèdera à des vérifications annuelles des comptes et les partagera avec GAVI Alliance comme demandé. GAVI Alliance se réserve le droit, de procéder ell</w:t>
                  </w:r>
                  <w:r>
                    <w:rPr>
                      <w:rFonts w:ascii="Arial" w:eastAsia="Arial" w:hAnsi="Arial"/>
                      <w:color w:val="000000"/>
                      <w:sz w:val="16"/>
                    </w:rPr>
                    <w:t>e-même ou de faire procéder par un agent à des contrôles ou autres évaluations de la gestion financière afin de s'assurer de l'obligation de rendre compte des fonds alloués au pays.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tiendra des archives comptables précises justifiant de l'utilisat</w:t>
                  </w:r>
                  <w:r>
                    <w:rPr>
                      <w:rFonts w:ascii="Arial" w:eastAsia="Arial" w:hAnsi="Arial"/>
                      <w:color w:val="000000"/>
                      <w:sz w:val="16"/>
                    </w:rPr>
                    <w:t>ion des fonds de GAVI Alliance. Le pays conservera ses archives comptables conformément aux normes comptables approuvées par son gouvernement pendant au moins trois ans après la date du dernier décaissement de fonds de GAVI Alliance. En cas de litige sur u</w:t>
                  </w:r>
                  <w:r>
                    <w:rPr>
                      <w:rFonts w:ascii="Arial" w:eastAsia="Arial" w:hAnsi="Arial"/>
                      <w:color w:val="000000"/>
                      <w:sz w:val="16"/>
                    </w:rPr>
                    <w:t xml:space="preserve">ne éventuelle malversation de fonds, le pays conservera ces dossiers jusqu'à ce que les résultats de l'audit soient définitifs. Le pays accepte de ne pas faire valoir ses privilèges documentaires à l'encontre de GAVI Alliance en rapport avec tout contrôle </w:t>
                  </w:r>
                  <w:r>
                    <w:rPr>
                      <w:rFonts w:ascii="Arial" w:eastAsia="Arial" w:hAnsi="Arial"/>
                      <w:color w:val="000000"/>
                      <w:sz w:val="16"/>
                    </w:rPr>
                    <w:t>des comptes.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CONFIRMATION DE LA VALIDITÉ LÉGALE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 xml:space="preserve">Le pays et les signataires pour le gouvernement confirment que sa demande de soutien et son rapport annuel de situation sont exacts et corrects et représentent un engagement juridiquement contraignant pour </w:t>
                  </w:r>
                  <w:r>
                    <w:rPr>
                      <w:rFonts w:ascii="Arial" w:eastAsia="Arial" w:hAnsi="Arial"/>
                      <w:color w:val="000000"/>
                      <w:sz w:val="16"/>
                    </w:rPr>
                    <w:t>le pays, en vertu de ses lois, à réaliser les programmes décrits dans cette demande et amendés, le cas échéant, dans le rapport annuel de situation.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CONFIRMATION DU RESPECT DE LA POLITIQUE DE TRANSPARENCE ET DE RESPONSABILITÉ DE GAVI ALLIANCE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 pays con</w:t>
                  </w:r>
                  <w:r>
                    <w:rPr>
                      <w:rFonts w:ascii="Arial" w:eastAsia="Arial" w:hAnsi="Arial"/>
                      <w:color w:val="000000"/>
                      <w:sz w:val="16"/>
                    </w:rPr>
                    <w:t>firme qu'il a pris connaissance de la politique de GAVI Alliance sur la transparence et la responsabilité et qu'il respecte ses obligations.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UTILISATION DE COMPTES BANCAIRES COMMERCIAUX</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Il incombe au pays de vérifier avec toute la diligence requise l'adé</w:t>
                  </w:r>
                  <w:r>
                    <w:rPr>
                      <w:rFonts w:ascii="Arial" w:eastAsia="Arial" w:hAnsi="Arial"/>
                      <w:color w:val="000000"/>
                      <w:sz w:val="16"/>
                    </w:rPr>
                    <w:t xml:space="preserve">quation des banques commerciales utilisées pour gérer le soutien sous forme d'apport de fonds de GAVI. Le pays confirme qu’il assumera l’entière responsabilité du remplacement du soutien de GAVI en apport de fonds qui serait perdu en raison d'une faillite </w:t>
                  </w:r>
                  <w:r>
                    <w:rPr>
                      <w:rFonts w:ascii="Arial" w:eastAsia="Arial" w:hAnsi="Arial"/>
                      <w:color w:val="000000"/>
                      <w:sz w:val="16"/>
                    </w:rPr>
                    <w:t>de la banque, de fraude ou tout autre événement imprévu.</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sz w:val="16"/>
                    </w:rPr>
                    <w:t>ARBITRAGE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Tout litige entre le pays et GAVI Alliance occasionné par la présente demande ou en rapport avec elle qui n'aura pas été réglé à l'amiable dans un délai raisonnable sera soumis à un arbit</w:t>
                  </w:r>
                  <w:r>
                    <w:rPr>
                      <w:rFonts w:ascii="Arial" w:eastAsia="Arial" w:hAnsi="Arial"/>
                      <w:color w:val="000000"/>
                      <w:sz w:val="16"/>
                    </w:rPr>
                    <w:t>rage à la demande de GAVI Alliance ou du pays. arbitrage sera conduit conformément au Règlement d'arbitrage de la CNUDCI alors en vigueur. Les parties acceptent d'être liées par la sanction arbitrale, comme règlement final de ce différend. Le lieu de l'arb</w:t>
                  </w:r>
                  <w:r>
                    <w:rPr>
                      <w:rFonts w:ascii="Arial" w:eastAsia="Arial" w:hAnsi="Arial"/>
                      <w:color w:val="000000"/>
                      <w:sz w:val="16"/>
                    </w:rPr>
                    <w:t>itrage sera Genève, Suisse.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Les langues de l'arbitrage seront l'anglais ou le français.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Pour tout litige portant sur montant égal ou inférieur à $US 100 000, un arbitre sera désigné par GAVI Alliance. Pour tout litige portant sur un montant supérieur à $</w:t>
                  </w:r>
                  <w:r>
                    <w:rPr>
                      <w:rFonts w:ascii="Arial" w:eastAsia="Arial" w:hAnsi="Arial"/>
                      <w:color w:val="000000"/>
                      <w:sz w:val="16"/>
                    </w:rPr>
                    <w:t>US 100 000, trois arbitres seront nommés comme suit : GAVI Alliance et le pays désigneront chacun un arbitre et les deux arbitres ainsi nommés désigneront conjointement un troisième arbitre qui présidera.</w:t>
                  </w:r>
                </w:p>
              </w:tc>
            </w:tr>
            <w:tr w:rsidR="00000000">
              <w:tblPrEx>
                <w:tblCellMar>
                  <w:top w:w="0" w:type="dxa"/>
                  <w:left w:w="0" w:type="dxa"/>
                  <w:bottom w:w="0" w:type="dxa"/>
                  <w:right w:w="0" w:type="dxa"/>
                </w:tblCellMar>
              </w:tblPrEx>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6"/>
                    </w:rPr>
                    <w:t>GAVI Alliance ne pourra être tenue pour responsabl</w:t>
                  </w:r>
                  <w:r>
                    <w:rPr>
                      <w:rFonts w:ascii="Arial" w:eastAsia="Arial" w:hAnsi="Arial"/>
                      <w:color w:val="000000"/>
                      <w:sz w:val="16"/>
                    </w:rPr>
                    <w:t>e auprès du pays de toute réclamation ou perte en rapport avec les programmes décrits dans cette demande, y compris et sans limitation toute perte financière, conflit de responsabilités, tout dommage matériel, corporel ou décès. Le pays est seul responsabl</w:t>
                  </w:r>
                  <w:r>
                    <w:rPr>
                      <w:rFonts w:ascii="Arial" w:eastAsia="Arial" w:hAnsi="Arial"/>
                      <w:color w:val="000000"/>
                      <w:sz w:val="16"/>
                    </w:rPr>
                    <w:t>e de tous les aspects de la gestion et de la mise en œuvre des programmes décrits dans sa soumission.</w:t>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 w:name="ApplicationSpecification"/>
                  <w:bookmarkEnd w:id="1"/>
                  <w:r>
                    <w:rPr>
                      <w:rFonts w:ascii="Arial" w:eastAsia="Arial" w:hAnsi="Arial"/>
                      <w:b/>
                      <w:color w:val="365F91"/>
                      <w:sz w:val="28"/>
                    </w:rPr>
                    <w:t>1. Spécification de l'application</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spécifier quel type de soutien de GAVI vous souhaitez demander</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981"/>
              <w:gridCol w:w="2548"/>
              <w:gridCol w:w="1414"/>
              <w:gridCol w:w="1414"/>
              <w:gridCol w:w="3394"/>
            </w:tblGrid>
            <w:tr w:rsidR="00000000">
              <w:tblPrEx>
                <w:tblCellMar>
                  <w:top w:w="0" w:type="dxa"/>
                  <w:left w:w="0" w:type="dxa"/>
                  <w:bottom w:w="0" w:type="dxa"/>
                  <w:right w:w="0" w:type="dxa"/>
                </w:tblCellMar>
              </w:tblPrEx>
              <w:trPr>
                <w:trHeight w:val="260"/>
              </w:trPr>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Type de soutien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de dépar</w:t>
                  </w:r>
                  <w:r>
                    <w:rPr>
                      <w:rFonts w:ascii="Arial" w:eastAsia="Arial" w:hAnsi="Arial"/>
                      <w:b/>
                      <w:color w:val="000000"/>
                    </w:rPr>
                    <w:t>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de fin</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Deuxième présentation préférée[1]</w:t>
                  </w:r>
                </w:p>
              </w:tc>
            </w:tr>
            <w:tr w:rsidR="00000000">
              <w:tblPrEx>
                <w:tblCellMar>
                  <w:top w:w="0" w:type="dxa"/>
                  <w:left w:w="0" w:type="dxa"/>
                  <w:bottom w:w="0" w:type="dxa"/>
                  <w:right w:w="0" w:type="dxa"/>
                </w:tblCellMar>
              </w:tblPrEx>
              <w:trPr>
                <w:trHeight w:val="260"/>
              </w:trPr>
              <w:tc>
                <w:tcPr>
                  <w:tcW w:w="198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Soutien aux nouveaux vaccins (vaccination systématique)</w:t>
                  </w:r>
                </w:p>
              </w:tc>
              <w:tc>
                <w:tcPr>
                  <w:tcW w:w="25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Antipneumococcique (VPC13), 1 dose(s) par flacon, LIQUIDE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Antipneumococcique (VPC10), 2 dose(s) par flacon, LIQUIDE</w:t>
                  </w:r>
                </w:p>
              </w:tc>
            </w:tr>
          </w:tbl>
          <w:p w:rsidR="00000000" w:rsidRDefault="000D2E85"/>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18"/>
                    </w:rPr>
                    <w:t>[1]</w:t>
                  </w:r>
                  <w:r>
                    <w:rPr>
                      <w:rFonts w:ascii="Arial" w:eastAsia="Arial" w:hAnsi="Arial"/>
                      <w:color w:val="000000"/>
                      <w:sz w:val="18"/>
                    </w:rPr>
                    <w:t>Cette "</w:t>
                  </w:r>
                  <w:r>
                    <w:rPr>
                      <w:rFonts w:ascii="Arial" w:eastAsia="Arial" w:hAnsi="Arial"/>
                      <w:b/>
                      <w:i/>
                      <w:color w:val="000000"/>
                      <w:sz w:val="18"/>
                    </w:rPr>
                    <w:t>Deuxième pr</w:t>
                  </w:r>
                  <w:r>
                    <w:rPr>
                      <w:rFonts w:ascii="Arial" w:eastAsia="Arial" w:hAnsi="Arial"/>
                      <w:b/>
                      <w:i/>
                      <w:color w:val="000000"/>
                      <w:sz w:val="18"/>
                    </w:rPr>
                    <w:t>ésentation préférée</w:t>
                  </w:r>
                  <w:r>
                    <w:rPr>
                      <w:rFonts w:ascii="Arial" w:eastAsia="Arial" w:hAnsi="Arial"/>
                      <w:color w:val="000000"/>
                      <w:sz w:val="18"/>
                    </w:rPr>
                    <w:t>" sera utilisée en cas d'indisponibilité de la présentation préférée du vaccin sélectionné (colonne "</w:t>
                  </w:r>
                  <w:r>
                    <w:rPr>
                      <w:rFonts w:ascii="Arial" w:eastAsia="Arial" w:hAnsi="Arial"/>
                      <w:b/>
                      <w:color w:val="000000"/>
                      <w:sz w:val="18"/>
                    </w:rPr>
                    <w:t>Vaccin</w:t>
                  </w:r>
                  <w:r>
                    <w:rPr>
                      <w:rFonts w:ascii="Arial" w:eastAsia="Arial" w:hAnsi="Arial"/>
                      <w:color w:val="000000"/>
                      <w:sz w:val="18"/>
                    </w:rPr>
                    <w:t>"). En l'absence d'indication, on admet que le pays préfère attendre que le vaccin sélectionné soit disponible.</w:t>
                  </w:r>
                </w:p>
              </w:tc>
            </w:tr>
          </w:tbl>
          <w:p w:rsidR="00000000" w:rsidRDefault="000D2E85"/>
        </w:tc>
      </w:tr>
      <w:tr w:rsidR="00000000">
        <w:tblPrEx>
          <w:tblCellMar>
            <w:top w:w="0" w:type="dxa"/>
            <w:left w:w="0" w:type="dxa"/>
            <w:bottom w:w="0" w:type="dxa"/>
            <w:right w:w="0" w:type="dxa"/>
          </w:tblCellMar>
        </w:tblPrEx>
        <w:trPr>
          <w:trHeight w:val="13"/>
        </w:trPr>
        <w:tc>
          <w:tcPr>
            <w:tcW w:w="10771"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 w:name="TableofContents"/>
                  <w:bookmarkEnd w:id="2"/>
                  <w:r>
                    <w:rPr>
                      <w:rFonts w:ascii="Arial" w:eastAsia="Arial" w:hAnsi="Arial"/>
                      <w:b/>
                      <w:color w:val="365F91"/>
                      <w:sz w:val="28"/>
                    </w:rPr>
                    <w:t>2. Table de</w:t>
                  </w:r>
                  <w:r>
                    <w:rPr>
                      <w:rFonts w:ascii="Arial" w:eastAsia="Arial" w:hAnsi="Arial"/>
                      <w:b/>
                      <w:color w:val="365F91"/>
                      <w:sz w:val="28"/>
                    </w:rPr>
                    <w:t>s matières</w:t>
                  </w:r>
                </w:p>
              </w:tc>
            </w:tr>
          </w:tbl>
          <w:p w:rsidR="00000000" w:rsidRDefault="000D2E85"/>
        </w:tc>
      </w:tr>
      <w:tr w:rsidR="00000000">
        <w:tblPrEx>
          <w:tblCellMar>
            <w:top w:w="0" w:type="dxa"/>
            <w:left w:w="0" w:type="dxa"/>
            <w:bottom w:w="0" w:type="dxa"/>
            <w:right w:w="0" w:type="dxa"/>
          </w:tblCellMar>
        </w:tblPrEx>
        <w:trPr>
          <w:trHeight w:val="11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
              <w:gridCol w:w="1"/>
              <w:gridCol w:w="281"/>
              <w:gridCol w:w="1"/>
              <w:gridCol w:w="282"/>
              <w:gridCol w:w="9921"/>
            </w:tblGrid>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ApplicationSpecification" w:history="1">
                    <w:r>
                      <w:rPr>
                        <w:rFonts w:ascii="Arial" w:eastAsia="Arial" w:hAnsi="Arial"/>
                        <w:i/>
                        <w:color w:val="0000FF"/>
                        <w:sz w:val="22"/>
                        <w:u w:val="single"/>
                      </w:rPr>
                      <w:t>1. Spécification de l'application</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TableofContents" w:history="1">
                    <w:r>
                      <w:rPr>
                        <w:rFonts w:ascii="Arial" w:eastAsia="Arial" w:hAnsi="Arial"/>
                        <w:i/>
                        <w:color w:val="0000FF"/>
                        <w:sz w:val="22"/>
                        <w:u w:val="single"/>
                      </w:rPr>
                      <w:t>2. Table des matières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ExecutiveSummary" w:history="1">
                    <w:r>
                      <w:rPr>
                        <w:rFonts w:ascii="Arial" w:eastAsia="Arial" w:hAnsi="Arial"/>
                        <w:i/>
                        <w:color w:val="0000FF"/>
                        <w:sz w:val="22"/>
                        <w:u w:val="single"/>
                      </w:rPr>
                      <w:t>3. Résumé analytique</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Signatures" w:history="1">
                    <w:r>
                      <w:rPr>
                        <w:rFonts w:ascii="Arial" w:eastAsia="Arial" w:hAnsi="Arial"/>
                        <w:i/>
                        <w:color w:val="0000FF"/>
                        <w:sz w:val="22"/>
                        <w:u w:val="single"/>
                      </w:rPr>
                      <w:t>4. Signatures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Signatures1" w:history="1">
                    <w:r>
                      <w:rPr>
                        <w:rFonts w:ascii="Arial" w:eastAsia="Arial" w:hAnsi="Arial"/>
                        <w:i/>
                        <w:color w:val="0000FF"/>
                        <w:sz w:val="22"/>
                        <w:u w:val="single"/>
                      </w:rPr>
                      <w:t>4.1. Signatures du Gouvernement et des organes nationaux de coordination</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Signatures11" w:history="1">
                    <w:r>
                      <w:rPr>
                        <w:rFonts w:ascii="Arial" w:eastAsia="Arial" w:hAnsi="Arial"/>
                        <w:i/>
                        <w:color w:val="0000FF"/>
                        <w:sz w:val="22"/>
                        <w:u w:val="single"/>
                      </w:rPr>
                      <w:t>4.1.1. Le Gouvernement et le Comité de coordination interagences pour la vaccination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Signature12" w:history="1">
                    <w:r>
                      <w:rPr>
                        <w:rFonts w:ascii="Arial" w:eastAsia="Arial" w:hAnsi="Arial"/>
                        <w:i/>
                        <w:color w:val="0000FF"/>
                        <w:sz w:val="22"/>
                        <w:u w:val="single"/>
                      </w:rPr>
                      <w:t>4.1.2. Organe national de coordination - Comité de coordination interagences pour la vaccination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Signature13" w:history="1">
                    <w:r>
                      <w:rPr>
                        <w:rFonts w:ascii="Arial" w:eastAsia="Arial" w:hAnsi="Arial"/>
                        <w:i/>
                        <w:color w:val="0000FF"/>
                        <w:sz w:val="22"/>
                        <w:u w:val="single"/>
                      </w:rPr>
                      <w:t>4.1.3. Comité de coordination interagences pour la vaccination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Signatures2" w:history="1">
                    <w:r>
                      <w:rPr>
                        <w:rFonts w:ascii="Arial" w:eastAsia="Arial" w:hAnsi="Arial"/>
                        <w:i/>
                        <w:color w:val="0000FF"/>
                        <w:sz w:val="22"/>
                        <w:u w:val="single"/>
                      </w:rPr>
                      <w:t>4.2. Groupe technique consultatif national sur la vaccination (GTCV)</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Signatures21" w:history="1">
                    <w:r>
                      <w:rPr>
                        <w:rFonts w:ascii="Arial" w:eastAsia="Arial" w:hAnsi="Arial"/>
                        <w:i/>
                        <w:color w:val="0000FF"/>
                        <w:sz w:val="22"/>
                        <w:u w:val="single"/>
                      </w:rPr>
                      <w:t>4.2.1. Le Groupe GTCV pour la vaccination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ImmunisationProgrammeData" w:history="1">
                    <w:r>
                      <w:rPr>
                        <w:rFonts w:ascii="Arial" w:eastAsia="Arial" w:hAnsi="Arial"/>
                        <w:i/>
                        <w:color w:val="0000FF"/>
                        <w:sz w:val="22"/>
                        <w:u w:val="single"/>
                      </w:rPr>
                      <w:t>5. Données sur le programme de vaccination</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ImmunisationProgrammeData1" w:history="1">
                    <w:r>
                      <w:rPr>
                        <w:rFonts w:ascii="Arial" w:eastAsia="Arial" w:hAnsi="Arial"/>
                        <w:i/>
                        <w:color w:val="0000FF"/>
                        <w:sz w:val="22"/>
                        <w:u w:val="single"/>
                      </w:rPr>
                      <w:t>5.1. Faits principaux</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ImmunisationProgrammeData2" w:history="1">
                    <w:r>
                      <w:rPr>
                        <w:rFonts w:ascii="Arial" w:eastAsia="Arial" w:hAnsi="Arial"/>
                        <w:i/>
                        <w:color w:val="0000FF"/>
                        <w:sz w:val="22"/>
                        <w:u w:val="single"/>
                      </w:rPr>
                      <w:t>5.2. Données de référence et objectifs annuels (SVN-vaccination systématique)</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ImmunisationProgrammeData3" w:history="1">
                    <w:r>
                      <w:rPr>
                        <w:rFonts w:ascii="Arial" w:eastAsia="Arial" w:hAnsi="Arial"/>
                        <w:i/>
                        <w:color w:val="0000FF"/>
                        <w:sz w:val="22"/>
                        <w:u w:val="single"/>
                      </w:rPr>
                      <w:t>5.3. Données</w:t>
                    </w:r>
                    <w:r>
                      <w:rPr>
                        <w:rFonts w:ascii="Arial" w:eastAsia="Arial" w:hAnsi="Arial"/>
                        <w:i/>
                        <w:color w:val="0000FF"/>
                        <w:sz w:val="22"/>
                        <w:u w:val="single"/>
                      </w:rPr>
                      <w:t xml:space="preserve"> de référence et objectifs annuels pour la/les campagne(s) de prévention</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NewandUnderUsedVaccines" w:history="1">
                    <w:r>
                      <w:rPr>
                        <w:rFonts w:ascii="Arial" w:eastAsia="Arial" w:hAnsi="Arial"/>
                        <w:i/>
                        <w:color w:val="0000FF"/>
                        <w:sz w:val="22"/>
                        <w:u w:val="single"/>
                      </w:rPr>
                      <w:t>6. Vaccins nouveaux ou sous-utilisés (VNS systématique)</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NewandUnderUsedVaccines1" w:history="1">
                    <w:r>
                      <w:rPr>
                        <w:rFonts w:ascii="Arial" w:eastAsia="Arial" w:hAnsi="Arial"/>
                        <w:i/>
                        <w:color w:val="0000FF"/>
                        <w:sz w:val="22"/>
                        <w:u w:val="single"/>
                      </w:rPr>
                      <w:t>6.1. Évaluation de la charg</w:t>
                    </w:r>
                    <w:r>
                      <w:rPr>
                        <w:rFonts w:ascii="Arial" w:eastAsia="Arial" w:hAnsi="Arial"/>
                        <w:i/>
                        <w:color w:val="0000FF"/>
                        <w:sz w:val="22"/>
                        <w:u w:val="single"/>
                      </w:rPr>
                      <w:t>e de morbidité des maladies correspondantes (si disponible)</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NVSRoutine61" w:history="1">
                    <w:r>
                      <w:rPr>
                        <w:rFonts w:ascii="Arial" w:eastAsia="Arial" w:hAnsi="Arial"/>
                        <w:i/>
                        <w:color w:val="0000FF"/>
                        <w:sz w:val="22"/>
                        <w:u w:val="single"/>
                      </w:rPr>
                      <w:t>6.2 Vaccin demandé (Antipneumococcique (VPC13), 1 dose(s) par flacon, LIQUIDE)</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NVSRoutine611" w:history="1">
                    <w:r>
                      <w:rPr>
                        <w:rFonts w:ascii="Arial" w:eastAsia="Arial" w:hAnsi="Arial"/>
                        <w:i/>
                        <w:color w:val="0000FF"/>
                        <w:sz w:val="22"/>
                        <w:u w:val="single"/>
                      </w:rPr>
                      <w:t>6.2.1 Information sur le co-financement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NVSRoutine612" w:history="1">
                    <w:r>
                      <w:rPr>
                        <w:rFonts w:ascii="Arial" w:eastAsia="Arial" w:hAnsi="Arial"/>
                        <w:i/>
                        <w:color w:val="0000FF"/>
                        <w:sz w:val="22"/>
                        <w:u w:val="single"/>
                      </w:rPr>
                      <w:t>6.2.2 Spécifications des vaccinations avec les nouveaux vaccins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NVSRoutine613" w:history="1">
                    <w:r>
                      <w:rPr>
                        <w:rFonts w:ascii="Arial" w:eastAsia="Arial" w:hAnsi="Arial"/>
                        <w:i/>
                        <w:color w:val="0000FF"/>
                        <w:sz w:val="22"/>
                        <w:u w:val="single"/>
                      </w:rPr>
                      <w:t>6.2.3 Part de fournitures à procurer par le pays (et évaluation des coûts,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NVSRoutine614" w:history="1">
                    <w:r>
                      <w:rPr>
                        <w:rFonts w:ascii="Arial" w:eastAsia="Arial" w:hAnsi="Arial"/>
                        <w:i/>
                        <w:color w:val="0000FF"/>
                        <w:sz w:val="22"/>
                        <w:u w:val="single"/>
                      </w:rPr>
                      <w:t>6.2.</w:t>
                    </w:r>
                    <w:r>
                      <w:rPr>
                        <w:rFonts w:ascii="Arial" w:eastAsia="Arial" w:hAnsi="Arial"/>
                        <w:i/>
                        <w:color w:val="0000FF"/>
                        <w:sz w:val="22"/>
                        <w:u w:val="single"/>
                      </w:rPr>
                      <w:t>4 Part de fournitures à procurer par GAVI Alliance (et évaluation des coûts,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NVSRoutine615" w:history="1">
                    <w:r>
                      <w:rPr>
                        <w:rFonts w:ascii="Arial" w:eastAsia="Arial" w:hAnsi="Arial"/>
                        <w:i/>
                        <w:color w:val="0000FF"/>
                        <w:sz w:val="22"/>
                        <w:u w:val="single"/>
                      </w:rPr>
                      <w:t>6.2.5 Allocation d'introduction d'un vaccin nouveau ou sous-utilisé</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NVSPreventiveCampain" w:history="1">
                    <w:r>
                      <w:rPr>
                        <w:rFonts w:ascii="Arial" w:eastAsia="Arial" w:hAnsi="Arial"/>
                        <w:i/>
                        <w:color w:val="0000FF"/>
                        <w:sz w:val="22"/>
                        <w:u w:val="single"/>
                      </w:rPr>
                      <w:t>7. Campagne de prévent</w:t>
                    </w:r>
                    <w:r>
                      <w:rPr>
                        <w:rFonts w:ascii="Arial" w:eastAsia="Arial" w:hAnsi="Arial"/>
                        <w:i/>
                        <w:color w:val="0000FF"/>
                        <w:sz w:val="22"/>
                        <w:u w:val="single"/>
                      </w:rPr>
                      <w:t>ion SNVs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ProcurementandManagement" w:history="1">
                    <w:r>
                      <w:rPr>
                        <w:rFonts w:ascii="Arial" w:eastAsia="Arial" w:hAnsi="Arial"/>
                        <w:i/>
                        <w:color w:val="0000FF"/>
                        <w:sz w:val="22"/>
                        <w:u w:val="single"/>
                      </w:rPr>
                      <w:t>8. Approvisionnement et gestion</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ProcurementandManagement1" w:history="1">
                    <w:r>
                      <w:rPr>
                        <w:rFonts w:ascii="Arial" w:eastAsia="Arial" w:hAnsi="Arial"/>
                        <w:i/>
                        <w:color w:val="0000FF"/>
                        <w:sz w:val="22"/>
                        <w:u w:val="single"/>
                      </w:rPr>
                      <w:t>8.1. Approvisionnement et gestion de la vaccination systématique avec les vaccins nouveaux ou sous-utilisés</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ProcurementandManagement2" w:history="1">
                    <w:r>
                      <w:rPr>
                        <w:rFonts w:ascii="Arial" w:eastAsia="Arial" w:hAnsi="Arial"/>
                        <w:i/>
                        <w:color w:val="0000FF"/>
                        <w:sz w:val="22"/>
                        <w:u w:val="single"/>
                      </w:rPr>
                      <w:t>8.2. Approvisionnement et gestion pour les campagnes de prévention SNV</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ProcurementandManagement3" w:history="1">
                    <w:r>
                      <w:rPr>
                        <w:rFonts w:ascii="Arial" w:eastAsia="Arial" w:hAnsi="Arial"/>
                        <w:i/>
                        <w:color w:val="0000FF"/>
                        <w:sz w:val="22"/>
                        <w:u w:val="single"/>
                      </w:rPr>
                      <w:t>8.3. Gestion vaccinale (GEEV/GEV/EGV)</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AdditionalCommentsandRecommendations" w:history="1">
                    <w:r>
                      <w:rPr>
                        <w:rFonts w:ascii="Arial" w:eastAsia="Arial" w:hAnsi="Arial"/>
                        <w:i/>
                        <w:color w:val="0000FF"/>
                        <w:sz w:val="22"/>
                        <w:u w:val="single"/>
                      </w:rPr>
                      <w:t>9. Recommandations et commentaires supplémentaires de l'Organe national de coordination (CCIA/CCSS)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Listofdocumentsattached" w:history="1">
                    <w:r>
                      <w:rPr>
                        <w:rFonts w:ascii="Arial" w:eastAsia="Arial" w:hAnsi="Arial"/>
                        <w:i/>
                        <w:color w:val="0000FF"/>
                        <w:sz w:val="22"/>
                        <w:u w:val="single"/>
                      </w:rPr>
                      <w:t>10. Pièces jointes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Annexes" w:history="1">
                    <w:r>
                      <w:rPr>
                        <w:rFonts w:ascii="Arial" w:eastAsia="Arial" w:hAnsi="Arial"/>
                        <w:i/>
                        <w:color w:val="0000FF"/>
                        <w:sz w:val="22"/>
                        <w:u w:val="single"/>
                      </w:rPr>
                      <w:t>11. Annexes</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Annex1" w:history="1">
                    <w:r>
                      <w:rPr>
                        <w:rFonts w:ascii="Arial" w:eastAsia="Arial" w:hAnsi="Arial"/>
                        <w:i/>
                        <w:color w:val="0000FF"/>
                        <w:sz w:val="22"/>
                        <w:u w:val="single"/>
                      </w:rPr>
                      <w:t>Annexe 1 - Soutien systématique aux VNS</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11" w:history="1">
                    <w:r>
                      <w:rPr>
                        <w:rFonts w:ascii="Arial" w:eastAsia="Arial" w:hAnsi="Arial"/>
                        <w:i/>
                        <w:color w:val="0000FF"/>
                        <w:sz w:val="22"/>
                        <w:u w:val="single"/>
                      </w:rPr>
                      <w:t>Annexe 1.1 Antipneumococcique (VPC13), 1 dose(s) par flacon, LIQUIDE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11A" w:history="1">
                    <w:r>
                      <w:rPr>
                        <w:rFonts w:ascii="Arial" w:eastAsia="Arial" w:hAnsi="Arial"/>
                        <w:i/>
                        <w:color w:val="0000FF"/>
                        <w:sz w:val="22"/>
                        <w:u w:val="single"/>
                      </w:rPr>
                      <w:t>Tableau Annexe 1.1 A Part arrondie de matériel fourni par le pays et estimatio</w:t>
                    </w:r>
                    <w:r>
                      <w:rPr>
                        <w:rFonts w:ascii="Arial" w:eastAsia="Arial" w:hAnsi="Arial"/>
                        <w:i/>
                        <w:color w:val="0000FF"/>
                        <w:sz w:val="22"/>
                        <w:u w:val="single"/>
                      </w:rPr>
                      <w:t xml:space="preserve">n des coûts afférents </w:t>
                    </w:r>
                    <w:r>
                      <w:rPr>
                        <w:rFonts w:ascii="Arial" w:eastAsia="Arial" w:hAnsi="Arial"/>
                        <w:i/>
                        <w:color w:val="0000FF"/>
                        <w:sz w:val="22"/>
                        <w:u w:val="single"/>
                      </w:rPr>
                      <w:lastRenderedPageBreak/>
                      <w:t>en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11B" w:history="1">
                    <w:r>
                      <w:rPr>
                        <w:rFonts w:ascii="Arial" w:eastAsia="Arial" w:hAnsi="Arial"/>
                        <w:i/>
                        <w:color w:val="0000FF"/>
                        <w:sz w:val="22"/>
                        <w:u w:val="single"/>
                      </w:rPr>
                      <w:t>Tableau Annexe 1.1 B Part arrondie de matériel fourni par GAVI et estimation des coûts afférents en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11C" w:history="1">
                    <w:r>
                      <w:rPr>
                        <w:rFonts w:ascii="Arial" w:eastAsia="Arial" w:hAnsi="Arial"/>
                        <w:i/>
                        <w:color w:val="0000FF"/>
                        <w:sz w:val="22"/>
                        <w:u w:val="single"/>
                      </w:rPr>
                      <w:t>Tableau Annexe 1.1 C Tableau récapitulatif pour le vaccin A</w:t>
                    </w:r>
                    <w:r>
                      <w:rPr>
                        <w:rFonts w:ascii="Arial" w:eastAsia="Arial" w:hAnsi="Arial"/>
                        <w:i/>
                        <w:color w:val="0000FF"/>
                        <w:sz w:val="22"/>
                        <w:u w:val="single"/>
                      </w:rPr>
                      <w:t>ntipneumococcique (VPC13), 1 dose(s) par flacon, LIQUIDE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11D" w:history="1">
                    <w:r>
                      <w:rPr>
                        <w:rFonts w:ascii="Arial" w:eastAsia="Arial" w:hAnsi="Arial"/>
                        <w:i/>
                        <w:color w:val="0000FF"/>
                        <w:sz w:val="22"/>
                        <w:u w:val="single"/>
                      </w:rPr>
                      <w:t>Tableau Annexe 1.1 D Chiffres estimés pour Antipneumococcique (VPC13), 1 dose(s) par flacon, LIQUIDE, matériel de sécurité des injections associé et budget de co-finan</w:t>
                    </w:r>
                    <w:r>
                      <w:rPr>
                        <w:rFonts w:ascii="Arial" w:eastAsia="Arial" w:hAnsi="Arial"/>
                        <w:i/>
                        <w:color w:val="0000FF"/>
                        <w:sz w:val="22"/>
                        <w:u w:val="single"/>
                      </w:rPr>
                      <w:t>cement correspondant (page 1)</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Annex2" w:history="1">
                    <w:r>
                      <w:rPr>
                        <w:rFonts w:ascii="Arial" w:eastAsia="Arial" w:hAnsi="Arial"/>
                        <w:i/>
                        <w:color w:val="0000FF"/>
                        <w:sz w:val="22"/>
                        <w:u w:val="single"/>
                      </w:rPr>
                      <w:t>Annexe 2 - Soutien systématique aux VNS - Deuxième présentation préférée</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21" w:history="1">
                    <w:r>
                      <w:rPr>
                        <w:rFonts w:ascii="Arial" w:eastAsia="Arial" w:hAnsi="Arial"/>
                        <w:i/>
                        <w:color w:val="0000FF"/>
                        <w:sz w:val="22"/>
                        <w:u w:val="single"/>
                      </w:rPr>
                      <w:t>Annexe 2.1 Antipneumococcique (VPC10), 2 dose(s) par flacon, LIQUIDE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21A" w:history="1">
                    <w:r>
                      <w:rPr>
                        <w:rFonts w:ascii="Arial" w:eastAsia="Arial" w:hAnsi="Arial"/>
                        <w:i/>
                        <w:color w:val="0000FF"/>
                        <w:sz w:val="22"/>
                        <w:u w:val="single"/>
                      </w:rPr>
                      <w:t>Tableau Annexe 2.1 A Part arrondie de matériel fourni par le pays et estimation des coûts afférents en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21B" w:history="1">
                    <w:r>
                      <w:rPr>
                        <w:rFonts w:ascii="Arial" w:eastAsia="Arial" w:hAnsi="Arial"/>
                        <w:i/>
                        <w:color w:val="0000FF"/>
                        <w:sz w:val="22"/>
                        <w:u w:val="single"/>
                      </w:rPr>
                      <w:t>Tableau Annexe 2.1 B Part arrondie de matériel fourni par GAVI et estimation des coûts afférents en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21C" w:history="1">
                    <w:r>
                      <w:rPr>
                        <w:rFonts w:ascii="Arial" w:eastAsia="Arial" w:hAnsi="Arial"/>
                        <w:i/>
                        <w:color w:val="0000FF"/>
                        <w:sz w:val="22"/>
                        <w:u w:val="single"/>
                      </w:rPr>
                      <w:t>Tableau Annexe 2.1 C Tableau récapitulatif pour le vaccin Antipneumococcique (VPC10), 2 dose(s) par flacon, LIQUIDE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21D" w:history="1">
                    <w:r>
                      <w:rPr>
                        <w:rFonts w:ascii="Arial" w:eastAsia="Arial" w:hAnsi="Arial"/>
                        <w:i/>
                        <w:color w:val="0000FF"/>
                        <w:sz w:val="22"/>
                        <w:u w:val="single"/>
                      </w:rPr>
                      <w:t>Tableau Annexe 2.1 D Chiffres estimés pour Antipneumococcique (VPC10), 2 dose(s)</w:t>
                    </w:r>
                    <w:r>
                      <w:rPr>
                        <w:rFonts w:ascii="Arial" w:eastAsia="Arial" w:hAnsi="Arial"/>
                        <w:i/>
                        <w:color w:val="0000FF"/>
                        <w:sz w:val="22"/>
                        <w:u w:val="single"/>
                      </w:rPr>
                      <w:t xml:space="preserve"> par flacon, LIQUIDE, matériel de sécurité des injections associé et budget de co-financement correspondant (page 1)</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Annex3" w:history="1">
                    <w:r>
                      <w:rPr>
                        <w:rFonts w:ascii="Arial" w:eastAsia="Arial" w:hAnsi="Arial"/>
                        <w:i/>
                        <w:color w:val="0000FF"/>
                        <w:sz w:val="22"/>
                        <w:u w:val="single"/>
                      </w:rPr>
                      <w:t>Annexe 3 - Campagne(s) préventive(s) SNV</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10204" w:type="dxa"/>
                  <w:hMerge w:val="restart"/>
                  <w:tcMar>
                    <w:top w:w="40" w:type="dxa"/>
                    <w:left w:w="40" w:type="dxa"/>
                    <w:bottom w:w="40" w:type="dxa"/>
                    <w:right w:w="40" w:type="dxa"/>
                  </w:tcMar>
                  <w:vAlign w:val="center"/>
                </w:tcPr>
                <w:p w:rsidR="00000000" w:rsidRDefault="000D2E85">
                  <w:hyperlink w:anchor="Annex4" w:history="1">
                    <w:r>
                      <w:rPr>
                        <w:rFonts w:ascii="Arial" w:eastAsia="Arial" w:hAnsi="Arial"/>
                        <w:i/>
                        <w:color w:val="0000FF"/>
                        <w:sz w:val="22"/>
                        <w:u w:val="single"/>
                      </w:rPr>
                      <w:t>Annexe 4</w:t>
                    </w:r>
                  </w:hyperlink>
                </w:p>
              </w:tc>
              <w:tc>
                <w:tcPr>
                  <w:gridSpan w:val="2"/>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4A" w:history="1">
                    <w:r>
                      <w:rPr>
                        <w:rFonts w:ascii="Arial" w:eastAsia="Arial" w:hAnsi="Arial"/>
                        <w:i/>
                        <w:color w:val="0000FF"/>
                        <w:sz w:val="22"/>
                        <w:u w:val="single"/>
                      </w:rPr>
                      <w:t>Tableau Annexe 4A:Coûts des fournitures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4B" w:history="1">
                    <w:r>
                      <w:rPr>
                        <w:rFonts w:ascii="Arial" w:eastAsia="Arial" w:hAnsi="Arial"/>
                        <w:i/>
                        <w:color w:val="0000FF"/>
                        <w:sz w:val="22"/>
                        <w:u w:val="single"/>
                      </w:rPr>
                      <w:t>Tableau Annexe 4B: Frais de transport comme pourcentage de la valeur</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4C" w:history="1">
                    <w:r>
                      <w:rPr>
                        <w:rFonts w:ascii="Arial" w:eastAsia="Arial" w:hAnsi="Arial"/>
                        <w:i/>
                        <w:color w:val="0000FF"/>
                        <w:sz w:val="22"/>
                        <w:u w:val="single"/>
                      </w:rPr>
                      <w:t>Tableau Annexe 4C: Intermédiaire - Co-paiement minimum du pays par dose de vaccin c</w:t>
                    </w:r>
                    <w:r>
                      <w:rPr>
                        <w:rFonts w:ascii="Arial" w:eastAsia="Arial" w:hAnsi="Arial"/>
                        <w:i/>
                        <w:color w:val="0000FF"/>
                        <w:sz w:val="22"/>
                        <w:u w:val="single"/>
                      </w:rPr>
                      <w:t>o-financé</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4D" w:history="1">
                    <w:r>
                      <w:rPr>
                        <w:rFonts w:ascii="Arial" w:eastAsia="Arial" w:hAnsi="Arial"/>
                        <w:i/>
                        <w:color w:val="0000FF"/>
                        <w:sz w:val="22"/>
                        <w:u w:val="single"/>
                      </w:rPr>
                      <w:t>Tableau Annexe 4D: Taux et facteurs de pertes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hyperlink w:anchor="Annex4E" w:history="1">
                    <w:r>
                      <w:rPr>
                        <w:rFonts w:ascii="Arial" w:eastAsia="Arial" w:hAnsi="Arial"/>
                        <w:i/>
                        <w:color w:val="0000FF"/>
                        <w:sz w:val="22"/>
                        <w:u w:val="single"/>
                      </w:rPr>
                      <w:t>Tableau Annexe 4E: Volume conditionné maximal du vaccin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0D2E85"/>
              </w:tc>
              <w:tc>
                <w:tcPr>
                  <w:tcW w:w="10487" w:type="dxa"/>
                  <w:hMerge w:val="restart"/>
                  <w:tcMar>
                    <w:top w:w="40" w:type="dxa"/>
                    <w:left w:w="40" w:type="dxa"/>
                    <w:bottom w:w="40" w:type="dxa"/>
                    <w:right w:w="40" w:type="dxa"/>
                  </w:tcMar>
                  <w:vAlign w:val="center"/>
                </w:tcPr>
                <w:p w:rsidR="00000000" w:rsidRDefault="000D2E85">
                  <w:hyperlink w:anchor="BankingForm" w:history="1">
                    <w:r>
                      <w:rPr>
                        <w:rFonts w:ascii="Arial" w:eastAsia="Arial" w:hAnsi="Arial"/>
                        <w:i/>
                        <w:color w:val="0000FF"/>
                        <w:sz w:val="22"/>
                        <w:u w:val="single"/>
                      </w:rPr>
                      <w:t>12. Formulaire bancaire</w:t>
                    </w:r>
                  </w:hyperlink>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bl>
          <w:p w:rsidR="00000000" w:rsidRDefault="000D2E85"/>
        </w:tc>
      </w:tr>
    </w:tbl>
    <w:p w:rsidR="00000000" w:rsidRDefault="000D2E85">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 w:name="ExecutiveSummary"/>
                  <w:bookmarkEnd w:id="3"/>
                  <w:r>
                    <w:rPr>
                      <w:rFonts w:ascii="Arial" w:eastAsia="Arial" w:hAnsi="Arial"/>
                      <w:b/>
                      <w:color w:val="365F91"/>
                      <w:sz w:val="28"/>
                    </w:rPr>
                    <w:t>3. Résumé an</w:t>
                  </w:r>
                  <w:r>
                    <w:rPr>
                      <w:rFonts w:ascii="Arial" w:eastAsia="Arial" w:hAnsi="Arial"/>
                      <w:b/>
                      <w:color w:val="365F91"/>
                      <w:sz w:val="28"/>
                    </w:rPr>
                    <w:t>alytique</w:t>
                  </w:r>
                </w:p>
              </w:tc>
            </w:tr>
          </w:tbl>
          <w:p w:rsidR="00000000" w:rsidRDefault="000D2E85"/>
        </w:tc>
      </w:tr>
      <w:tr w:rsidR="00000000">
        <w:tblPrEx>
          <w:tblCellMar>
            <w:top w:w="0" w:type="dxa"/>
            <w:left w:w="0" w:type="dxa"/>
            <w:bottom w:w="0" w:type="dxa"/>
            <w:right w:w="0" w:type="dxa"/>
          </w:tblCellMar>
        </w:tblPrEx>
        <w:trPr>
          <w:trHeight w:val="103"/>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
              <w:gridCol w:w="1"/>
              <w:gridCol w:w="1"/>
              <w:gridCol w:w="280"/>
              <w:gridCol w:w="1"/>
              <w:gridCol w:w="1"/>
              <w:gridCol w:w="281"/>
              <w:gridCol w:w="1"/>
              <w:gridCol w:w="282"/>
              <w:gridCol w:w="9902"/>
            </w:tblGrid>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hyperlink w:anchor="ApplicationSpecification" w:history="1">
                    <w:r>
                      <w:rPr>
                        <w:rFonts w:ascii="Arial" w:eastAsia="Arial" w:hAnsi="Arial"/>
                        <w:color w:val="000000"/>
                        <w:sz w:val="22"/>
                      </w:rPr>
                      <w:t>Veuillez fournir un résumé de la proposition de votre pays, contenant notamment les informations suivantes:</w:t>
                    </w:r>
                  </w:hyperlink>
                </w:p>
              </w:tc>
              <w:tc>
                <w:tcPr>
                  <w:hMerge/>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7"/>
                  <w:hMerge/>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tc>
              <w:tc>
                <w:tcPr>
                  <w:tcW w:w="283" w:type="dxa"/>
                  <w:gridSpan w:val="2"/>
                  <w:tcMar>
                    <w:top w:w="40" w:type="dxa"/>
                    <w:left w:w="40" w:type="dxa"/>
                    <w:bottom w:w="40" w:type="dxa"/>
                    <w:right w:w="40" w:type="dxa"/>
                  </w:tcMar>
                  <w:vAlign w:val="center"/>
                </w:tcPr>
                <w:p w:rsidR="00000000" w:rsidRDefault="000D2E85"/>
              </w:tc>
              <w:tc>
                <w:tcPr>
                  <w:tcW w:w="9921"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487" w:type="dxa"/>
                  <w:hMerge w:val="restart"/>
                  <w:tcBorders>
                    <w:right w:val="single" w:sz="8" w:space="0" w:color="000000"/>
                  </w:tcBorders>
                  <w:tcMar>
                    <w:top w:w="40" w:type="dxa"/>
                    <w:left w:w="40" w:type="dxa"/>
                    <w:bottom w:w="40" w:type="dxa"/>
                    <w:right w:w="40" w:type="dxa"/>
                  </w:tcMar>
                  <w:vAlign w:val="center"/>
                </w:tcPr>
                <w:p w:rsidR="00000000" w:rsidRDefault="000D2E85">
                  <w:hyperlink w:anchor="ApplicationSpecification" w:history="1">
                    <w:r>
                      <w:rPr>
                        <w:rFonts w:ascii="Arial" w:eastAsia="Arial" w:hAnsi="Arial"/>
                        <w:color w:val="000000"/>
                        <w:sz w:val="22"/>
                      </w:rPr>
                      <w:t>Pour chaque demande spécifique, sout</w:t>
                    </w:r>
                    <w:r>
                      <w:rPr>
                        <w:rFonts w:ascii="Arial" w:eastAsia="Arial" w:hAnsi="Arial"/>
                        <w:color w:val="000000"/>
                        <w:sz w:val="22"/>
                      </w:rPr>
                      <w:t xml:space="preserve">ien systématique aux nouveaux vaccins ou campagne SNV : </w:t>
                    </w:r>
                  </w:hyperlink>
                </w:p>
              </w:tc>
              <w:tc>
                <w:tcPr>
                  <w:hMerge/>
                  <w:tcBorders>
                    <w:right w:val="single" w:sz="8" w:space="0" w:color="000000"/>
                  </w:tcBorders>
                  <w:tcMar>
                    <w:top w:w="40" w:type="dxa"/>
                    <w:left w:w="40" w:type="dxa"/>
                    <w:bottom w:w="40" w:type="dxa"/>
                    <w:right w:w="40" w:type="dxa"/>
                  </w:tcMar>
                  <w:vAlign w:val="center"/>
                </w:tcPr>
                <w:p w:rsidR="00000000" w:rsidRDefault="000D2E85"/>
              </w:tc>
              <w:tc>
                <w:tcPr>
                  <w:gridSpan w:val="4"/>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Durée du soutien</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Montant total du financement</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Détails du/des vaccins(s), si approprié</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141"/>
              </w:trPr>
              <w:tc>
                <w:tcPr>
                  <w:tcW w:w="10770" w:type="dxa"/>
                  <w:hMerge w:val="restart"/>
                  <w:tcBorders>
                    <w:left w:val="single" w:sz="8" w:space="0" w:color="000000"/>
                    <w:right w:val="single" w:sz="8" w:space="0" w:color="000000"/>
                  </w:tcBorders>
                  <w:tcMar>
                    <w:top w:w="0" w:type="dxa"/>
                    <w:left w:w="0" w:type="dxa"/>
                    <w:bottom w:w="0" w:type="dxa"/>
                    <w:right w:w="0" w:type="dxa"/>
                  </w:tcMar>
                  <w:vAlign w:val="center"/>
                </w:tcPr>
                <w:p w:rsidR="00000000" w:rsidRDefault="000D2E85"/>
              </w:tc>
              <w:tc>
                <w:tcPr>
                  <w:hMerge/>
                  <w:tcBorders>
                    <w:left w:val="single" w:sz="8" w:space="0" w:color="000000"/>
                    <w:right w:val="single" w:sz="8" w:space="0" w:color="000000"/>
                  </w:tcBorders>
                  <w:tcMar>
                    <w:top w:w="0" w:type="dxa"/>
                    <w:left w:w="0" w:type="dxa"/>
                    <w:bottom w:w="0" w:type="dxa"/>
                    <w:right w:w="0" w:type="dxa"/>
                  </w:tcMar>
                  <w:vAlign w:val="center"/>
                </w:tcPr>
                <w:p w:rsidR="00000000" w:rsidRDefault="000D2E85"/>
              </w:tc>
              <w:tc>
                <w:tcPr>
                  <w:hMerge/>
                  <w:tcBorders>
                    <w:left w:val="single" w:sz="8" w:space="0" w:color="000000"/>
                    <w:right w:val="single" w:sz="8" w:space="0" w:color="000000"/>
                  </w:tcBorders>
                  <w:tcMar>
                    <w:top w:w="0" w:type="dxa"/>
                    <w:left w:w="0" w:type="dxa"/>
                    <w:bottom w:w="0" w:type="dxa"/>
                    <w:right w:w="0" w:type="dxa"/>
                  </w:tcMar>
                  <w:vAlign w:val="center"/>
                </w:tcPr>
                <w:p w:rsidR="00000000" w:rsidRDefault="000D2E85"/>
              </w:tc>
              <w:tc>
                <w:tcPr>
                  <w:gridSpan w:val="7"/>
                  <w:hMerge/>
                  <w:tcBorders>
                    <w:left w:val="single" w:sz="8" w:space="0" w:color="000000"/>
                    <w:right w:val="single" w:sz="8" w:space="0" w:color="000000"/>
                  </w:tcBorders>
                  <w:tcMar>
                    <w:top w:w="0" w:type="dxa"/>
                    <w:left w:w="0" w:type="dxa"/>
                    <w:bottom w:w="0" w:type="dxa"/>
                    <w:right w:w="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487"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Données de référence pertinentes, et notamment:</w:t>
                  </w:r>
                </w:p>
              </w:tc>
              <w:tc>
                <w:tcPr>
                  <w:hMerge/>
                  <w:tcBorders>
                    <w:right w:val="single" w:sz="8" w:space="0" w:color="000000"/>
                  </w:tcBorders>
                  <w:tcMar>
                    <w:top w:w="40" w:type="dxa"/>
                    <w:left w:w="40" w:type="dxa"/>
                    <w:bottom w:w="40" w:type="dxa"/>
                    <w:right w:w="40" w:type="dxa"/>
                  </w:tcMar>
                  <w:vAlign w:val="center"/>
                </w:tcPr>
                <w:p w:rsidR="00000000" w:rsidRDefault="000D2E85"/>
              </w:tc>
              <w:tc>
                <w:tcPr>
                  <w:gridSpan w:val="4"/>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Données sur la couverture DTP3 et</w:t>
                  </w:r>
                  <w:r>
                    <w:rPr>
                      <w:rFonts w:ascii="Arial" w:eastAsia="Arial" w:hAnsi="Arial"/>
                      <w:color w:val="000000"/>
                      <w:sz w:val="22"/>
                    </w:rPr>
                    <w:t xml:space="preserve"> rougeole (telles que figurant sur le formulaire conjoint de déclaration OMS/UNICEF)</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Nombre de naissances, cibles et couverture vaccinale du vaccin</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61"/>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7"/>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487"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État de préparation du pays</w:t>
                  </w:r>
                </w:p>
              </w:tc>
              <w:tc>
                <w:tcPr>
                  <w:hMerge/>
                  <w:tcBorders>
                    <w:right w:val="single" w:sz="8" w:space="0" w:color="000000"/>
                  </w:tcBorders>
                  <w:tcMar>
                    <w:top w:w="40" w:type="dxa"/>
                    <w:left w:w="40" w:type="dxa"/>
                    <w:bottom w:w="40" w:type="dxa"/>
                    <w:right w:w="40" w:type="dxa"/>
                  </w:tcMar>
                  <w:vAlign w:val="center"/>
                </w:tcPr>
                <w:p w:rsidR="00000000" w:rsidRDefault="000D2E85"/>
              </w:tc>
              <w:tc>
                <w:tcPr>
                  <w:gridSpan w:val="4"/>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Résumé de l'évaluation EVM</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61"/>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7"/>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487"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Nature des parties prena</w:t>
                  </w:r>
                  <w:r>
                    <w:rPr>
                      <w:rFonts w:ascii="Arial" w:eastAsia="Arial" w:hAnsi="Arial"/>
                      <w:color w:val="000000"/>
                      <w:sz w:val="22"/>
                    </w:rPr>
                    <w:t>ntes ayant participé à l'élaboration de cette proposition</w:t>
                  </w:r>
                </w:p>
              </w:tc>
              <w:tc>
                <w:tcPr>
                  <w:hMerge/>
                  <w:tcBorders>
                    <w:right w:val="single" w:sz="8" w:space="0" w:color="000000"/>
                  </w:tcBorders>
                  <w:tcMar>
                    <w:top w:w="40" w:type="dxa"/>
                    <w:left w:w="40" w:type="dxa"/>
                    <w:bottom w:w="40" w:type="dxa"/>
                    <w:right w:w="40" w:type="dxa"/>
                  </w:tcMar>
                  <w:vAlign w:val="center"/>
                </w:tcPr>
                <w:p w:rsidR="00000000" w:rsidRDefault="000D2E85"/>
              </w:tc>
              <w:tc>
                <w:tcPr>
                  <w:gridSpan w:val="4"/>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4"/>
                  <w:tcBorders>
                    <w:left w:val="single" w:sz="8" w:space="0" w:color="000000"/>
                  </w:tcBorders>
                  <w:tcMar>
                    <w:top w:w="40" w:type="dxa"/>
                    <w:left w:w="40" w:type="dxa"/>
                    <w:bottom w:w="40" w:type="dxa"/>
                    <w:right w:w="40" w:type="dxa"/>
                  </w:tcMar>
                  <w:vAlign w:val="center"/>
                </w:tcPr>
                <w:p w:rsidR="00000000" w:rsidRDefault="000D2E85"/>
              </w:tc>
              <w:tc>
                <w:tcPr>
                  <w:tcW w:w="283" w:type="dxa"/>
                  <w:gridSpan w:val="3"/>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204" w:type="dxa"/>
                  <w:hMerge w:val="restart"/>
                  <w:tcBorders>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Comité de coordination interagences (CCIA)</w:t>
                  </w:r>
                </w:p>
              </w:tc>
              <w:tc>
                <w:tcPr>
                  <w:gridSpan w:val="2"/>
                  <w:hMerge/>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61"/>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7"/>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spacing w:before="200" w:after="200"/>
                  </w:pPr>
                  <w:r>
                    <w:rPr>
                      <w:rFonts w:ascii="Arial" w:eastAsia="Arial" w:hAnsi="Arial"/>
                      <w:color w:val="000000"/>
                      <w:sz w:val="22"/>
                    </w:rPr>
                    <w:t>La Côte d'Ivoire soumissionne auprès de GAVI pour l'introduction du vaccin antipneumococcique. Ce soutien demandé à GAVI couvrira la période a</w:t>
                  </w:r>
                  <w:r>
                    <w:rPr>
                      <w:rFonts w:ascii="Arial" w:eastAsia="Arial" w:hAnsi="Arial"/>
                      <w:color w:val="000000"/>
                      <w:sz w:val="22"/>
                    </w:rPr>
                    <w:t xml:space="preserve">llant de 2013 à 2015. Il sera renouvellé avec l'actualisation du PPAC 2011 - 2015. Le coût lié à l'introduction de ce vaccin pour la periode 2013-2015 est de 32 729 074 USD. Ce cout comprend : le cout des vaccins et consommables d'un montant de 29 396 000 </w:t>
                  </w:r>
                  <w:r>
                    <w:rPr>
                      <w:rFonts w:ascii="Arial" w:eastAsia="Arial" w:hAnsi="Arial"/>
                      <w:color w:val="000000"/>
                      <w:sz w:val="22"/>
                    </w:rPr>
                    <w:t>USD, les couts operationnels d'un montant de 3 333 074 USD .</w:t>
                  </w:r>
                </w:p>
                <w:p w:rsidR="00000000" w:rsidRDefault="000D2E85">
                  <w:pPr>
                    <w:spacing w:after="200"/>
                  </w:pPr>
                  <w:r>
                    <w:rPr>
                      <w:rFonts w:ascii="Arial" w:eastAsia="Arial" w:hAnsi="Arial"/>
                      <w:color w:val="000000"/>
                      <w:sz w:val="22"/>
                    </w:rPr>
                    <w:t>Après analyse, le pays a choisi le vaccin  liquide a</w:t>
                  </w:r>
                  <w:r>
                    <w:rPr>
                      <w:rFonts w:ascii="'arial','sans-serif'" w:eastAsia="'arial','sans-serif'" w:hAnsi="'arial','sans-serif'"/>
                      <w:color w:val="000000"/>
                      <w:sz w:val="18"/>
                    </w:rPr>
                    <w:t>ntipneumococcique (PCV13) injectable en conditionnement d'une dose par flacon.</w:t>
                  </w:r>
                </w:p>
                <w:p w:rsidR="00000000" w:rsidRDefault="000D2E85">
                  <w:pPr>
                    <w:spacing w:after="200"/>
                  </w:pPr>
                  <w:r>
                    <w:rPr>
                      <w:rFonts w:ascii="'arial','sans-serif'" w:eastAsia="'arial','sans-serif'" w:hAnsi="'arial','sans-serif'"/>
                      <w:color w:val="000000"/>
                      <w:sz w:val="18"/>
                    </w:rPr>
                    <w:t>Les données de référence pour l'année 2011 en ce qui concerne le</w:t>
                  </w:r>
                  <w:r>
                    <w:rPr>
                      <w:rFonts w:ascii="'arial','sans-serif'" w:eastAsia="'arial','sans-serif'" w:hAnsi="'arial','sans-serif'"/>
                      <w:color w:val="000000"/>
                      <w:sz w:val="18"/>
                    </w:rPr>
                    <w:t>s couvertures vaccinales pour la 3ème dose du vaccin pentavalent et pour le vaccin contre la rougeole sont respectivement de 62% et de 49%.</w:t>
                  </w:r>
                </w:p>
                <w:p w:rsidR="00000000" w:rsidRDefault="000D2E85">
                  <w:pPr>
                    <w:spacing w:after="200"/>
                  </w:pPr>
                  <w:r>
                    <w:rPr>
                      <w:rFonts w:ascii="'arial','sans-serif'" w:eastAsia="'arial','sans-serif'" w:hAnsi="'arial','sans-serif'"/>
                      <w:color w:val="000000"/>
                      <w:sz w:val="18"/>
                    </w:rPr>
                    <w:t xml:space="preserve">Le PCV 13 visera les enfants âgés de 0 à 11 mois à raison de : </w:t>
                  </w:r>
                  <w:r>
                    <w:rPr>
                      <w:rFonts w:ascii="'arial','sans-serif'" w:eastAsia="'arial','sans-serif'" w:hAnsi="'arial','sans-serif'"/>
                      <w:color w:val="000000"/>
                      <w:sz w:val="18"/>
                    </w:rPr>
                    <w:t xml:space="preserve">750 731 enfants en 2013, </w:t>
                  </w:r>
                  <w:r>
                    <w:rPr>
                      <w:rFonts w:ascii="'arial','sans-serif'" w:eastAsia="'arial','sans-serif'" w:hAnsi="'arial','sans-serif'"/>
                      <w:color w:val="000000"/>
                      <w:sz w:val="18"/>
                    </w:rPr>
                    <w:t>762 377 enfants en 2014 et </w:t>
                  </w:r>
                  <w:r>
                    <w:rPr>
                      <w:rFonts w:ascii="'arial','sans-serif'" w:eastAsia="'arial','sans-serif'" w:hAnsi="'arial','sans-serif'"/>
                      <w:color w:val="000000"/>
                      <w:sz w:val="18"/>
                    </w:rPr>
                    <w:t>7</w:t>
                  </w:r>
                  <w:r>
                    <w:rPr>
                      <w:rFonts w:ascii="'arial','sans-serif'" w:eastAsia="'arial','sans-serif'" w:hAnsi="'arial','sans-serif'"/>
                      <w:color w:val="000000"/>
                      <w:sz w:val="18"/>
                    </w:rPr>
                    <w:t>73 035 enfants en 2015. Les couvertures vaccinales visées étant respectivement de 94%, 96% et 98%.</w:t>
                  </w:r>
                </w:p>
                <w:p w:rsidR="00000000" w:rsidRDefault="000D2E85">
                  <w:pPr>
                    <w:spacing w:after="200"/>
                  </w:pPr>
                  <w:r>
                    <w:rPr>
                      <w:rFonts w:ascii="'arial','sans-serif'" w:eastAsia="'arial','sans-serif'" w:hAnsi="'arial','sans-serif'"/>
                      <w:color w:val="000000"/>
                      <w:sz w:val="18"/>
                    </w:rPr>
                    <w:t>En prélude à l'introduction du PCV 13, une évaluation de la chaîne d'approvisionnement en vaccins a été organisée. Cette évaluation a fait ressortir que la C</w:t>
                  </w:r>
                  <w:r>
                    <w:rPr>
                      <w:rFonts w:ascii="'arial','sans-serif'" w:eastAsia="'arial','sans-serif'" w:hAnsi="'arial','sans-serif'"/>
                      <w:color w:val="000000"/>
                      <w:sz w:val="18"/>
                    </w:rPr>
                    <w:t>ote d'Ivoire dispose d'une capacite suffisante pour le stockage des vaccins et un systeme de transport des vaccins adequat depuis le niveau central jusqu'au niveau regional. Cependant, elle a releve un certain nombre d'insuffisance dont l'absence d'enregis</w:t>
                  </w:r>
                  <w:r>
                    <w:rPr>
                      <w:rFonts w:ascii="'arial','sans-serif'" w:eastAsia="'arial','sans-serif'" w:hAnsi="'arial','sans-serif'"/>
                      <w:color w:val="000000"/>
                      <w:sz w:val="18"/>
                    </w:rPr>
                    <w:t>treurs continus de temperature a tous les niveaux. Les recommandations formulees permettront de corriger l'ensemble de ces insuffisances.</w:t>
                  </w:r>
                </w:p>
                <w:p w:rsidR="00000000" w:rsidRDefault="000D2E85">
                  <w:pPr>
                    <w:spacing w:after="200"/>
                  </w:pPr>
                  <w:r>
                    <w:rPr>
                      <w:rFonts w:ascii="'arial','sans-serif'" w:eastAsia="'arial','sans-serif'" w:hAnsi="'arial','sans-serif'"/>
                      <w:color w:val="000000"/>
                      <w:sz w:val="18"/>
                    </w:rPr>
                    <w:t>Cette proposition à GAVI a reçu l'approbation du Groupe Thématique Restreint pour la vaccination (GTR) en sa session d</w:t>
                  </w:r>
                  <w:r>
                    <w:rPr>
                      <w:rFonts w:ascii="'arial','sans-serif'" w:eastAsia="'arial','sans-serif'" w:hAnsi="'arial','sans-serif'"/>
                      <w:color w:val="000000"/>
                      <w:sz w:val="18"/>
                    </w:rPr>
                    <w:t>u 17 Août 2012 et du Comité de Coordination  Inter-Agence (CCIA) en sa session du 21 Août 2012.</w:t>
                  </w:r>
                </w:p>
                <w:p w:rsidR="00000000" w:rsidRDefault="000D2E85">
                  <w:pPr>
                    <w:spacing w:after="200"/>
                  </w:pPr>
                  <w:r>
                    <w:rPr>
                      <w:rFonts w:ascii="'arial','sans-serif'" w:eastAsia="'arial','sans-serif'" w:hAnsi="'arial','sans-serif'"/>
                      <w:color w:val="000000"/>
                      <w:sz w:val="18"/>
                    </w:rPr>
                    <w:br/>
                  </w:r>
                </w:p>
              </w:tc>
              <w:tc>
                <w:tcPr>
                  <w:hMerge/>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hMerge/>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gridSpan w:val="7"/>
                  <w:hMerge/>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
        <w:gridCol w:w="1"/>
        <w:gridCol w:w="981"/>
        <w:gridCol w:w="8180"/>
        <w:gridCol w:w="1607"/>
      </w:tblGrid>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 w:name="Signatures"/>
                  <w:bookmarkEnd w:id="4"/>
                  <w:r>
                    <w:rPr>
                      <w:rFonts w:ascii="Arial" w:eastAsia="Arial" w:hAnsi="Arial"/>
                      <w:b/>
                      <w:color w:val="365F91"/>
                      <w:sz w:val="28"/>
                    </w:rPr>
                    <w:t>4. Signatures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5" w:name="Signatures1"/>
                  <w:bookmarkEnd w:id="5"/>
                  <w:r>
                    <w:rPr>
                      <w:rFonts w:ascii="Arial" w:eastAsia="Arial" w:hAnsi="Arial"/>
                      <w:b/>
                      <w:color w:val="365F91"/>
                      <w:sz w:val="24"/>
                    </w:rPr>
                    <w:t>4.1. Signatures du Gouvernement et des organes nationaux de coordination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6" w:name="Signatures11"/>
                  <w:bookmarkEnd w:id="6"/>
                  <w:r>
                    <w:rPr>
                      <w:rFonts w:ascii="Arial" w:eastAsia="Arial" w:hAnsi="Arial"/>
                      <w:b/>
                      <w:color w:val="365F91"/>
                      <w:sz w:val="24"/>
                    </w:rPr>
                    <w:t>4.1.1. Le Gouvernement et le Comité de coordination i</w:t>
                  </w:r>
                  <w:r>
                    <w:rPr>
                      <w:rFonts w:ascii="Arial" w:eastAsia="Arial" w:hAnsi="Arial"/>
                      <w:b/>
                      <w:color w:val="365F91"/>
                      <w:sz w:val="24"/>
                    </w:rPr>
                    <w:t>nteragences pour la vaccination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Gouvernement de Côte d'Ivoire aimerait élargir le partenariat actuel avec GAVI Alliance pour améliorer le programme national de vaccination systématique des nourrissons, et demande précisément par la présente le sout</w:t>
                  </w:r>
                  <w:r>
                    <w:rPr>
                      <w:rFonts w:ascii="Arial" w:eastAsia="Arial" w:hAnsi="Arial"/>
                      <w:color w:val="000000"/>
                      <w:sz w:val="22"/>
                    </w:rPr>
                    <w:t>ien de GAVI pour</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21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983" w:type="dxa"/>
            <w:gridSpan w:val="3"/>
          </w:tcPr>
          <w:p w:rsidR="00000000" w:rsidRDefault="000D2E85">
            <w:pPr>
              <w:pStyle w:val="EmptyLayoutCell"/>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000000">
              <w:tblPrEx>
                <w:tblCellMar>
                  <w:top w:w="0" w:type="dxa"/>
                  <w:left w:w="0" w:type="dxa"/>
                  <w:bottom w:w="0" w:type="dxa"/>
                  <w:right w:w="0" w:type="dxa"/>
                </w:tblCellMar>
              </w:tblPrEx>
              <w:trPr>
                <w:trHeight w:val="260"/>
              </w:trPr>
              <w:tc>
                <w:tcPr>
                  <w:tcW w:w="8180" w:type="dxa"/>
                  <w:tcMar>
                    <w:top w:w="40" w:type="dxa"/>
                    <w:left w:w="40" w:type="dxa"/>
                    <w:bottom w:w="40" w:type="dxa"/>
                    <w:right w:w="40" w:type="dxa"/>
                  </w:tcMar>
                  <w:vAlign w:val="center"/>
                </w:tcPr>
                <w:p w:rsidR="00000000" w:rsidRDefault="000D2E85">
                  <w:r>
                    <w:rPr>
                      <w:rFonts w:ascii="Arial" w:eastAsia="Arial" w:hAnsi="Arial"/>
                      <w:color w:val="008000"/>
                      <w:sz w:val="22"/>
                    </w:rPr>
                    <w:t>Antipneumococcique (VPC13), 1 dose(s) par flacon, LIQUIDE</w:t>
                  </w:r>
                  <w:r>
                    <w:rPr>
                      <w:rFonts w:ascii="Arial" w:eastAsia="Arial" w:hAnsi="Arial"/>
                      <w:color w:val="000000"/>
                      <w:sz w:val="22"/>
                    </w:rPr>
                    <w:t xml:space="preserve"> introduction systématique</w:t>
                  </w:r>
                </w:p>
              </w:tc>
            </w:tr>
          </w:tbl>
          <w:p w:rsidR="00000000" w:rsidRDefault="000D2E85"/>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214"/>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Gouvernement de Côte d'Ivoire s'engage à développer les services nationaux de vaccination sur une base durable, conformément au plan p</w:t>
                  </w:r>
                  <w:r>
                    <w:rPr>
                      <w:rFonts w:ascii="Arial" w:eastAsia="Arial" w:hAnsi="Arial"/>
                      <w:color w:val="000000"/>
                      <w:sz w:val="22"/>
                    </w:rPr>
                    <w:t>luriannuel global présenté avec le présent document. Le Gouvernement demande à GAVI Alliance et à ses partenaires d'apporter une assistance financière et technique pour soutenir la vaccination des enfants telle qu'elle est présentée dans cette demande de s</w:t>
                  </w:r>
                  <w:r>
                    <w:rPr>
                      <w:rFonts w:ascii="Arial" w:eastAsia="Arial" w:hAnsi="Arial"/>
                      <w:color w:val="000000"/>
                      <w:sz w:val="22"/>
                    </w:rPr>
                    <w:t>outien.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04"/>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Le(s) tableau(x) 6.2.4 de la section SNV systématique de la présente proposition donne(nt) le montant du soutien (en nature ou en espèces) qui est demandé à GAVI Alliance. Le(s)Tableau(x) 6.2.3 de la présente proposition indiquent l'engage</w:t>
                  </w:r>
                  <w:r>
                    <w:rPr>
                      <w:rFonts w:ascii="Arial" w:eastAsia="Arial" w:hAnsi="Arial"/>
                      <w:color w:val="000000"/>
                      <w:sz w:val="22"/>
                    </w:rPr>
                    <w:t xml:space="preserve">ment financier du Gouvernement pour l'approvisionnement de ce nouveau vaccin (soutien NVS uniquement). </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98"/>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En accord avec les réglementations internes budgétaires et de financement, le gouvernement distribuera sa part des financements au mois de </w:t>
                  </w:r>
                  <w:r>
                    <w:rPr>
                      <w:rFonts w:ascii="Arial" w:eastAsia="Arial" w:hAnsi="Arial"/>
                      <w:b/>
                      <w:color w:val="0000FF"/>
                      <w:sz w:val="22"/>
                    </w:rPr>
                    <w:t>déce</w:t>
                  </w:r>
                  <w:r>
                    <w:rPr>
                      <w:rFonts w:ascii="Arial" w:eastAsia="Arial" w:hAnsi="Arial"/>
                      <w:b/>
                      <w:color w:val="0000FF"/>
                      <w:sz w:val="22"/>
                    </w:rPr>
                    <w:t>mbre</w:t>
                  </w:r>
                  <w:r>
                    <w:rPr>
                      <w:rFonts w:ascii="Arial" w:eastAsia="Arial" w:hAnsi="Arial"/>
                      <w:color w:val="000000"/>
                      <w:sz w:val="22"/>
                    </w:rPr>
                    <w:t>.</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6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règlement de la première année de soutien cofinancé sera dû aux alentours de </w:t>
                  </w:r>
                  <w:r>
                    <w:rPr>
                      <w:rFonts w:ascii="Arial" w:eastAsia="Arial" w:hAnsi="Arial"/>
                      <w:b/>
                      <w:color w:val="0000FF"/>
                      <w:sz w:val="22"/>
                    </w:rPr>
                    <w:t>décembre</w:t>
                  </w:r>
                  <w:r>
                    <w:rPr>
                      <w:rFonts w:ascii="Arial" w:eastAsia="Arial" w:hAnsi="Arial"/>
                      <w:color w:val="000000"/>
                      <w:sz w:val="22"/>
                    </w:rPr>
                    <w:t xml:space="preserve"> </w:t>
                  </w:r>
                  <w:r>
                    <w:rPr>
                      <w:rFonts w:ascii="Arial" w:eastAsia="Arial" w:hAnsi="Arial"/>
                      <w:b/>
                      <w:color w:val="0000FF"/>
                      <w:sz w:val="22"/>
                    </w:rPr>
                    <w:t>2013</w:t>
                  </w:r>
                  <w:r>
                    <w:rPr>
                      <w:rFonts w:ascii="Arial" w:eastAsia="Arial" w:hAnsi="Arial"/>
                      <w:color w:val="000000"/>
                      <w:sz w:val="22"/>
                    </w:rPr>
                    <w:t xml:space="preserve"> pour </w:t>
                  </w:r>
                  <w:r>
                    <w:rPr>
                      <w:rFonts w:ascii="Arial" w:eastAsia="Arial" w:hAnsi="Arial"/>
                      <w:color w:val="008000"/>
                      <w:sz w:val="22"/>
                    </w:rPr>
                    <w:t>Antipneumococcique (VPC13), 1 dose(s) par flacon, LIQUIDE</w:t>
                  </w:r>
                  <w:r>
                    <w:rPr>
                      <w:rFonts w:ascii="Arial" w:eastAsia="Arial" w:hAnsi="Arial"/>
                      <w:color w:val="000000"/>
                      <w:sz w:val="22"/>
                    </w:rPr>
                    <w:t>.</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06"/>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Veuillez noter que la présente demande ne sera  ni examinée, ni approuvée </w:t>
                  </w:r>
                  <w:r>
                    <w:rPr>
                      <w:rFonts w:ascii="Arial" w:eastAsia="Arial" w:hAnsi="Arial"/>
                      <w:color w:val="000000"/>
                      <w:sz w:val="22"/>
                    </w:rPr>
                    <w:t>par le Comité d'examen indépendant si elle n'est pas munie des signatures du Ministre de la Santé et du Ministre des Finances ou de leur représentant autorisé.</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
              <w:gridCol w:w="1415"/>
              <w:gridCol w:w="3959"/>
              <w:gridCol w:w="1"/>
              <w:gridCol w:w="1415"/>
              <w:gridCol w:w="3959"/>
            </w:tblGrid>
            <w:tr w:rsidR="00000000">
              <w:tblPrEx>
                <w:tblCellMar>
                  <w:top w:w="0" w:type="dxa"/>
                  <w:left w:w="0" w:type="dxa"/>
                  <w:bottom w:w="0" w:type="dxa"/>
                  <w:right w:w="0" w:type="dxa"/>
                </w:tblCellMar>
              </w:tblPrEx>
              <w:trPr>
                <w:trHeight w:val="260"/>
              </w:trPr>
              <w:tc>
                <w:tcPr>
                  <w:tcW w:w="5385"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Ministre de la Santé (ou représentant autorisé)</w:t>
                  </w:r>
                </w:p>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5385"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Ministre des Finances (ou représentant</w:t>
                  </w:r>
                  <w:r>
                    <w:rPr>
                      <w:rFonts w:ascii="Arial" w:eastAsia="Arial" w:hAnsi="Arial"/>
                      <w:b/>
                      <w:color w:val="000101"/>
                    </w:rPr>
                    <w:t xml:space="preserve"> autorisé)</w:t>
                  </w:r>
                </w:p>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Nom</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JEAN KOUAME DENOMAN</w:t>
                  </w:r>
                </w:p>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Nom</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KALOU EMMANUEL</w:t>
                  </w:r>
                </w:p>
              </w:tc>
            </w:tr>
            <w:tr w:rsidR="00000000">
              <w:tblPrEx>
                <w:tblCellMar>
                  <w:top w:w="0" w:type="dxa"/>
                  <w:left w:w="0" w:type="dxa"/>
                  <w:bottom w:w="0" w:type="dxa"/>
                  <w:right w:w="0" w:type="dxa"/>
                </w:tblCellMar>
              </w:tblPrEx>
              <w:trPr>
                <w:trHeight w:val="600"/>
              </w:trPr>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600"/>
              </w:trPr>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78"/>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i/>
                      <w:color w:val="000000"/>
                      <w:sz w:val="22"/>
                      <w:u w:val="single"/>
                    </w:rPr>
                    <w:t>Le présent rapport a été établi par</w:t>
                  </w:r>
                  <w:r>
                    <w:rPr>
                      <w:rFonts w:ascii="Arial" w:eastAsia="Arial" w:hAnsi="Arial"/>
                      <w:i/>
                      <w:color w:val="000000"/>
                      <w:sz w:val="22"/>
                      <w:u w:val="single"/>
                    </w:rPr>
                    <w:t xml:space="preserve"> (Ces personnes pourront être contactées par le Secrétariat GAVI si des informations complémentaires à cette soumission </w:t>
                  </w:r>
                  <w:r>
                    <w:rPr>
                      <w:rFonts w:ascii="Arial" w:eastAsia="Arial" w:hAnsi="Arial"/>
                      <w:i/>
                      <w:color w:val="000000"/>
                      <w:sz w:val="22"/>
                      <w:u w:val="single"/>
                    </w:rPr>
                    <w:t>sont nécessaires):</w:t>
                  </w:r>
                  <w:r>
                    <w:rPr>
                      <w:rFonts w:ascii="Arial" w:eastAsia="Arial" w:hAnsi="Arial"/>
                      <w:i/>
                      <w:color w:val="000000"/>
                      <w:sz w:val="22"/>
                    </w:rPr>
                    <w:t xml:space="preserve"> </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2611"/>
              <w:gridCol w:w="2272"/>
              <w:gridCol w:w="3429"/>
              <w:gridCol w:w="2438"/>
            </w:tblGrid>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Nom entier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Fonction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Téléphone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E-mail</w:t>
                  </w:r>
                </w:p>
              </w:tc>
            </w:tr>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101"/>
                      <w:sz w:val="18"/>
                    </w:rPr>
                    <w:t>BROU AKA Noel</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Coordonateur du PEV</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101"/>
                      <w:sz w:val="18"/>
                    </w:rPr>
                    <w:t>(00225)05867396/(00225)41144546/+225 21 24 25 29</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brouaka_1@yahoo.com</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7" w:name="Signature12"/>
                  <w:bookmarkEnd w:id="7"/>
                  <w:r>
                    <w:rPr>
                      <w:rFonts w:ascii="Arial" w:eastAsia="Arial" w:hAnsi="Arial"/>
                      <w:b/>
                      <w:color w:val="365F91"/>
                      <w:sz w:val="24"/>
                    </w:rPr>
                    <w:t>4.1.2. Organe national de coordination - Comité de coordination int</w:t>
                  </w:r>
                  <w:r>
                    <w:rPr>
                      <w:rFonts w:ascii="Arial" w:eastAsia="Arial" w:hAnsi="Arial"/>
                      <w:b/>
                      <w:color w:val="365F91"/>
                      <w:sz w:val="24"/>
                    </w:rPr>
                    <w:t>eragences pour la vaccination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Nous soussignés, membres du CCIA/CCSS [1] nous sommes réunis le </w:t>
                  </w:r>
                  <w:r>
                    <w:rPr>
                      <w:rFonts w:ascii="Arial" w:eastAsia="Arial" w:hAnsi="Arial"/>
                      <w:b/>
                      <w:color w:val="0000FF"/>
                      <w:sz w:val="22"/>
                    </w:rPr>
                    <w:t>21/08/2012</w:t>
                  </w:r>
                  <w:r>
                    <w:rPr>
                      <w:rFonts w:ascii="Arial" w:eastAsia="Arial" w:hAnsi="Arial"/>
                      <w:color w:val="000000"/>
                      <w:sz w:val="22"/>
                    </w:rPr>
                    <w:t xml:space="preserve"> pour examiner cette proposition. À cette réunion, nous avons adopté cette proposition sur la base des documents d'appui annexés.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rPr>
                    <w:t>[1]</w:t>
                  </w:r>
                  <w:r>
                    <w:rPr>
                      <w:rFonts w:ascii="Arial" w:eastAsia="Arial" w:hAnsi="Arial"/>
                      <w:color w:val="000000"/>
                    </w:rPr>
                    <w:t xml:space="preserve"> </w:t>
                  </w:r>
                  <w:r>
                    <w:rPr>
                      <w:rFonts w:ascii="Arial" w:eastAsia="Arial" w:hAnsi="Arial"/>
                      <w:color w:val="000000"/>
                    </w:rPr>
                    <w:t>Comité de coordination interagences ou Comité de coordination du secteur de la Santé ou comité équivalent habilité à adopter la présente demande dans le pays concerné.</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compte rendu de cette réunion est joint comme document numéro 4.</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63"/>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4242"/>
              <w:gridCol w:w="4245"/>
              <w:gridCol w:w="2263"/>
            </w:tblGrid>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No</w:t>
                  </w:r>
                  <w:r>
                    <w:rPr>
                      <w:rFonts w:ascii="Arial" w:eastAsia="Arial" w:hAnsi="Arial"/>
                      <w:b/>
                      <w:color w:val="000000"/>
                    </w:rPr>
                    <w:t>m/Titre*</w:t>
                  </w: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Institution/Organisation*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Signature</w:t>
                  </w:r>
                </w:p>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ADOU Innocent/ Directeur Santé Police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l'intérieur</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AMMAR ABDO AHMED / Directeur Regional Afrique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Agence de Médecine Préventive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ANOUAN N'guessan Jean / Coordonnateur national EPIVAC</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w:t>
                  </w:r>
                  <w:r>
                    <w:rPr>
                      <w:rFonts w:ascii="Arial" w:eastAsia="Arial" w:hAnsi="Arial"/>
                      <w:color w:val="000000"/>
                      <w:sz w:val="18"/>
                    </w:rPr>
                    <w:t>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ASSAOLE N’Dri David / Directeur de la Santé Communautaire et de la Médecine de Proximité</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BASSALIA Diawara / Directeur SASED</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 xml:space="preserve">Ministère de la Santé </w:t>
                  </w:r>
                  <w:r>
                    <w:rPr>
                      <w:rFonts w:ascii="Arial" w:eastAsia="Arial" w:hAnsi="Arial"/>
                      <w:color w:val="000000"/>
                      <w:sz w:val="18"/>
                    </w:rPr>
                    <w:t>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BROU Aka Noël / Directeur Coordonnateur du PEV</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DUNKAN Rachel / Directeur de la Pharmacie et du Médicament</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K</w:t>
                  </w:r>
                  <w:r>
                    <w:rPr>
                      <w:rFonts w:ascii="Arial" w:eastAsia="Arial" w:hAnsi="Arial"/>
                      <w:color w:val="000101"/>
                      <w:sz w:val="18"/>
                    </w:rPr>
                    <w:t>OFFI Zamblé / Point Focal des Services Extérieurs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KOUASSI-GOHOU Adri Valérie / Directeur de l’Information, de la Planification et de l’Evaluation</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N'goran-Theckly Yoboué Patricia / Directeur Coordonnateur du PNN</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Dr Yokouidé ALLARANGAR/ Representant Resident</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Organisation Mondiale de la Santé</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AMANI Yao Joseph / Directeur des Affaires Financi</w:t>
                  </w:r>
                  <w:r>
                    <w:rPr>
                      <w:rFonts w:ascii="Arial" w:eastAsia="Arial" w:hAnsi="Arial"/>
                      <w:color w:val="000101"/>
                      <w:sz w:val="18"/>
                    </w:rPr>
                    <w:t>ères du Ministère de la Santé et de la Lutte Contre le SIDA</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ADJA N'drin David/ Contrôleur Financier près du Ministère en charge de la Santé</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Contrôleur Financier près du Ministère en charge de la Sant</w:t>
                  </w:r>
                  <w:r>
                    <w:rPr>
                      <w:rFonts w:ascii="Arial" w:eastAsia="Arial" w:hAnsi="Arial"/>
                      <w:color w:val="000000"/>
                      <w:sz w:val="18"/>
                    </w:rPr>
                    <w:t>é</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AKOTO Kouassi Olivier / Chef de service de la Communication et des relations Publiques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Hervé DE LYS/ Representant Resident</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Fonds des Nations Unies pour l’Enfance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LOUKOU Dia / Directeur de</w:t>
                  </w:r>
                  <w:r>
                    <w:rPr>
                      <w:rFonts w:ascii="Arial" w:eastAsia="Arial" w:hAnsi="Arial"/>
                      <w:color w:val="000101"/>
                      <w:sz w:val="18"/>
                    </w:rPr>
                    <w:t>s Ressources Humaines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 TRA Bi Yrié Denis / Directeur des Infrastructures, de l’Equipement  et de la Maintenance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 xml:space="preserve">Médecin Commissaire Nambala TOURE </w:t>
                  </w:r>
                  <w:r>
                    <w:rPr>
                      <w:rFonts w:ascii="Arial" w:eastAsia="Arial" w:hAnsi="Arial"/>
                      <w:color w:val="000101"/>
                      <w:sz w:val="18"/>
                    </w:rPr>
                    <w:t>/Directeur des Etablissements et Professions Sanitaires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Mme LATTROH Marie Essoh / Conseiller Technique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l'Economie et des Finances</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Mme Marie Irène RICHMOND / Présidence de la Commission Po</w:t>
                  </w:r>
                  <w:r>
                    <w:rPr>
                      <w:rFonts w:ascii="Arial" w:eastAsia="Arial" w:hAnsi="Arial"/>
                      <w:color w:val="000101"/>
                      <w:sz w:val="18"/>
                    </w:rPr>
                    <w:t>lio Plus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ROTARY International</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 xml:space="preserve">Mme SANOGO épouse KONE Peté Solange / Présidente </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FENOSCI (ONG impliquées dans la vaccination)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ASSA Allou / Directeur Général de la Santé Ministère de la Santé et de la Lutte contre le SIDA</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w:t>
                  </w:r>
                  <w:r>
                    <w:rPr>
                      <w:rFonts w:ascii="Arial" w:eastAsia="Arial" w:hAnsi="Arial"/>
                      <w:color w:val="000000"/>
                      <w:sz w:val="18"/>
                    </w:rPr>
                    <w:t>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DAGNAN N'cho Simplice / Representant UFR SMP</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l'enseignement Supérieur et de la Recherche scientifique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DOSSO Mireille / Directeur de l'Institut Pasteur de Côte d'Ivoire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l'enseignement Supérieur et d</w:t>
                  </w:r>
                  <w:r>
                    <w:rPr>
                      <w:rFonts w:ascii="Arial" w:eastAsia="Arial" w:hAnsi="Arial"/>
                      <w:color w:val="000000"/>
                      <w:sz w:val="18"/>
                    </w:rPr>
                    <w:t>e la Recherche scientifique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KOUASSI Dinard/ Directeur de l'Institut National de la Santé Publique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ODEHOURI-KOUDOU Paul / Directeur de l'Institut National de l'Hygiène Publique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w:t>
                  </w:r>
                  <w:r>
                    <w:rPr>
                      <w:rFonts w:ascii="Arial" w:eastAsia="Arial" w:hAnsi="Arial"/>
                      <w:color w:val="000000"/>
                      <w:sz w:val="18"/>
                    </w:rPr>
                    <w:t>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SAMBA Mamadou / Directeur DPPS</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YAPI Ange Désiré / Directeur de la Pharmacie de la Santé Publique</w:t>
                  </w:r>
                </w:p>
              </w:tc>
              <w:tc>
                <w:tcPr>
                  <w:tcW w:w="42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96"/>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8" w:name="Signature13"/>
                  <w:bookmarkEnd w:id="8"/>
                  <w:r>
                    <w:rPr>
                      <w:rFonts w:ascii="Arial" w:eastAsia="Arial" w:hAnsi="Arial"/>
                      <w:b/>
                      <w:color w:val="365F91"/>
                      <w:sz w:val="24"/>
                    </w:rPr>
                    <w:t>4</w:t>
                  </w:r>
                  <w:r>
                    <w:rPr>
                      <w:rFonts w:ascii="Arial" w:eastAsia="Arial" w:hAnsi="Arial"/>
                      <w:b/>
                      <w:color w:val="365F91"/>
                      <w:sz w:val="24"/>
                    </w:rPr>
                    <w:t>.1.3. Comité de coordination interagences pour la vaccination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Les institutions et les partenaires (dont les partenaires de développement et les ONG) qui apportent leur soutien aux services de vaccination sont coordonnés et organisés par le biais d</w:t>
                  </w:r>
                  <w:r>
                    <w:rPr>
                      <w:rFonts w:ascii="Arial" w:eastAsia="Arial" w:hAnsi="Arial"/>
                      <w:color w:val="000000"/>
                      <w:sz w:val="22"/>
                    </w:rPr>
                    <w:t>'un mécanisme de coordination interagences (CCIA/CCSS). Le CCIA, CCSS ou comité équivalent est chargé de coordonner et d'orienter l'utilisation du soutien SNV systématique et/ou de campagne de GAVI. Veuillez indiquer les informations sur le CCIA, CCSS ou c</w:t>
                  </w:r>
                  <w:r>
                    <w:rPr>
                      <w:rFonts w:ascii="Arial" w:eastAsia="Arial" w:hAnsi="Arial"/>
                      <w:color w:val="000000"/>
                      <w:sz w:val="22"/>
                    </w:rPr>
                    <w:t>omité équivalent dans votre pays dans le tableau ci-dessous.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Profil du CCIA, CCSS ou comité équivalent</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5375"/>
              <w:gridCol w:w="5375"/>
            </w:tblGrid>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 du comité</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Comité de Coordination Inter-Agence</w:t>
                  </w:r>
                </w:p>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Année de constitution du comité actuel</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2001</w:t>
                  </w:r>
                </w:p>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Structure organisationnelle (p. ex. sou</w:t>
                  </w:r>
                  <w:r>
                    <w:rPr>
                      <w:rFonts w:ascii="Arial" w:eastAsia="Arial" w:hAnsi="Arial"/>
                      <w:b/>
                      <w:color w:val="000000"/>
                      <w:sz w:val="18"/>
                    </w:rPr>
                    <w:t>s-comité, comité autonome)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Comité autonome</w:t>
                  </w:r>
                </w:p>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Fréquence des réunions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4 reunions ordinaires et autant de reunion extraordinaire selon la situation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Composition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416"/>
              <w:gridCol w:w="3962"/>
              <w:gridCol w:w="5372"/>
            </w:tblGrid>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Fonction</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Titre / Organisation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Nom</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Président</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Ministre de la santé et de la lutte c</w:t>
                  </w:r>
                  <w:r>
                    <w:rPr>
                      <w:rFonts w:ascii="Arial" w:eastAsia="Arial" w:hAnsi="Arial"/>
                      <w:color w:val="000000"/>
                      <w:sz w:val="18"/>
                    </w:rPr>
                    <w:t>ontre le SIDA/ 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N'DRI-YOMAN A. Therèse</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Secrétaire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Directeur général de la santé/Ministère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101"/>
                      <w:sz w:val="18"/>
                    </w:rPr>
                    <w:t>Pr ASSA Allou</w:t>
                  </w:r>
                </w:p>
              </w:tc>
            </w:tr>
            <w:tr w:rsidR="00000000">
              <w:tblPrEx>
                <w:tblCellMar>
                  <w:top w:w="0" w:type="dxa"/>
                  <w:left w:w="0" w:type="dxa"/>
                  <w:bottom w:w="0" w:type="dxa"/>
                  <w:right w:w="0" w:type="dxa"/>
                </w:tblCellMar>
              </w:tblPrEx>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Membres</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Point Focal des Services Extérieurs/Ministère </w:t>
                  </w:r>
                  <w:r>
                    <w:rPr>
                      <w:rFonts w:ascii="Arial" w:eastAsia="Arial" w:hAnsi="Arial"/>
                      <w:color w:val="000000"/>
                      <w:sz w:val="18"/>
                    </w:rPr>
                    <w:t>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Dr KOFFI Zamblé </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des Affaires Financières/Ministère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M AMANI Yao Joseph </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des Infrastructures, de l’Equipement  et de la Maintenance/Ministère de la S</w:t>
                  </w:r>
                  <w:r>
                    <w:rPr>
                      <w:rFonts w:ascii="Arial" w:eastAsia="Arial" w:hAnsi="Arial"/>
                      <w:color w:val="000000"/>
                      <w:sz w:val="18"/>
                    </w:rPr>
                    <w:t>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TRA Bi Yrié Denis</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des Ressources Humaines/Ministère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LOUKOU Dia</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la Santé Communautaire et de la Médecine de Proximité/Ministère de la Santé et de l</w:t>
                  </w:r>
                  <w:r>
                    <w:rPr>
                      <w:rFonts w:ascii="Arial" w:eastAsia="Arial" w:hAnsi="Arial"/>
                      <w:color w:val="000000"/>
                      <w:sz w:val="18"/>
                    </w:rPr>
                    <w:t xml:space="preserve">a Lutte contre le SIDA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ASSAOLE N’Dri David</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la Pharmacie et du Médicament/Ministère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DUNKAN Rachel</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l’Information, de la Planification et de l’Evaluation/Ministère de la Santé et d</w:t>
                  </w:r>
                  <w:r>
                    <w:rPr>
                      <w:rFonts w:ascii="Arial" w:eastAsia="Arial" w:hAnsi="Arial"/>
                      <w:color w:val="000000"/>
                      <w:sz w:val="18"/>
                    </w:rPr>
                    <w:t xml:space="preserve">e la Lutte contre le SIDA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KOUASSI-GOHOU Adri Valérie</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des Etablissements et Professions Sanitaires/Ministère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Médecin Commissaire Nambala TOURE</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l'Institut National de la Santé Publique/</w:t>
                  </w:r>
                  <w:r>
                    <w:rPr>
                      <w:rFonts w:ascii="Arial" w:eastAsia="Arial" w:hAnsi="Arial"/>
                      <w:color w:val="000000"/>
                      <w:sz w:val="18"/>
                    </w:rPr>
                    <w:t>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KOUASSI Dinard</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Coordonnateur national EPIVAC/Ministère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Dr ANOUAN N'guessan Jean </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DPPS/Ministère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SAMB</w:t>
                  </w:r>
                  <w:r>
                    <w:rPr>
                      <w:rFonts w:ascii="Arial" w:eastAsia="Arial" w:hAnsi="Arial"/>
                      <w:color w:val="000000"/>
                      <w:sz w:val="18"/>
                    </w:rPr>
                    <w:t>A Mamadou</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 Directeur Coordonnateur du PEV/Ministère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Dr BROU Aka Noël </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SASED/Ministère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BASSALIA Diawara</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l'Institut National de l'Hygiène Publ</w:t>
                  </w:r>
                  <w:r>
                    <w:rPr>
                      <w:rFonts w:ascii="Arial" w:eastAsia="Arial" w:hAnsi="Arial"/>
                      <w:color w:val="000000"/>
                      <w:sz w:val="18"/>
                    </w:rPr>
                    <w:t>ique/Ministère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ODEHOURI-KOUDOU Paul</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Chef de service de la Communication et des relations Publiques/Ministère de la Santé et de la Lutte contre le SIDA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AKOTO Kouassi Olivier</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de la Pharmacie de l</w:t>
                  </w:r>
                  <w:r>
                    <w:rPr>
                      <w:rFonts w:ascii="Arial" w:eastAsia="Arial" w:hAnsi="Arial"/>
                      <w:color w:val="000000"/>
                      <w:sz w:val="18"/>
                    </w:rPr>
                    <w:t>a Santé Publique/Ministère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YAPI Ange Désiré</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Coordonnateur du PNN/Ministère de la Santé et de la Lutte contre le SIDA</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N'goran-Theckly Yoboué Patricia</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Representant Resident/Organisation Mondiale d</w:t>
                  </w:r>
                  <w:r>
                    <w:rPr>
                      <w:rFonts w:ascii="Arial" w:eastAsia="Arial" w:hAnsi="Arial"/>
                      <w:color w:val="000000"/>
                      <w:sz w:val="18"/>
                    </w:rPr>
                    <w:t>e la Santé</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Yokouidé ALLARANGAR</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Representant Resident/Fonds des Nations Unies pour l’Enfance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Hervé DE LYS</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Directeur Regional Afrique/Agence de Médecine Préventive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AMMAR ABDO AHMED</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 Présidence de la Commission Polio Plus/ROTARY International</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w:t>
                  </w:r>
                  <w:r>
                    <w:rPr>
                      <w:rFonts w:ascii="Arial" w:eastAsia="Arial" w:hAnsi="Arial"/>
                      <w:color w:val="000000"/>
                      <w:sz w:val="18"/>
                    </w:rPr>
                    <w:t>me Marie Irène RICHMOND</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Ministère de l'intérieur/Directeur Santé Police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Dr ADOU Innocent</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Contrôleur Financier près du Ministère en charge de la Santé</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ADJA N'drin David</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 Directeur de l'Institut Pasteur de Côte d'Ivoire/Ministère de l'enseignement S</w:t>
                  </w:r>
                  <w:r>
                    <w:rPr>
                      <w:rFonts w:ascii="Arial" w:eastAsia="Arial" w:hAnsi="Arial"/>
                      <w:color w:val="000000"/>
                      <w:sz w:val="18"/>
                    </w:rPr>
                    <w:t>upérieur et de la Recherche scientifique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DOSSO Mireille</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 Representant UFR SMP/Ministère de l'enseignement Supérieur et de la Recherche scientifique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 DAGNAN N'cho Simplice</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Conseiller Technique/Ministère de l'Economie et des Finances</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Mme LATTROH Mar</w:t>
                  </w:r>
                  <w:r>
                    <w:rPr>
                      <w:rFonts w:ascii="Arial" w:eastAsia="Arial" w:hAnsi="Arial"/>
                      <w:color w:val="000000"/>
                      <w:sz w:val="18"/>
                    </w:rPr>
                    <w:t>ie Essoh</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Présidente/FENOSCI (ONG impliquées dans la vaccination)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Mme SANOGO épouse KONE Peté Solange</w:t>
                  </w:r>
                </w:p>
              </w:tc>
            </w:tr>
            <w:tr w:rsidR="00000000">
              <w:tblPrEx>
                <w:tblCellMar>
                  <w:top w:w="0" w:type="dxa"/>
                  <w:left w:w="0" w:type="dxa"/>
                  <w:bottom w:w="0" w:type="dxa"/>
                  <w:right w:w="0" w:type="dxa"/>
                </w:tblCellMar>
              </w:tblPrEx>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Fonctions principales et responsabilités du CCIA/CCSS: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rPr>
                    <w:t>Le CCIA a pour missions principales :</w:t>
                  </w:r>
                </w:p>
                <w:p w:rsidR="00000000" w:rsidRDefault="000D2E85">
                  <w:pPr>
                    <w:numPr>
                      <w:ilvl w:val="0"/>
                      <w:numId w:val="1"/>
                    </w:numPr>
                    <w:ind w:left="720" w:hanging="360"/>
                  </w:pPr>
                  <w:r>
                    <w:rPr>
                      <w:rFonts w:ascii="Arial" w:eastAsia="Arial" w:hAnsi="Arial"/>
                      <w:color w:val="000000"/>
                    </w:rPr>
                    <w:t>D'approuver le plan d'action annuel de l'a</w:t>
                  </w:r>
                  <w:r>
                    <w:rPr>
                      <w:rFonts w:ascii="Arial" w:eastAsia="Arial" w:hAnsi="Arial"/>
                      <w:color w:val="000000"/>
                    </w:rPr>
                    <w:t>nnée en cours proposé par la DCPEV et l'INHP</w:t>
                  </w:r>
                </w:p>
                <w:p w:rsidR="00000000" w:rsidRDefault="000D2E85">
                  <w:pPr>
                    <w:numPr>
                      <w:ilvl w:val="0"/>
                      <w:numId w:val="1"/>
                    </w:numPr>
                    <w:ind w:left="720" w:hanging="360"/>
                  </w:pPr>
                  <w:r>
                    <w:rPr>
                      <w:rFonts w:ascii="Arial" w:eastAsia="Arial" w:hAnsi="Arial"/>
                      <w:color w:val="000000"/>
                    </w:rPr>
                    <w:t>De faire le suivi de la mise en oeuvre des activités de vaccination programmées</w:t>
                  </w:r>
                </w:p>
                <w:p w:rsidR="00000000" w:rsidRDefault="000D2E85">
                  <w:pPr>
                    <w:numPr>
                      <w:ilvl w:val="0"/>
                      <w:numId w:val="1"/>
                    </w:numPr>
                    <w:ind w:left="720" w:hanging="360"/>
                  </w:pPr>
                  <w:r>
                    <w:rPr>
                      <w:rFonts w:ascii="Arial" w:eastAsia="Arial" w:hAnsi="Arial"/>
                      <w:color w:val="000000"/>
                    </w:rPr>
                    <w:t>D'émettre un avis sur le fonctionnement de la DCPEV</w:t>
                  </w:r>
                </w:p>
                <w:p w:rsidR="00000000" w:rsidRDefault="000D2E85">
                  <w:pPr>
                    <w:numPr>
                      <w:ilvl w:val="0"/>
                      <w:numId w:val="1"/>
                    </w:numPr>
                    <w:ind w:left="720" w:hanging="360"/>
                  </w:pPr>
                  <w:r>
                    <w:rPr>
                      <w:rFonts w:ascii="Arial" w:eastAsia="Arial" w:hAnsi="Arial"/>
                      <w:color w:val="000000"/>
                    </w:rPr>
                    <w:t>D'émettre un avis sur le projet de budget de la DCPEV financé par le Budget Gén</w:t>
                  </w:r>
                  <w:r>
                    <w:rPr>
                      <w:rFonts w:ascii="Arial" w:eastAsia="Arial" w:hAnsi="Arial"/>
                      <w:color w:val="000000"/>
                    </w:rPr>
                    <w:t>éral de l'Etat et les partenaires et d'en suivre son exécution</w:t>
                  </w:r>
                </w:p>
                <w:p w:rsidR="00000000" w:rsidRDefault="000D2E85">
                  <w:pPr>
                    <w:numPr>
                      <w:ilvl w:val="0"/>
                      <w:numId w:val="1"/>
                    </w:numPr>
                    <w:ind w:left="720" w:hanging="360"/>
                  </w:pPr>
                  <w:r>
                    <w:rPr>
                      <w:rFonts w:ascii="Arial" w:eastAsia="Arial" w:hAnsi="Arial"/>
                      <w:color w:val="000000"/>
                    </w:rPr>
                    <w:t>D'examiner et d'approuver le rapport annuel de la DCPEV établi par le Directeur Coordonnateur du PEV</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Trois grandes stratégies visant à renforcer le rôle et les fonctions du CCIA/CCSS au co</w:t>
                  </w:r>
                  <w:r>
                    <w:rPr>
                      <w:rFonts w:ascii="Arial" w:eastAsia="Arial" w:hAnsi="Arial"/>
                      <w:color w:val="000000"/>
                      <w:sz w:val="22"/>
                    </w:rPr>
                    <w:t>urs des 12 prochains mois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283"/>
              <w:gridCol w:w="10467"/>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1.</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Impliquer le secteur prive notamment dans la mobilisation des ressources financieres</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2.</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Renforcer la composition des membres de la Societe Civile (OSC) et leur role dans la planification et le suivi des activites de v</w:t>
                  </w:r>
                  <w:r>
                    <w:rPr>
                      <w:rFonts w:ascii="Arial" w:eastAsia="Arial" w:hAnsi="Arial"/>
                      <w:color w:val="000000"/>
                      <w:sz w:val="18"/>
                    </w:rPr>
                    <w:t>accination</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3.</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Impliquer la societe Ivoirienne de pediatrie dans l'information, la sensibilisation de la population et dans l'evaluation de l'impact des nouveaux vaccins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9" w:name="Signatures2"/>
                  <w:bookmarkEnd w:id="9"/>
                  <w:r>
                    <w:rPr>
                      <w:rFonts w:ascii="Arial" w:eastAsia="Arial" w:hAnsi="Arial"/>
                      <w:b/>
                      <w:color w:val="365F91"/>
                      <w:sz w:val="24"/>
                    </w:rPr>
                    <w:t>4.2. Groupe technique consultatif national sur la vaccination (GTCV)</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(S'il a été créé dans le pays)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Nous soussignés, membres du GTCV, nous sommes réunis le </w:t>
                  </w:r>
                  <w:r>
                    <w:rPr>
                      <w:rFonts w:ascii="Arial" w:eastAsia="Arial" w:hAnsi="Arial"/>
                      <w:color w:val="000000"/>
                      <w:sz w:val="22"/>
                    </w:rPr>
                    <w:t>pour examiner cette proposition. À cette réunion, nous avons adopté cette proposition sur la base des documents d'appui annexés.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983" w:type="dxa"/>
            <w:gridSpan w:val="3"/>
          </w:tcPr>
          <w:p w:rsidR="00000000" w:rsidRDefault="000D2E85">
            <w:pPr>
              <w:pStyle w:val="EmptyLayoutCell"/>
            </w:pPr>
          </w:p>
        </w:tc>
        <w:tc>
          <w:tcPr>
            <w:tcW w:w="8180" w:type="dxa"/>
          </w:tcPr>
          <w:p w:rsidR="00000000" w:rsidRDefault="000D2E85">
            <w:pPr>
              <w:pStyle w:val="EmptyLayoutCell"/>
            </w:pPr>
          </w:p>
        </w:tc>
        <w:tc>
          <w:tcPr>
            <w:tcW w:w="160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compte rendu de ce</w:t>
                  </w:r>
                  <w:r>
                    <w:rPr>
                      <w:rFonts w:ascii="Arial" w:eastAsia="Arial" w:hAnsi="Arial"/>
                      <w:color w:val="000000"/>
                      <w:sz w:val="22"/>
                    </w:rPr>
                    <w:t>tte réunion est joint comme document numéro 4.</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0" w:name="Signatures21"/>
                  <w:bookmarkEnd w:id="10"/>
                  <w:r>
                    <w:rPr>
                      <w:rFonts w:ascii="Arial" w:eastAsia="Arial" w:hAnsi="Arial"/>
                      <w:b/>
                      <w:color w:val="365F91"/>
                      <w:sz w:val="24"/>
                    </w:rPr>
                    <w:t>4.2.1. Le Groupe GTCV pour la vaccination</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Profil du GTCV</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377"/>
              <w:gridCol w:w="5374"/>
            </w:tblGrid>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 du GTCV</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Année de constitution du GTCV actuel</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Structure organisationnelle (p. ex. sous-comité, comité autonome)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Fréquence des </w:t>
                  </w:r>
                  <w:r>
                    <w:rPr>
                      <w:rFonts w:ascii="Arial" w:eastAsia="Arial" w:hAnsi="Arial"/>
                      <w:b/>
                      <w:color w:val="000000"/>
                      <w:sz w:val="18"/>
                    </w:rPr>
                    <w:t>réunions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Composition</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416"/>
              <w:gridCol w:w="3962"/>
              <w:gridCol w:w="5373"/>
            </w:tblGrid>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Fonction</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Titre / Organisation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Nom</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Président</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Secrétaire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101"/>
                    </w:rPr>
                    <w:t>Membres</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Fonctions principales et responsabilités du GTCV</w:t>
                  </w:r>
                </w:p>
              </w:tc>
            </w:tr>
          </w:tbl>
          <w:p w:rsidR="00000000" w:rsidRDefault="000D2E85"/>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Trois grandes stratégies visant à renforcer le rôle et les fonctions du GTCV au cours des 1</w:t>
                  </w:r>
                  <w:r>
                    <w:rPr>
                      <w:rFonts w:ascii="Arial" w:eastAsia="Arial" w:hAnsi="Arial"/>
                      <w:color w:val="000000"/>
                      <w:sz w:val="22"/>
                    </w:rPr>
                    <w:t>2 prochains mois</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68"/>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1.</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2.</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3.</w:t>
                  </w:r>
                </w:p>
              </w:tc>
              <w:tc>
                <w:tcPr>
                  <w:tcW w:w="1048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1" w:name="ImmunisationProgrammeData"/>
                  <w:bookmarkEnd w:id="11"/>
                  <w:r>
                    <w:rPr>
                      <w:rFonts w:ascii="Arial" w:eastAsia="Arial" w:hAnsi="Arial"/>
                      <w:b/>
                      <w:color w:val="365F91"/>
                      <w:sz w:val="28"/>
                    </w:rPr>
                    <w:t>5. Données sur le programme de vaccination</w:t>
                  </w:r>
                </w:p>
              </w:tc>
            </w:tr>
          </w:tbl>
          <w:p w:rsidR="00000000" w:rsidRDefault="000D2E85"/>
        </w:tc>
      </w:tr>
      <w:tr w:rsidR="00000000">
        <w:tblPrEx>
          <w:tblCellMar>
            <w:top w:w="0" w:type="dxa"/>
            <w:left w:w="0" w:type="dxa"/>
            <w:bottom w:w="0" w:type="dxa"/>
            <w:right w:w="0" w:type="dxa"/>
          </w:tblCellMar>
        </w:tblPrEx>
        <w:trPr>
          <w:trHeight w:val="127"/>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2" w:name="ImmunisationProgrammeData1"/>
                  <w:bookmarkEnd w:id="12"/>
                  <w:r>
                    <w:rPr>
                      <w:rFonts w:ascii="Arial" w:eastAsia="Arial" w:hAnsi="Arial"/>
                      <w:b/>
                      <w:color w:val="365F91"/>
                      <w:sz w:val="24"/>
                    </w:rPr>
                    <w:t>5.1. Faits principaux</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compléter les tableaux ci-dessous, à l'aide des données disponibles. Prière d'indiquer la source et la date des données. Si possibl</w:t>
                  </w:r>
                  <w:r>
                    <w:rPr>
                      <w:rFonts w:ascii="Arial" w:eastAsia="Arial" w:hAnsi="Arial"/>
                      <w:color w:val="000000"/>
                      <w:sz w:val="22"/>
                    </w:rPr>
                    <w:t>e, utilisez les données les plus récentes et joignez le document source.</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0D2E8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0D2E85">
                  <w:r>
                    <w:rPr>
                      <w:rFonts w:ascii="Arial" w:eastAsia="Arial" w:hAnsi="Arial"/>
                      <w:color w:val="000000"/>
                      <w:sz w:val="22"/>
                    </w:rPr>
                    <w:t xml:space="preserve">Veuillez vous référer au Plan pluriannuel complet pour la vaccination (PPAC) (ou plan équivalent) et joindre une copie intégrale (avec résumé analytique) en tant que DOCUMENT </w:t>
                  </w:r>
                  <w:r>
                    <w:rPr>
                      <w:rFonts w:ascii="Arial" w:eastAsia="Arial" w:hAnsi="Arial"/>
                      <w:color w:val="000000"/>
                      <w:sz w:val="22"/>
                    </w:rPr>
                    <w:t>NUMÉRO : 6</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0D2E8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0D2E85">
                  <w:r>
                    <w:rPr>
                      <w:rFonts w:ascii="Arial" w:eastAsia="Arial" w:hAnsi="Arial"/>
                      <w:color w:val="000000"/>
                      <w:sz w:val="22"/>
                    </w:rPr>
                    <w:t>Veuillez joindre les Plans d'introduction du vaccin correspondants en tant que DOCUMENT NUMÉRO : 7</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0D2E8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0D2E85">
                  <w:r>
                    <w:rPr>
                      <w:rFonts w:ascii="Arial" w:eastAsia="Arial" w:hAnsi="Arial"/>
                      <w:color w:val="000000"/>
                      <w:sz w:val="22"/>
                    </w:rPr>
                    <w:t>Veuillez vous référer aux deux  plus récents rapports conjoints OMS/UNICEF de notification des activités de vaccination</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0D2E8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0D2E85">
                  <w:r>
                    <w:rPr>
                      <w:rFonts w:ascii="Arial" w:eastAsia="Arial" w:hAnsi="Arial"/>
                      <w:color w:val="000000"/>
                      <w:sz w:val="22"/>
                    </w:rPr>
                    <w:t xml:space="preserve">Veuillez vous </w:t>
                  </w:r>
                  <w:r>
                    <w:rPr>
                      <w:rFonts w:ascii="Arial" w:eastAsia="Arial" w:hAnsi="Arial"/>
                      <w:color w:val="000000"/>
                      <w:sz w:val="22"/>
                    </w:rPr>
                    <w:t>référer aux documents relatifs à la stratégie du secteur de la santé, aux documents budgétaires et à d'autres rapports, enquêtes, etc. le cas échéant.</w:t>
                  </w:r>
                </w:p>
              </w:tc>
            </w:tr>
          </w:tbl>
          <w:p w:rsidR="00000000" w:rsidRDefault="000D2E85"/>
        </w:tc>
      </w:tr>
      <w:tr w:rsidR="00000000">
        <w:tblPrEx>
          <w:tblCellMar>
            <w:top w:w="0" w:type="dxa"/>
            <w:left w:w="0" w:type="dxa"/>
            <w:bottom w:w="0" w:type="dxa"/>
            <w:right w:w="0" w:type="dxa"/>
          </w:tblCellMar>
        </w:tblPrEx>
        <w:trPr>
          <w:trHeight w:val="12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Pour l'année </w:t>
                  </w:r>
                  <w:r>
                    <w:rPr>
                      <w:rFonts w:ascii="Arial" w:eastAsia="Arial" w:hAnsi="Arial"/>
                      <w:b/>
                      <w:color w:val="0000FF"/>
                      <w:sz w:val="22"/>
                    </w:rPr>
                    <w:t>2011</w:t>
                  </w:r>
                  <w:r>
                    <w:rPr>
                      <w:rFonts w:ascii="Arial" w:eastAsia="Arial" w:hAnsi="Arial"/>
                      <w:color w:val="000000"/>
                      <w:sz w:val="22"/>
                    </w:rPr>
                    <w:t xml:space="preserve"> (la plus résente; précisez les dates des données fournies)</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5"/>
              <w:gridCol w:w="1"/>
              <w:gridCol w:w="3111"/>
              <w:gridCol w:w="283"/>
              <w:gridCol w:w="1697"/>
              <w:gridCol w:w="3394"/>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Chiffre</w:t>
                  </w:r>
                </w:p>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So</w:t>
                  </w:r>
                  <w:r>
                    <w:rPr>
                      <w:rFonts w:ascii="Arial" w:eastAsia="Arial" w:hAnsi="Arial"/>
                      <w:b/>
                      <w:color w:val="000000"/>
                    </w:rPr>
                    <w:t>urce</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Population totale</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22 594 238</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INS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Taux de mortalité infantile</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96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INS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Nourrissons survivants[1]</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732 591</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INS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RNB par habitant (US$)</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1 639</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Banque Mondiale</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Dépenses totales de santé</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2008</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Revue des depenses publiques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Dépen</w:t>
                  </w:r>
                  <w:r>
                    <w:rPr>
                      <w:rFonts w:ascii="Arial" w:eastAsia="Arial" w:hAnsi="Arial"/>
                      <w:color w:val="000000"/>
                      <w:sz w:val="18"/>
                    </w:rPr>
                    <w:t xml:space="preserve">ses gouvernementales de santé en % des dépenses globales </w:t>
                  </w:r>
                </w:p>
              </w:tc>
              <w:tc>
                <w:tcPr>
                  <w:tcW w:w="3118"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2008</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color w:val="000000"/>
                      <w:sz w:val="18"/>
                    </w:rPr>
                    <w:t>Comptes Nationaux de la Sante</w:t>
                  </w:r>
                </w:p>
              </w:tc>
            </w:tr>
          </w:tbl>
          <w:p w:rsidR="00000000" w:rsidRDefault="000D2E85"/>
        </w:tc>
      </w:tr>
      <w:tr w:rsidR="00000000">
        <w:tblPrEx>
          <w:tblCellMar>
            <w:top w:w="0" w:type="dxa"/>
            <w:left w:w="0" w:type="dxa"/>
            <w:bottom w:w="0" w:type="dxa"/>
            <w:right w:w="0" w:type="dxa"/>
          </w:tblCellMar>
        </w:tblPrEx>
        <w:trPr>
          <w:trHeight w:val="105"/>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[1] Nourrissons survivants = nourrissons ayant survécu les 12 premiers mois de la vie</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fournir des informations complémentaires sur le conte</w:t>
                  </w:r>
                  <w:r>
                    <w:rPr>
                      <w:rFonts w:ascii="Arial" w:eastAsia="Arial" w:hAnsi="Arial"/>
                      <w:color w:val="000000"/>
                      <w:sz w:val="22"/>
                    </w:rPr>
                    <w:t>xte de la planification et la budgétisation dans votre pays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b/>
                      <w:color w:val="000000"/>
                      <w:sz w:val="22"/>
                      <w:u w:val="single"/>
                    </w:rPr>
                    <w:t>ELABORATION DU BUDGET</w:t>
                  </w:r>
                </w:p>
                <w:p w:rsidR="00000000" w:rsidRDefault="000D2E85">
                  <w:pPr>
                    <w:numPr>
                      <w:ilvl w:val="0"/>
                      <w:numId w:val="2"/>
                    </w:numPr>
                    <w:ind w:left="720" w:hanging="360"/>
                  </w:pPr>
                  <w:r>
                    <w:rPr>
                      <w:rFonts w:ascii="Arial" w:eastAsia="Arial" w:hAnsi="Arial"/>
                      <w:color w:val="000000"/>
                      <w:sz w:val="22"/>
                    </w:rPr>
                    <w:t>Budget Général de l'Etat (BGE)</w:t>
                  </w:r>
                </w:p>
                <w:p w:rsidR="00000000" w:rsidRDefault="000D2E85">
                  <w:r>
                    <w:rPr>
                      <w:rFonts w:ascii="Arial" w:eastAsia="Arial" w:hAnsi="Arial"/>
                      <w:color w:val="000000"/>
                      <w:sz w:val="22"/>
                    </w:rPr>
                    <w:t>La prévision du budget de l'année (n+1) se fait à la fin du premier semestre de l'année (n). De ce fait, des conférences budgétaires sont orga</w:t>
                  </w:r>
                  <w:r>
                    <w:rPr>
                      <w:rFonts w:ascii="Arial" w:eastAsia="Arial" w:hAnsi="Arial"/>
                      <w:color w:val="000000"/>
                      <w:sz w:val="22"/>
                    </w:rPr>
                    <w:t>nisées successivement au niveau district, régional et central après communication de l'enveloppe budgétaire allouée aux ministères de tutelle par le ministère de l'économie et des finances.</w:t>
                  </w:r>
                </w:p>
                <w:p w:rsidR="00000000" w:rsidRDefault="000D2E85">
                  <w:pPr>
                    <w:numPr>
                      <w:ilvl w:val="0"/>
                      <w:numId w:val="3"/>
                    </w:numPr>
                    <w:ind w:left="720" w:hanging="360"/>
                  </w:pPr>
                  <w:r>
                    <w:rPr>
                      <w:rFonts w:ascii="Arial" w:eastAsia="Arial" w:hAnsi="Arial"/>
                      <w:color w:val="000000"/>
                      <w:sz w:val="22"/>
                    </w:rPr>
                    <w:t>Budget sur ressources propres</w:t>
                  </w:r>
                </w:p>
                <w:p w:rsidR="00000000" w:rsidRDefault="000D2E85">
                  <w:r>
                    <w:rPr>
                      <w:rFonts w:ascii="Arial" w:eastAsia="Arial" w:hAnsi="Arial"/>
                      <w:color w:val="000000"/>
                      <w:sz w:val="22"/>
                    </w:rPr>
                    <w:t>La prévision du budget des établisse</w:t>
                  </w:r>
                  <w:r>
                    <w:rPr>
                      <w:rFonts w:ascii="Arial" w:eastAsia="Arial" w:hAnsi="Arial"/>
                      <w:color w:val="000000"/>
                      <w:sz w:val="22"/>
                    </w:rPr>
                    <w:t xml:space="preserve">ments sanitaires faisant le recouvrement des actes de santé de l'année (n+1) se fait au dernier trimestre de  l'année (n). De ce fait, une soutenance des budgets se fait en présence des membres du Comité de Gestion (COGES) des centres de santé dans chaque </w:t>
                  </w:r>
                  <w:r>
                    <w:rPr>
                      <w:rFonts w:ascii="Arial" w:eastAsia="Arial" w:hAnsi="Arial"/>
                      <w:color w:val="000000"/>
                      <w:sz w:val="22"/>
                    </w:rPr>
                    <w:t>localité.</w:t>
                  </w:r>
                </w:p>
                <w:p w:rsidR="00000000" w:rsidRDefault="000D2E85">
                  <w:r>
                    <w:rPr>
                      <w:rFonts w:ascii="Arial" w:eastAsia="Arial" w:hAnsi="Arial"/>
                      <w:color w:val="000000"/>
                      <w:sz w:val="22"/>
                    </w:rPr>
                    <w:br/>
                  </w:r>
                </w:p>
                <w:p w:rsidR="00000000" w:rsidRDefault="000D2E85">
                  <w:r>
                    <w:rPr>
                      <w:rFonts w:ascii="Arial" w:eastAsia="Arial" w:hAnsi="Arial"/>
                      <w:b/>
                      <w:color w:val="000000"/>
                      <w:sz w:val="22"/>
                      <w:u w:val="single"/>
                    </w:rPr>
                    <w:t>NOTIFICATION DU BUDGET</w:t>
                  </w:r>
                </w:p>
                <w:p w:rsidR="00000000" w:rsidRDefault="000D2E85">
                  <w:r>
                    <w:rPr>
                      <w:rFonts w:ascii="Arial" w:eastAsia="Arial" w:hAnsi="Arial"/>
                      <w:color w:val="000000"/>
                      <w:sz w:val="22"/>
                    </w:rPr>
                    <w:t>La notification du Budget Général de l'Etat (BGE) se fait en début d'année.</w:t>
                  </w:r>
                </w:p>
                <w:p w:rsidR="00000000" w:rsidRDefault="000D2E85">
                  <w:r>
                    <w:rPr>
                      <w:rFonts w:ascii="Arial" w:eastAsia="Arial" w:hAnsi="Arial"/>
                      <w:color w:val="000000"/>
                      <w:sz w:val="22"/>
                    </w:rPr>
                    <w:br/>
                  </w:r>
                </w:p>
                <w:p w:rsidR="00000000" w:rsidRDefault="000D2E85">
                  <w:r>
                    <w:rPr>
                      <w:rFonts w:ascii="Arial" w:eastAsia="Arial" w:hAnsi="Arial"/>
                      <w:b/>
                      <w:color w:val="000000"/>
                      <w:sz w:val="22"/>
                      <w:u w:val="single"/>
                    </w:rPr>
                    <w:t>SUIVI DE L'EXECUTION DU BUDGET</w:t>
                  </w:r>
                </w:p>
                <w:p w:rsidR="00000000" w:rsidRDefault="000D2E85">
                  <w:pPr>
                    <w:numPr>
                      <w:ilvl w:val="0"/>
                      <w:numId w:val="4"/>
                    </w:numPr>
                    <w:ind w:left="720" w:hanging="360"/>
                  </w:pPr>
                  <w:r>
                    <w:rPr>
                      <w:rFonts w:ascii="Arial" w:eastAsia="Arial" w:hAnsi="Arial"/>
                      <w:color w:val="000000"/>
                      <w:sz w:val="22"/>
                    </w:rPr>
                    <w:t>Budget Général de l'Etat (BGE)</w:t>
                  </w:r>
                </w:p>
                <w:p w:rsidR="00000000" w:rsidRDefault="000D2E85">
                  <w:r>
                    <w:rPr>
                      <w:rFonts w:ascii="Arial" w:eastAsia="Arial" w:hAnsi="Arial"/>
                      <w:color w:val="000000"/>
                      <w:sz w:val="22"/>
                    </w:rPr>
                    <w:t>Le suivi de l'exécution du BGE se fait a travers des rapports trimestriels adress</w:t>
                  </w:r>
                  <w:r>
                    <w:rPr>
                      <w:rFonts w:ascii="Arial" w:eastAsia="Arial" w:hAnsi="Arial"/>
                      <w:color w:val="000000"/>
                      <w:sz w:val="22"/>
                    </w:rPr>
                    <w:t>és par le district sanitaire au niveau régional et du niveau régional vers le niveau central. Un suivi périodique est realisé par la Direction des Affaires Financières (DAF) au fil des engagements des dépenses a tous les niveaux de la pyramide sanitaire gr</w:t>
                  </w:r>
                  <w:r>
                    <w:rPr>
                      <w:rFonts w:ascii="Arial" w:eastAsia="Arial" w:hAnsi="Arial"/>
                      <w:color w:val="000000"/>
                      <w:sz w:val="22"/>
                    </w:rPr>
                    <w:t>âce au Système Intégré des Finances Publiques.</w:t>
                  </w:r>
                </w:p>
                <w:p w:rsidR="00000000" w:rsidRDefault="000D2E85">
                  <w:pPr>
                    <w:numPr>
                      <w:ilvl w:val="0"/>
                      <w:numId w:val="5"/>
                    </w:numPr>
                    <w:ind w:left="720" w:hanging="360"/>
                  </w:pPr>
                  <w:r>
                    <w:rPr>
                      <w:rFonts w:ascii="Arial" w:eastAsia="Arial" w:hAnsi="Arial"/>
                      <w:color w:val="000000"/>
                      <w:sz w:val="22"/>
                    </w:rPr>
                    <w:t>Budget sur ressources propres</w:t>
                  </w:r>
                </w:p>
                <w:p w:rsidR="00000000" w:rsidRDefault="000D2E85">
                  <w:r>
                    <w:rPr>
                      <w:rFonts w:ascii="Arial" w:eastAsia="Arial" w:hAnsi="Arial"/>
                      <w:color w:val="000000"/>
                      <w:sz w:val="22"/>
                    </w:rPr>
                    <w:t>Des rapports mensuels de suivi sont élaborés et acheminés au supérieur hiérarchique. </w:t>
                  </w:r>
                  <w:r>
                    <w:rPr>
                      <w:rFonts w:ascii="Arial" w:eastAsia="Arial" w:hAnsi="Arial"/>
                      <w:color w:val="000000"/>
                      <w:sz w:val="22"/>
                    </w:rPr>
                    <w:br/>
                  </w:r>
                  <w:r>
                    <w:rPr>
                      <w:rFonts w:ascii="Arial" w:eastAsia="Arial" w:hAnsi="Arial"/>
                      <w:color w:val="000000"/>
                      <w:sz w:val="22"/>
                    </w:rPr>
                    <w:br/>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indiquer le nom et la date du document de planification pertinent pour la santé</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Le document de planification pertinent pour la santé est le Plan National de Développement Sanitaire (PNDS) 2012-2015.</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PPAC (ou le plan pluriannuel actualisé) est aligné sur le document (calendrier, contenu, etc.)?</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Le PNDS 2012-2015 intègre les élémen</w:t>
                  </w:r>
                  <w:r>
                    <w:rPr>
                      <w:rFonts w:ascii="Arial" w:eastAsia="Arial" w:hAnsi="Arial"/>
                      <w:color w:val="000000"/>
                      <w:sz w:val="22"/>
                    </w:rPr>
                    <w:t>ts du PPAC 2011-2015.</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indiquer le cycle national de planification et budgétisation pour la santé</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L'élaboration des projets de budget sur financement de l'Etat de l'année (n+1) a lieu au plus tard en Septembre de l'année (n). La planification des</w:t>
                  </w:r>
                  <w:r>
                    <w:rPr>
                      <w:rFonts w:ascii="Arial" w:eastAsia="Arial" w:hAnsi="Arial"/>
                      <w:color w:val="000000"/>
                      <w:sz w:val="22"/>
                    </w:rPr>
                    <w:t xml:space="preserve"> activités de l'année (n+1) a lieu en janvier de la même année.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indiquer le cycle national de planification pour la vaccination</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Le cycle de planification des activités de vaccination suit le cycle national de planification comme indiqué ci-dessu</w:t>
                  </w:r>
                  <w:r>
                    <w:rPr>
                      <w:rFonts w:ascii="Arial" w:eastAsia="Arial" w:hAnsi="Arial"/>
                      <w:color w:val="000000"/>
                      <w:sz w:val="22"/>
                    </w:rPr>
                    <w:t>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indiquer si des données ventilées par sexe sont utilisées dans les systèmes ordinaires d'établissement de rapports sur la vaccination</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Le système de collecte des données liees a la vaccination ne prend pas en compte la discrimination par sexe.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Veuillez indiquer si les aspects sexospécifiques relatifs à l'introduction d'un nouveau vaccin ont été abordés dans le plan d'introduction </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Les aspects sexospécifiques lies a a l'introduction des nouveaux vaccins n'ont pas été abordés dans le plan d'int</w:t>
                  </w:r>
                  <w:r>
                    <w:rPr>
                      <w:rFonts w:ascii="Arial" w:eastAsia="Arial" w:hAnsi="Arial"/>
                      <w:color w:val="000000"/>
                      <w:sz w:val="22"/>
                    </w:rPr>
                    <w:t>roduction.</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décrire toute forme récente d'obstacles socio-économiques et/ou liés au sexe relevant d'études ou d'enquêtes susceptibles de poser difficulté au programme de vaccination?</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 xml:space="preserve">Aucun obstacle socio-économique lie au sexe n'a ni été observé </w:t>
                  </w:r>
                  <w:r>
                    <w:rPr>
                      <w:rFonts w:ascii="Arial" w:eastAsia="Arial" w:hAnsi="Arial"/>
                      <w:color w:val="000000"/>
                      <w:sz w:val="22"/>
                    </w:rPr>
                    <w:t>ni fait l'objet d'une étude ou enquête. Cependant, pour les futures enquetes (EDS, enquete de couverture vaccinale), il sera possible de prendre en compte la sexo-specificite.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pays doit fournir un aperçu de toutes les activités </w:t>
                  </w:r>
                  <w:r>
                    <w:rPr>
                      <w:rFonts w:ascii="Arial" w:eastAsia="Arial" w:hAnsi="Arial"/>
                      <w:b/>
                      <w:color w:val="000000"/>
                      <w:sz w:val="22"/>
                    </w:rPr>
                    <w:t>préparatoires</w:t>
                  </w:r>
                  <w:r>
                    <w:rPr>
                      <w:rFonts w:ascii="Arial" w:eastAsia="Arial" w:hAnsi="Arial"/>
                      <w:color w:val="000000"/>
                      <w:sz w:val="22"/>
                    </w:rPr>
                    <w:t xml:space="preserve"> à l'introd</w:t>
                  </w:r>
                  <w:r>
                    <w:rPr>
                      <w:rFonts w:ascii="Arial" w:eastAsia="Arial" w:hAnsi="Arial"/>
                      <w:color w:val="000000"/>
                      <w:sz w:val="22"/>
                    </w:rPr>
                    <w:t>uction du/des vaccin(s)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pPr>
                    <w:numPr>
                      <w:ilvl w:val="0"/>
                      <w:numId w:val="6"/>
                    </w:numPr>
                    <w:spacing w:before="200" w:after="200"/>
                    <w:ind w:left="1080" w:hanging="720"/>
                  </w:pPr>
                  <w:r>
                    <w:rPr>
                      <w:color w:val="000000"/>
                      <w:sz w:val="24"/>
                    </w:rPr>
                    <w:t>-</w:t>
                  </w:r>
                  <w:r>
                    <w:rPr>
                      <w:color w:val="000000"/>
                      <w:sz w:val="24"/>
                    </w:rPr>
                    <w:t xml:space="preserve">          </w:t>
                  </w:r>
                  <w:r>
                    <w:rPr>
                      <w:color w:val="000000"/>
                      <w:sz w:val="24"/>
                    </w:rPr>
                    <w:t>Former les acteurs de tous les niveaux (central, régional et périphérique)</w:t>
                  </w:r>
                  <w:r>
                    <w:rPr>
                      <w:color w:val="000000"/>
                      <w:sz w:val="24"/>
                    </w:rPr>
                    <w:t>&lt;?xml:namespace prefix = o /&gt;</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Réviser les manuels et autres documents de formation du PEV</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Appuyer les activités de vaccinati</w:t>
                  </w:r>
                  <w:r>
                    <w:rPr>
                      <w:color w:val="000000"/>
                      <w:sz w:val="24"/>
                    </w:rPr>
                    <w:t xml:space="preserve">on en stratégies fixe, avancée et mobile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 xml:space="preserve">Appuyer les districts dans la micro planification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 xml:space="preserve">Doter les régions et districts en équipements de la chaîne du froid défectueux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Assurer la maintenance les équipements de chaîne d</w:t>
                  </w:r>
                  <w:r>
                    <w:rPr>
                      <w:color w:val="000000"/>
                      <w:sz w:val="24"/>
                    </w:rPr>
                    <w:t>u froid à tous les niveaux</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 xml:space="preserve">Acquérir les vaccins et matériel d’injection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Distribuer les intrants aux régions, districts et formations sanitaires</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Renforcer les régions et districts en moyens de transport</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Reproduir</w:t>
                  </w:r>
                  <w:r>
                    <w:rPr>
                      <w:color w:val="000000"/>
                      <w:sz w:val="24"/>
                    </w:rPr>
                    <w:t xml:space="preserve">e et diffuser les outils de gestion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 xml:space="preserve">Monitorer les activités de vaccination à tous les niveaux </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Organiser les supervisions à tous les niveaux</w:t>
                  </w:r>
                </w:p>
                <w:p w:rsidR="00000000" w:rsidRDefault="000D2E85">
                  <w:pPr>
                    <w:numPr>
                      <w:ilvl w:val="0"/>
                      <w:numId w:val="7"/>
                    </w:numPr>
                    <w:spacing w:after="200"/>
                    <w:ind w:left="1080" w:hanging="720"/>
                  </w:pPr>
                  <w:r>
                    <w:rPr>
                      <w:color w:val="000000"/>
                      <w:sz w:val="24"/>
                    </w:rPr>
                    <w:t>-</w:t>
                  </w:r>
                  <w:r>
                    <w:rPr>
                      <w:color w:val="000000"/>
                      <w:sz w:val="24"/>
                    </w:rPr>
                    <w:t xml:space="preserve">          </w:t>
                  </w:r>
                  <w:r>
                    <w:rPr>
                      <w:color w:val="000000"/>
                      <w:sz w:val="24"/>
                    </w:rPr>
                    <w:t xml:space="preserve">Conduire des recherches opérationnelles sur le pneumoccoque </w:t>
                  </w:r>
                </w:p>
                <w:p w:rsidR="00000000" w:rsidRDefault="000D2E85">
                  <w:pPr>
                    <w:numPr>
                      <w:ilvl w:val="0"/>
                      <w:numId w:val="8"/>
                    </w:numPr>
                    <w:spacing w:after="200"/>
                    <w:ind w:left="1080" w:hanging="720"/>
                  </w:pPr>
                  <w:r>
                    <w:rPr>
                      <w:color w:val="000000"/>
                      <w:sz w:val="24"/>
                    </w:rPr>
                    <w:t>-</w:t>
                  </w:r>
                  <w:r>
                    <w:rPr>
                      <w:color w:val="000000"/>
                      <w:sz w:val="24"/>
                    </w:rPr>
                    <w:t xml:space="preserve">          </w:t>
                  </w:r>
                  <w:r>
                    <w:rPr>
                      <w:color w:val="000000"/>
                      <w:sz w:val="24"/>
                    </w:rPr>
                    <w:t>Evaluer l</w:t>
                  </w:r>
                  <w:r>
                    <w:rPr>
                      <w:color w:val="000000"/>
                      <w:sz w:val="24"/>
                    </w:rPr>
                    <w:t xml:space="preserve">e processus d’introduction du vaccin contre le pneumoccoque </w:t>
                  </w:r>
                </w:p>
                <w:p w:rsidR="00000000" w:rsidRDefault="000D2E85">
                  <w:pPr>
                    <w:numPr>
                      <w:ilvl w:val="0"/>
                      <w:numId w:val="8"/>
                    </w:numPr>
                    <w:spacing w:after="200"/>
                    <w:ind w:left="1080" w:hanging="720"/>
                  </w:pPr>
                  <w:r>
                    <w:rPr>
                      <w:color w:val="000000"/>
                      <w:sz w:val="24"/>
                    </w:rPr>
                    <w:t>-</w:t>
                  </w:r>
                  <w:r>
                    <w:rPr>
                      <w:color w:val="000000"/>
                      <w:sz w:val="24"/>
                    </w:rPr>
                    <w:t xml:space="preserve">          </w:t>
                  </w:r>
                  <w:r>
                    <w:rPr>
                      <w:color w:val="000000"/>
                      <w:sz w:val="24"/>
                    </w:rPr>
                    <w:t>Organiser le lancement officiel de l’introduction du vaccin contre le pneumoccoque (cérémonie, point de presse)</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Concevoir et diffuser des messages de sensibilisation à trave</w:t>
                  </w:r>
                  <w:r>
                    <w:rPr>
                      <w:color w:val="000000"/>
                      <w:sz w:val="24"/>
                    </w:rPr>
                    <w:t>rs les medias, les réseaux traditionnels de communication et NTIC (spots et émissions)</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Produire les supports de communication et calendrier vaccinal</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Elaborer un plan de mobilisation des ressources additionnelles</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Organiser u</w:t>
                  </w:r>
                  <w:r>
                    <w:rPr>
                      <w:color w:val="000000"/>
                      <w:sz w:val="24"/>
                    </w:rPr>
                    <w:t>ne réunion d’information et de sensibilisation des pédiatres du public et du privé</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Organiser une réunion d’information et de sensibilisation des journalistes de la presse audio visuelle et écrite</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Former les CSE et CPEV à la surveillan</w:t>
                  </w:r>
                  <w:r>
                    <w:rPr>
                      <w:color w:val="000000"/>
                      <w:sz w:val="24"/>
                    </w:rPr>
                    <w:t xml:space="preserve">ce des méningites à pneumocoques et des MAPI </w:t>
                  </w:r>
                </w:p>
                <w:p w:rsidR="00000000" w:rsidRDefault="000D2E85">
                  <w:pPr>
                    <w:numPr>
                      <w:ilvl w:val="0"/>
                      <w:numId w:val="9"/>
                    </w:numPr>
                    <w:spacing w:after="200"/>
                    <w:ind w:left="1080" w:hanging="720"/>
                  </w:pPr>
                  <w:r>
                    <w:rPr>
                      <w:color w:val="000000"/>
                      <w:sz w:val="24"/>
                    </w:rPr>
                    <w:t>-</w:t>
                  </w:r>
                  <w:r>
                    <w:rPr>
                      <w:color w:val="000000"/>
                      <w:sz w:val="24"/>
                    </w:rPr>
                    <w:t xml:space="preserve">          </w:t>
                  </w:r>
                  <w:r>
                    <w:rPr>
                      <w:color w:val="000000"/>
                      <w:sz w:val="24"/>
                    </w:rPr>
                    <w:t>Mettre à la disposition des districts les kits de prélèvement et les fiches de notification</w:t>
                  </w:r>
                </w:p>
                <w:p w:rsidR="00000000" w:rsidRDefault="000D2E85">
                  <w:pPr>
                    <w:numPr>
                      <w:ilvl w:val="0"/>
                      <w:numId w:val="9"/>
                    </w:numPr>
                    <w:ind w:left="720" w:hanging="360"/>
                  </w:pPr>
                  <w:r>
                    <w:rPr>
                      <w:rFonts w:ascii="Arial" w:eastAsia="Arial" w:hAnsi="Arial"/>
                      <w:color w:val="000000"/>
                      <w:sz w:val="22"/>
                    </w:rPr>
                    <w:br/>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23"/>
        </w:trPr>
        <w:tc>
          <w:tcPr>
            <w:tcW w:w="10771"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
        <w:gridCol w:w="9353"/>
        <w:gridCol w:w="1417"/>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3" w:name="ImmunisationProgrammeData2"/>
                  <w:bookmarkEnd w:id="13"/>
                  <w:r>
                    <w:rPr>
                      <w:rFonts w:ascii="Arial" w:eastAsia="Arial" w:hAnsi="Arial"/>
                      <w:b/>
                      <w:color w:val="365F91"/>
                      <w:sz w:val="24"/>
                    </w:rPr>
                    <w:t>5.2. Données de référence et objectifs annuels (SVN-vaccination systématique)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409"/>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Veuillez vo</w:t>
                  </w:r>
                  <w:r>
                    <w:rPr>
                      <w:rFonts w:ascii="Arial" w:eastAsia="Arial" w:hAnsi="Arial"/>
                      <w:color w:val="000000"/>
                    </w:rPr>
                    <w:t>us référer aux pages du PPAC pour vous aider à remplir cette section</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13"/>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8350"/>
              <w:gridCol w:w="1003"/>
            </w:tblGrid>
            <w:tr w:rsidR="00000000">
              <w:tblPrEx>
                <w:tblCellMar>
                  <w:top w:w="0" w:type="dxa"/>
                  <w:left w:w="0" w:type="dxa"/>
                  <w:bottom w:w="0" w:type="dxa"/>
                  <w:right w:w="0" w:type="dxa"/>
                </w:tblCellMar>
              </w:tblPrEx>
              <w:tc>
                <w:tcPr>
                  <w:tcW w:w="9354" w:type="dxa"/>
                  <w:gridSpan w:val="2"/>
                </w:tcPr>
                <w:tbl>
                  <w:tblPr>
                    <w:tblW w:w="0" w:type="auto"/>
                    <w:tblCellMar>
                      <w:left w:w="0" w:type="dxa"/>
                      <w:right w:w="0" w:type="dxa"/>
                    </w:tblCellMar>
                    <w:tblLook w:val="0000" w:firstRow="0" w:lastRow="0" w:firstColumn="0" w:lastColumn="0" w:noHBand="0" w:noVBand="0"/>
                  </w:tblPr>
                  <w:tblGrid>
                    <w:gridCol w:w="1"/>
                    <w:gridCol w:w="224"/>
                    <w:gridCol w:w="2958"/>
                    <w:gridCol w:w="1287"/>
                    <w:gridCol w:w="1287"/>
                    <w:gridCol w:w="1287"/>
                    <w:gridCol w:w="1287"/>
                  </w:tblGrid>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Nombre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de référence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Données de référence et objectifs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Données de référence et objectifs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Données de référence et objectifs</w:t>
                        </w:r>
                      </w:p>
                    </w:tc>
                  </w:tr>
                  <w:tr w:rsidR="00000000">
                    <w:tblPrEx>
                      <w:tblCellMar>
                        <w:top w:w="0" w:type="dxa"/>
                        <w:left w:w="0" w:type="dxa"/>
                        <w:bottom w:w="0" w:type="dxa"/>
                        <w:right w:w="0" w:type="dxa"/>
                      </w:tblCellMar>
                    </w:tblPrEx>
                    <w:trPr>
                      <w:trHeight w:val="260"/>
                    </w:trPr>
                    <w:tc>
                      <w:tcPr>
                        <w:tcW w:w="283" w:type="dxa"/>
                        <w:gridSpan w:val="2"/>
                        <w:tcBorders>
                          <w:left w:val="single" w:sz="8" w:space="0" w:color="000000"/>
                        </w:tcBorders>
                        <w:tcMar>
                          <w:top w:w="40" w:type="dxa"/>
                          <w:left w:w="40" w:type="dxa"/>
                          <w:bottom w:w="40" w:type="dxa"/>
                          <w:right w:w="40" w:type="dxa"/>
                        </w:tcMar>
                        <w:vAlign w:val="center"/>
                      </w:tcPr>
                      <w:p w:rsidR="00000000" w:rsidRDefault="000D2E85"/>
                    </w:tc>
                    <w:tc>
                      <w:tcPr>
                        <w:tcW w:w="3401"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center"/>
                        </w:pPr>
                        <w:r>
                          <w:rPr>
                            <w:rFonts w:ascii="Arial" w:eastAsia="Arial" w:hAnsi="Arial"/>
                            <w:b/>
                            <w:color w:val="000000"/>
                          </w:rPr>
                          <w:t>2011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naissances</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807 574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825 342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836 765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847 069</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décès infantiles</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72 682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75 096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74 388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74 034</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nourrissons survivants</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734 892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femmes enceintes</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847 953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866 609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Population cible ay</w:t>
                        </w:r>
                        <w:r>
                          <w:rPr>
                            <w:rFonts w:ascii="Arial" w:eastAsia="Arial" w:hAnsi="Arial"/>
                            <w:b/>
                            <w:color w:val="000000"/>
                            <w:sz w:val="18"/>
                          </w:rPr>
                          <w:t>ant reçu le vaccin BCG</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594 235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612 862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711 251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762 363</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BCG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74 %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85 %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90 %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Population cible ayant reçu le vaccin VPO3</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VPO3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98 %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nourrissons ayant reçu (devant recevoir) le vaccin DTC1</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547 419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nourrissons ayant reçu (devant recevoir) le vaccin DTC3</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452 259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705 688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731 882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757 575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DTC3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62 %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98 %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perte[1] pendant l'année de référence et prévu ultérieurement (%) pour le vaccin DTC</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3684" w:type="dxa"/>
                        <w:hMerge w:val="restart"/>
                        <w:tcBorders>
                          <w:left w:val="single" w:sz="8" w:space="0" w:color="000000"/>
                        </w:tcBorders>
                      </w:tcPr>
                      <w:p w:rsidR="00000000" w:rsidRDefault="000D2E85"/>
                    </w:tc>
                    <w:tc>
                      <w:tcPr>
                        <w:gridSpan w:val="2"/>
                        <w:hMerge/>
                        <w:tcBorders>
                          <w:left w:val="single" w:sz="8" w:space="0" w:color="000000"/>
                        </w:tcBorders>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Population cible ayant reçu 1st dose(s) de vaccin Antipneumococcique (VPC13)</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Population cible ayant reçu 3rd dose(s) de vaccin Antipneumococcique (VPC13)</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705 688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731 882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757 575</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Antipneumoc</w:t>
                        </w:r>
                        <w:r>
                          <w:rPr>
                            <w:rFonts w:ascii="Arial" w:eastAsia="Arial" w:hAnsi="Arial"/>
                            <w:b/>
                            <w:color w:val="000000"/>
                            <w:sz w:val="18"/>
                          </w:rPr>
                          <w:t>occique (VPC13)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98 %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b/>
                            <w:color w:val="000000"/>
                            <w:sz w:val="18"/>
                          </w:rPr>
                          <w:t>Première présentation: Antipneumococcique (VPC13), 1 dose(s) par flacon, LIQUIDE</w:t>
                        </w:r>
                      </w:p>
                    </w:tc>
                    <w:tc>
                      <w:tcPr>
                        <w:gridSpan w:val="2"/>
                        <w:hMerge/>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perte[1] pendant l'année de référence et prévue ultérieurement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perte[1] pendant l'année de</w:t>
                        </w:r>
                        <w:r>
                          <w:rPr>
                            <w:rFonts w:ascii="Arial" w:eastAsia="Arial" w:hAnsi="Arial"/>
                            <w:b/>
                            <w:color w:val="000000"/>
                            <w:sz w:val="18"/>
                          </w:rPr>
                          <w:t xml:space="preserve"> référence et prévu ultérieurement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 maximal pour le vaccin Antipneumococcique (VPC13), 1 dose(s) par flacon, LIQUIDE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b/>
                            <w:color w:val="000000"/>
                            <w:sz w:val="18"/>
                          </w:rPr>
                          <w:t>Deuxième présentation: Antipneumococcique (VPC10), 2 dose(s) par flacon, LIQUIDE</w:t>
                        </w:r>
                      </w:p>
                    </w:tc>
                    <w:tc>
                      <w:tcPr>
                        <w:gridSpan w:val="2"/>
                        <w:hMerge/>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0D2E85"/>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perte[1] pendant l'année de référence et prévue ultérieurement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w:t>
                        </w:r>
                      </w:p>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perte[1] pendant l'année de référence et prévu ultérieurement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r>
                  <w:tr w:rsidR="00000000">
                    <w:tblPrEx>
                      <w:tblCellMar>
                        <w:top w:w="0" w:type="dxa"/>
                        <w:left w:w="0" w:type="dxa"/>
                        <w:bottom w:w="0" w:type="dxa"/>
                        <w:right w:w="0" w:type="dxa"/>
                      </w:tblCellMar>
                    </w:tblPrEx>
                    <w:trPr>
                      <w:trHeight w:val="260"/>
                    </w:trPr>
                    <w:tc>
                      <w:tcPr>
                        <w:tcW w:w="283"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de perte maximal pour le vaccin Antipneumococcique (VPC10), 2 dos</w:t>
                        </w:r>
                        <w:r>
                          <w:rPr>
                            <w:rFonts w:ascii="Arial" w:eastAsia="Arial" w:hAnsi="Arial"/>
                            <w:b/>
                            <w:color w:val="000000"/>
                            <w:sz w:val="18"/>
                          </w:rPr>
                          <w:t>e(s) par flacon, LIQUIDE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Population cible ayant reçu 1st dose(s) de vaccin Antirougeoleux</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357 000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638 122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686 140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734 384</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Antirougeoleux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49 %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85 %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95 %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Nombre de nourrissons ayant reçu (devant recevoir) 1st dose(s) </w:t>
                        </w:r>
                        <w:r>
                          <w:rPr>
                            <w:rFonts w:ascii="Arial" w:eastAsia="Arial" w:hAnsi="Arial"/>
                            <w:b/>
                            <w:color w:val="000000"/>
                            <w:sz w:val="18"/>
                          </w:rPr>
                          <w:t>du vaccin AT+</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497 010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693 288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720 455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756 009</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AT+ couverture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80 %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98 %</w:t>
                        </w:r>
                      </w:p>
                    </w:tc>
                  </w:tr>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Taux annuel d'abandon du DTC [ ( DTP1 – DTP3 ) / DTP1 ] x 100</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17 %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w:t>
                        </w:r>
                      </w:p>
                    </w:tc>
                  </w:tr>
                </w:tbl>
                <w:p w:rsidR="00000000" w:rsidRDefault="000D2E85"/>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b/>
                            <w:color w:val="000000"/>
                            <w:sz w:val="22"/>
                          </w:rPr>
                          <w:t>[1]</w:t>
                        </w:r>
                        <w:r>
                          <w:rPr>
                            <w:rFonts w:ascii="Arial" w:eastAsia="Arial" w:hAnsi="Arial"/>
                            <w:color w:val="000000"/>
                            <w:sz w:val="22"/>
                          </w:rPr>
                          <w:t xml:space="preserve"> Nombre de nourrissons vaccinés par rapport au total des naissances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b/>
                            <w:color w:val="000000"/>
                            <w:sz w:val="22"/>
                          </w:rPr>
                          <w:t>[2]</w:t>
                        </w:r>
                        <w:r>
                          <w:rPr>
                            <w:rFonts w:ascii="Arial" w:eastAsia="Arial" w:hAnsi="Arial"/>
                            <w:color w:val="000000"/>
                            <w:sz w:val="22"/>
                          </w:rPr>
                          <w:t xml:space="preserve"> Nombre d</w:t>
                        </w:r>
                        <w:r>
                          <w:rPr>
                            <w:rFonts w:ascii="Arial" w:eastAsia="Arial" w:hAnsi="Arial"/>
                            <w:color w:val="000000"/>
                            <w:sz w:val="22"/>
                          </w:rPr>
                          <w:t>e nourrissons vaccinés par rapport au total des nourrissons survivants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b/>
                            <w:color w:val="000000"/>
                            <w:sz w:val="22"/>
                          </w:rPr>
                          <w:t>[3]</w:t>
                        </w:r>
                        <w:r>
                          <w:rPr>
                            <w:rFonts w:ascii="Arial" w:eastAsia="Arial" w:hAnsi="Arial"/>
                            <w:color w:val="000000"/>
                            <w:sz w:val="22"/>
                          </w:rPr>
                          <w:t xml:space="preserve"> Indiquer le nombre total d'enfants ayant reçu le vaccin DTC seul ou associé</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b/>
                            <w:color w:val="000000"/>
                            <w:sz w:val="22"/>
                          </w:rPr>
                          <w:t>[4]</w:t>
                        </w:r>
                        <w:r>
                          <w:rPr>
                            <w:rFonts w:ascii="Arial" w:eastAsia="Arial" w:hAnsi="Arial"/>
                            <w:color w:val="000000"/>
                            <w:sz w:val="22"/>
                          </w:rPr>
                          <w:t xml:space="preserve"> Nombre de femmes enceintes vaccinées avec l'AT+ par rapport au nombre total de femmes enceintes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b/>
                            <w:color w:val="000000"/>
                            <w:sz w:val="22"/>
                          </w:rPr>
                          <w:t>[5</w:t>
                        </w:r>
                        <w:r>
                          <w:rPr>
                            <w:rFonts w:ascii="Arial" w:eastAsia="Arial" w:hAnsi="Arial"/>
                            <w:b/>
                            <w:color w:val="000000"/>
                            <w:sz w:val="22"/>
                          </w:rPr>
                          <w:t>]</w:t>
                        </w:r>
                        <w:r>
                          <w:rPr>
                            <w:rFonts w:ascii="Arial" w:eastAsia="Arial" w:hAnsi="Arial"/>
                            <w:color w:val="000000"/>
                            <w:sz w:val="22"/>
                          </w:rPr>
                          <w:t xml:space="preserve"> Formule pour calculer le taux de perte d'un vaccin (en pourcentage): [ ( A - B ) / A ] x 100, sachant que A = solde en stock à la fin de la période d’approvisionnement; et B = le nombre de vaccinations réalisées avec le même vaccin pendant la même périod</w:t>
                        </w:r>
                        <w:r>
                          <w:rPr>
                            <w:rFonts w:ascii="Arial" w:eastAsia="Arial" w:hAnsi="Arial"/>
                            <w:color w:val="000000"/>
                            <w:sz w:val="22"/>
                          </w:rPr>
                          <w:t>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417"/>
              </w:trPr>
              <w:tc>
                <w:tcPr>
                  <w:tcW w:w="9354" w:type="dxa"/>
                  <w:gridSpan w:val="2"/>
                </w:tcPr>
                <w:p w:rsidR="00000000" w:rsidRDefault="000D2E85">
                  <w:pPr>
                    <w:pStyle w:val="EmptyLayoutCell"/>
                  </w:pPr>
                </w:p>
              </w:tc>
              <w:tc>
                <w:tcPr>
                  <w:tcW w:w="1417"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354" w:type="dxa"/>
            <w:gridSpan w:val="2"/>
          </w:tcPr>
          <w:p w:rsidR="00000000" w:rsidRDefault="000D2E85">
            <w:pPr>
              <w:pStyle w:val="EmptyLayoutCell"/>
            </w:pPr>
          </w:p>
        </w:tc>
        <w:tc>
          <w:tcPr>
            <w:tcW w:w="1417"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4" w:name="ImmunisationProgrammeData3"/>
                  <w:bookmarkEnd w:id="14"/>
                  <w:r>
                    <w:rPr>
                      <w:rFonts w:ascii="Arial" w:eastAsia="Arial" w:hAnsi="Arial"/>
                      <w:b/>
                      <w:color w:val="365F91"/>
                      <w:sz w:val="24"/>
                    </w:rPr>
                    <w:t>5.3. Données de référence et objectifs annuels pour la/les campagne(s) de prévention</w:t>
                  </w:r>
                </w:p>
              </w:tc>
            </w:tr>
          </w:tbl>
          <w:p w:rsidR="00000000" w:rsidRDefault="000D2E85"/>
        </w:tc>
      </w:tr>
      <w:tr w:rsidR="00000000">
        <w:tblPrEx>
          <w:tblCellMar>
            <w:top w:w="0" w:type="dxa"/>
            <w:left w:w="0" w:type="dxa"/>
            <w:bottom w:w="0" w:type="dxa"/>
            <w:right w:w="0" w:type="dxa"/>
          </w:tblCellMar>
        </w:tblPrEx>
        <w:trPr>
          <w:trHeight w:val="9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color w:val="000000"/>
                      <w:sz w:val="22"/>
                    </w:rPr>
                    <w:t>Pas de soutien aux campagnes de prévention cette année</w:t>
                  </w:r>
                </w:p>
              </w:tc>
            </w:tr>
          </w:tbl>
          <w:p w:rsidR="00000000" w:rsidRDefault="000D2E85"/>
        </w:tc>
      </w:tr>
      <w:tr w:rsidR="00000000">
        <w:tblPrEx>
          <w:tblCellMar>
            <w:top w:w="0" w:type="dxa"/>
            <w:left w:w="0" w:type="dxa"/>
            <w:bottom w:w="0" w:type="dxa"/>
            <w:right w:w="0" w:type="dxa"/>
          </w:tblCellMar>
        </w:tblPrEx>
        <w:trPr>
          <w:trHeight w:val="125"/>
        </w:trPr>
        <w:tc>
          <w:tcPr>
            <w:tcW w:w="10771"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5" w:name="NewandUnderUsedVaccines"/>
                  <w:bookmarkEnd w:id="15"/>
                  <w:r>
                    <w:rPr>
                      <w:rFonts w:ascii="Arial" w:eastAsia="Arial" w:hAnsi="Arial"/>
                      <w:b/>
                      <w:color w:val="365F91"/>
                      <w:sz w:val="28"/>
                    </w:rPr>
                    <w:t>6. Vaccins nouveaux ou sous-utilisés (VNS systématique)</w:t>
                  </w:r>
                </w:p>
              </w:tc>
            </w:tr>
          </w:tbl>
          <w:p w:rsidR="00000000" w:rsidRDefault="000D2E85"/>
        </w:tc>
      </w:tr>
      <w:tr w:rsidR="00000000">
        <w:tblPrEx>
          <w:tblCellMar>
            <w:top w:w="0" w:type="dxa"/>
            <w:left w:w="0" w:type="dxa"/>
            <w:bottom w:w="0" w:type="dxa"/>
            <w:right w:w="0" w:type="dxa"/>
          </w:tblCellMar>
        </w:tblPrEx>
        <w:trPr>
          <w:trHeight w:val="31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6" w:name="NewandUnderUsedVaccines1"/>
                  <w:bookmarkEnd w:id="16"/>
                  <w:r>
                    <w:rPr>
                      <w:rFonts w:ascii="Arial" w:eastAsia="Arial" w:hAnsi="Arial"/>
                      <w:b/>
                      <w:color w:val="365F91"/>
                      <w:sz w:val="24"/>
                    </w:rPr>
                    <w:t>6.1. Évaluation de la cha</w:t>
                  </w:r>
                  <w:r>
                    <w:rPr>
                      <w:rFonts w:ascii="Arial" w:eastAsia="Arial" w:hAnsi="Arial"/>
                      <w:b/>
                      <w:color w:val="365F91"/>
                      <w:sz w:val="24"/>
                    </w:rPr>
                    <w:t>rge de morbidité des maladies correspondantes (si disponible)</w:t>
                  </w:r>
                </w:p>
              </w:tc>
            </w:tr>
          </w:tbl>
          <w:p w:rsidR="00000000" w:rsidRDefault="000D2E85"/>
        </w:tc>
      </w:tr>
      <w:tr w:rsidR="00000000">
        <w:tblPrEx>
          <w:tblCellMar>
            <w:top w:w="0" w:type="dxa"/>
            <w:left w:w="0" w:type="dxa"/>
            <w:bottom w:w="0" w:type="dxa"/>
            <w:right w:w="0" w:type="dxa"/>
          </w:tblCellMar>
        </w:tblPrEx>
        <w:trPr>
          <w:trHeight w:val="11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4"/>
              <w:gridCol w:w="2830"/>
              <w:gridCol w:w="2262"/>
              <w:gridCol w:w="3395"/>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Maladie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Titre de l'évaluation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Résultats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Infections à pneumocoque</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Surveillance de routine</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2002 a 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3770 cas suspects de méningites ont été recensés dans le service de pédiatrie medi</w:t>
                  </w:r>
                  <w:r>
                    <w:rPr>
                      <w:rFonts w:ascii="Arial" w:eastAsia="Arial" w:hAnsi="Arial"/>
                      <w:color w:val="000000"/>
                      <w:sz w:val="18"/>
                    </w:rPr>
                    <w:t xml:space="preserve">cale du CHU de Yopougon.  Sur les 169 LCR purulentes avec croissance bacterienne, il a ete isolé : </w:t>
                  </w:r>
                  <w:r>
                    <w:rPr>
                      <w:rFonts w:ascii="Arial" w:eastAsia="Arial" w:hAnsi="Arial"/>
                      <w:color w:val="000000"/>
                      <w:sz w:val="18"/>
                    </w:rPr>
                    <w:br/>
                    <w:t>S. pneumoniae (52%) serotypes 1,6A,14;</w:t>
                  </w:r>
                  <w:r>
                    <w:rPr>
                      <w:rFonts w:ascii="Arial" w:eastAsia="Arial" w:hAnsi="Arial"/>
                      <w:color w:val="000000"/>
                      <w:sz w:val="18"/>
                    </w:rPr>
                    <w:br/>
                    <w:t>Influenzae (42%) ;</w:t>
                  </w:r>
                  <w:r>
                    <w:rPr>
                      <w:rFonts w:ascii="Arial" w:eastAsia="Arial" w:hAnsi="Arial"/>
                      <w:color w:val="000000"/>
                      <w:sz w:val="18"/>
                    </w:rPr>
                    <w:br/>
                    <w:t>N. meningitidis (6%)</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Si des vaccins nouveaux ou sous-utilisés ont déjà été introduits dans vo</w:t>
                  </w:r>
                  <w:r>
                    <w:rPr>
                      <w:rFonts w:ascii="Arial" w:eastAsia="Arial" w:hAnsi="Arial"/>
                      <w:color w:val="000000"/>
                      <w:sz w:val="22"/>
                    </w:rPr>
                    <w:t>tre pays, veuillez indiquer en détail les enseignements tirés de l'expérience en ce qui concerne la capacité de stockage, la protection contre la congélation accidentelle, la formation du personnel, la logistique de la chaîne du froid, le taux d'abandon, l</w:t>
                  </w:r>
                  <w:r>
                    <w:rPr>
                      <w:rFonts w:ascii="Arial" w:eastAsia="Arial" w:hAnsi="Arial"/>
                      <w:color w:val="000000"/>
                      <w:sz w:val="22"/>
                    </w:rPr>
                    <w:t>e taux de perte vaccinale, etc. et proposer des mesures pour y remédier.</w:t>
                  </w:r>
                </w:p>
              </w:tc>
            </w:tr>
          </w:tbl>
          <w:p w:rsidR="00000000" w:rsidRDefault="000D2E85"/>
        </w:tc>
      </w:tr>
      <w:tr w:rsidR="00000000">
        <w:tblPrEx>
          <w:tblCellMar>
            <w:top w:w="0" w:type="dxa"/>
            <w:left w:w="0" w:type="dxa"/>
            <w:bottom w:w="0" w:type="dxa"/>
            <w:right w:w="0" w:type="dxa"/>
          </w:tblCellMar>
        </w:tblPrEx>
        <w:trPr>
          <w:trHeight w:val="164"/>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092"/>
              <w:gridCol w:w="5659"/>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Enseignements tirés</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Mesures</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1. L’introduction d’un nouveau vaccin nécessite l’implication de tous les acteurs dans le processus de planification pour une meilleure mise en œuvre</w:t>
                  </w:r>
                  <w:r>
                    <w:rPr>
                      <w:rFonts w:ascii="Arial" w:eastAsia="Arial" w:hAnsi="Arial"/>
                      <w:color w:val="000000"/>
                      <w:sz w:val="18"/>
                    </w:rPr>
                    <w:t xml:space="preserve"> ;</w:t>
                  </w:r>
                  <w:r>
                    <w:rPr>
                      <w:rFonts w:ascii="Arial" w:eastAsia="Arial" w:hAnsi="Arial"/>
                      <w:color w:val="000000"/>
                      <w:sz w:val="18"/>
                    </w:rPr>
                    <w:br/>
                    <w:t>2. Une bonne maîtrise des données de la population est un préalable pour une estimation adéquate des besoins en vaccins et consommables ;</w:t>
                  </w:r>
                  <w:r>
                    <w:rPr>
                      <w:rFonts w:ascii="Arial" w:eastAsia="Arial" w:hAnsi="Arial"/>
                      <w:color w:val="000000"/>
                      <w:sz w:val="18"/>
                    </w:rPr>
                    <w:br/>
                    <w:t>3. La prévention des ruptures de vaccins et consommables dépend en grande partie de la fluidité du système d’approv</w:t>
                  </w:r>
                  <w:r>
                    <w:rPr>
                      <w:rFonts w:ascii="Arial" w:eastAsia="Arial" w:hAnsi="Arial"/>
                      <w:color w:val="000000"/>
                      <w:sz w:val="18"/>
                    </w:rPr>
                    <w:t>isionnement et de la maîtrise de la population cible ;</w:t>
                  </w:r>
                  <w:r>
                    <w:rPr>
                      <w:rFonts w:ascii="Arial" w:eastAsia="Arial" w:hAnsi="Arial"/>
                      <w:color w:val="000000"/>
                      <w:sz w:val="18"/>
                    </w:rPr>
                    <w:br/>
                    <w:t>4. Un suivi régulier des activités à tous les niveaux de la pyramide sanitaire est capital afin de détecter et corriger les insuffisances dans la mise en œuvre ;</w:t>
                  </w:r>
                  <w:r>
                    <w:rPr>
                      <w:rFonts w:ascii="Arial" w:eastAsia="Arial" w:hAnsi="Arial"/>
                      <w:color w:val="000000"/>
                      <w:sz w:val="18"/>
                    </w:rPr>
                    <w:br/>
                    <w:t>5. La formation des acteurs de tous les</w:t>
                  </w:r>
                  <w:r>
                    <w:rPr>
                      <w:rFonts w:ascii="Arial" w:eastAsia="Arial" w:hAnsi="Arial"/>
                      <w:color w:val="000000"/>
                      <w:sz w:val="18"/>
                    </w:rPr>
                    <w:t xml:space="preserve"> niveaux de la pyramide sanitaire est une étape importante avant l’introduction de tout nouveau vaccin ;</w:t>
                  </w:r>
                  <w:r>
                    <w:rPr>
                      <w:rFonts w:ascii="Arial" w:eastAsia="Arial" w:hAnsi="Arial"/>
                      <w:color w:val="000000"/>
                      <w:sz w:val="18"/>
                    </w:rPr>
                    <w:br/>
                    <w:t>6. La mise en place d’un système de notification et de suivi des MAPI permet de mieux documenter les effets secondaires liés à tout nouveau vaccin ;</w:t>
                  </w:r>
                  <w:r>
                    <w:rPr>
                      <w:rFonts w:ascii="Arial" w:eastAsia="Arial" w:hAnsi="Arial"/>
                      <w:color w:val="000000"/>
                      <w:sz w:val="18"/>
                    </w:rPr>
                    <w:br/>
                    <w:t>7.</w:t>
                  </w:r>
                  <w:r>
                    <w:rPr>
                      <w:rFonts w:ascii="Arial" w:eastAsia="Arial" w:hAnsi="Arial"/>
                      <w:color w:val="000000"/>
                      <w:sz w:val="18"/>
                    </w:rPr>
                    <w:t xml:space="preserve"> La communication est un volet nécessaire et doit précéder et accompagner l’introduction de tout nouveau vaccin ;</w:t>
                  </w:r>
                  <w:r>
                    <w:rPr>
                      <w:rFonts w:ascii="Arial" w:eastAsia="Arial" w:hAnsi="Arial"/>
                      <w:color w:val="000000"/>
                      <w:sz w:val="18"/>
                    </w:rPr>
                    <w:br/>
                    <w:t xml:space="preserve">8.     La disponibilité d’outils et supports de gestion actualisés, permet un bon suivi du processus d’introduction de tout nouveau vaccin ; </w:t>
                  </w:r>
                  <w:r>
                    <w:rPr>
                      <w:rFonts w:ascii="Arial" w:eastAsia="Arial" w:hAnsi="Arial"/>
                      <w:color w:val="000000"/>
                      <w:sz w:val="18"/>
                    </w:rPr>
                    <w:br/>
                  </w:r>
                  <w:r>
                    <w:rPr>
                      <w:rFonts w:ascii="Arial" w:eastAsia="Arial" w:hAnsi="Arial"/>
                      <w:color w:val="000000"/>
                      <w:sz w:val="18"/>
                    </w:rPr>
                    <w:t>9. L’existence d’un système de surveillance prenant en compte les maladies visées par le nouveau vaccin permet de mesurer les progrès réalisés dans la lutte contre ces maladies.</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18"/>
                    </w:rPr>
                    <w:t>1. A l’endroit de la DCPEV</w:t>
                  </w:r>
                  <w:r>
                    <w:rPr>
                      <w:rFonts w:ascii="Arial" w:eastAsia="Arial" w:hAnsi="Arial"/>
                      <w:color w:val="000000"/>
                      <w:sz w:val="18"/>
                    </w:rPr>
                    <w:br/>
                  </w:r>
                  <w:r>
                    <w:rPr>
                      <w:rFonts w:ascii="Arial" w:eastAsia="Arial" w:hAnsi="Arial"/>
                      <w:color w:val="000000"/>
                      <w:sz w:val="18"/>
                    </w:rPr>
                    <w:t> Rendre disponible les outils et supports de gesti</w:t>
                  </w:r>
                  <w:r>
                    <w:rPr>
                      <w:rFonts w:ascii="Arial" w:eastAsia="Arial" w:hAnsi="Arial"/>
                      <w:color w:val="000000"/>
                      <w:sz w:val="18"/>
                    </w:rPr>
                    <w:t>on actualisés à tous les niveaux de la pyramide sanitaire ;</w:t>
                  </w:r>
                  <w:r>
                    <w:rPr>
                      <w:rFonts w:ascii="Arial" w:eastAsia="Arial" w:hAnsi="Arial"/>
                      <w:color w:val="000000"/>
                      <w:sz w:val="18"/>
                    </w:rPr>
                    <w:br/>
                  </w:r>
                  <w:r>
                    <w:rPr>
                      <w:rFonts w:ascii="Arial" w:eastAsia="Arial" w:hAnsi="Arial"/>
                      <w:color w:val="000000"/>
                      <w:sz w:val="18"/>
                    </w:rPr>
                    <w:t> Coordonner le dénombrement des populations cibles du programme dans toutes les aires de santé ;</w:t>
                  </w:r>
                  <w:r>
                    <w:rPr>
                      <w:rFonts w:ascii="Arial" w:eastAsia="Arial" w:hAnsi="Arial"/>
                      <w:color w:val="000000"/>
                      <w:sz w:val="18"/>
                    </w:rPr>
                    <w:br/>
                  </w:r>
                  <w:r>
                    <w:rPr>
                      <w:rFonts w:ascii="Arial" w:eastAsia="Arial" w:hAnsi="Arial"/>
                      <w:color w:val="000000"/>
                      <w:sz w:val="18"/>
                    </w:rPr>
                    <w:t> Actualiser l’inventaire des équipements de la chaîne du froid et du matériel roulant ;</w:t>
                  </w:r>
                  <w:r>
                    <w:rPr>
                      <w:rFonts w:ascii="Arial" w:eastAsia="Arial" w:hAnsi="Arial"/>
                      <w:color w:val="000000"/>
                      <w:sz w:val="18"/>
                    </w:rPr>
                    <w:br/>
                  </w:r>
                  <w:r>
                    <w:rPr>
                      <w:rFonts w:ascii="Arial" w:eastAsia="Arial" w:hAnsi="Arial"/>
                      <w:color w:val="000000"/>
                      <w:sz w:val="18"/>
                    </w:rPr>
                    <w:t> Renforc</w:t>
                  </w:r>
                  <w:r>
                    <w:rPr>
                      <w:rFonts w:ascii="Arial" w:eastAsia="Arial" w:hAnsi="Arial"/>
                      <w:color w:val="000000"/>
                      <w:sz w:val="18"/>
                    </w:rPr>
                    <w:t>er les équipements de chaîne du froid et le matériel roulant dans les régions, districts et établissements de santé ;</w:t>
                  </w:r>
                  <w:r>
                    <w:rPr>
                      <w:rFonts w:ascii="Arial" w:eastAsia="Arial" w:hAnsi="Arial"/>
                      <w:color w:val="000000"/>
                      <w:sz w:val="18"/>
                    </w:rPr>
                    <w:br/>
                  </w:r>
                  <w:r>
                    <w:rPr>
                      <w:rFonts w:ascii="Arial" w:eastAsia="Arial" w:hAnsi="Arial"/>
                      <w:color w:val="000000"/>
                      <w:sz w:val="18"/>
                    </w:rPr>
                    <w:t> Améliorer le système de maintenance des équipements de la chaîne du froid ;</w:t>
                  </w:r>
                  <w:r>
                    <w:rPr>
                      <w:rFonts w:ascii="Arial" w:eastAsia="Arial" w:hAnsi="Arial"/>
                      <w:color w:val="000000"/>
                      <w:sz w:val="18"/>
                    </w:rPr>
                    <w:br/>
                  </w:r>
                  <w:r>
                    <w:rPr>
                      <w:rFonts w:ascii="Arial" w:eastAsia="Arial" w:hAnsi="Arial"/>
                      <w:color w:val="000000"/>
                      <w:sz w:val="18"/>
                    </w:rPr>
                    <w:t> Equiper les camions frigorifiques affectés au transport de</w:t>
                  </w:r>
                  <w:r>
                    <w:rPr>
                      <w:rFonts w:ascii="Arial" w:eastAsia="Arial" w:hAnsi="Arial"/>
                      <w:color w:val="000000"/>
                      <w:sz w:val="18"/>
                    </w:rPr>
                    <w:t>s vaccins de dispositifs d’enregistrement continu des températures ;</w:t>
                  </w:r>
                  <w:r>
                    <w:rPr>
                      <w:rFonts w:ascii="Arial" w:eastAsia="Arial" w:hAnsi="Arial"/>
                      <w:color w:val="000000"/>
                      <w:sz w:val="18"/>
                    </w:rPr>
                    <w:br/>
                  </w:r>
                  <w:r>
                    <w:rPr>
                      <w:rFonts w:ascii="Arial" w:eastAsia="Arial" w:hAnsi="Arial"/>
                      <w:color w:val="000000"/>
                      <w:sz w:val="18"/>
                    </w:rPr>
                    <w:t> Réviser le circuit de transmission des données de vaccination en y impliquant le niveau régional ;</w:t>
                  </w:r>
                  <w:r>
                    <w:rPr>
                      <w:rFonts w:ascii="Arial" w:eastAsia="Arial" w:hAnsi="Arial"/>
                      <w:color w:val="000000"/>
                      <w:sz w:val="18"/>
                    </w:rPr>
                    <w:br/>
                  </w:r>
                  <w:r>
                    <w:rPr>
                      <w:rFonts w:ascii="Arial" w:eastAsia="Arial" w:hAnsi="Arial"/>
                      <w:color w:val="000000"/>
                      <w:sz w:val="18"/>
                    </w:rPr>
                    <w:t> Réviser et diffuser les directives sur l’archivage des données à tous les niveaux de</w:t>
                  </w:r>
                  <w:r>
                    <w:rPr>
                      <w:rFonts w:ascii="Arial" w:eastAsia="Arial" w:hAnsi="Arial"/>
                      <w:color w:val="000000"/>
                      <w:sz w:val="18"/>
                    </w:rPr>
                    <w:t xml:space="preserve"> la pyramide sanitaire ;</w:t>
                  </w:r>
                  <w:r>
                    <w:rPr>
                      <w:rFonts w:ascii="Arial" w:eastAsia="Arial" w:hAnsi="Arial"/>
                      <w:color w:val="000000"/>
                      <w:sz w:val="18"/>
                    </w:rPr>
                    <w:br/>
                  </w:r>
                  <w:r>
                    <w:rPr>
                      <w:rFonts w:ascii="Arial" w:eastAsia="Arial" w:hAnsi="Arial"/>
                      <w:color w:val="000000"/>
                      <w:sz w:val="18"/>
                    </w:rPr>
                    <w:t> Faire un plaidoyer pour la construction  d’incinérateurs dans les hôpitaux de référence des régions sanitaires ;</w:t>
                  </w:r>
                  <w:r>
                    <w:rPr>
                      <w:rFonts w:ascii="Arial" w:eastAsia="Arial" w:hAnsi="Arial"/>
                      <w:color w:val="000000"/>
                      <w:sz w:val="18"/>
                    </w:rPr>
                    <w:br/>
                  </w:r>
                  <w:r>
                    <w:rPr>
                      <w:rFonts w:ascii="Arial" w:eastAsia="Arial" w:hAnsi="Arial"/>
                      <w:color w:val="000000"/>
                      <w:sz w:val="18"/>
                    </w:rPr>
                    <w:t> Rendre disponibles les outils de communication sur la vaccination dans les établissements de santé ;</w:t>
                  </w:r>
                  <w:r>
                    <w:rPr>
                      <w:rFonts w:ascii="Arial" w:eastAsia="Arial" w:hAnsi="Arial"/>
                      <w:color w:val="000000"/>
                      <w:sz w:val="18"/>
                    </w:rPr>
                    <w:br/>
                  </w:r>
                  <w:r>
                    <w:rPr>
                      <w:rFonts w:ascii="Arial" w:eastAsia="Arial" w:hAnsi="Arial"/>
                      <w:color w:val="000000"/>
                      <w:sz w:val="18"/>
                    </w:rPr>
                    <w:t> Intégrer la</w:t>
                  </w:r>
                  <w:r>
                    <w:rPr>
                      <w:rFonts w:ascii="Arial" w:eastAsia="Arial" w:hAnsi="Arial"/>
                      <w:color w:val="000000"/>
                      <w:sz w:val="18"/>
                    </w:rPr>
                    <w:t xml:space="preserve"> surveillance des méningites bactériennes pédiatriques au réseau national de surveillance des méningites bactériennes ;</w:t>
                  </w:r>
                  <w:r>
                    <w:rPr>
                      <w:rFonts w:ascii="Arial" w:eastAsia="Arial" w:hAnsi="Arial"/>
                      <w:color w:val="000000"/>
                      <w:sz w:val="18"/>
                    </w:rPr>
                    <w:br/>
                  </w:r>
                  <w:r>
                    <w:rPr>
                      <w:rFonts w:ascii="Arial" w:eastAsia="Arial" w:hAnsi="Arial"/>
                      <w:color w:val="000000"/>
                      <w:sz w:val="18"/>
                    </w:rPr>
                    <w:t> Mettre en place des circuits de ramassage des BS des établissements de santé vers les districts et des districts vers les sites de des</w:t>
                  </w:r>
                  <w:r>
                    <w:rPr>
                      <w:rFonts w:ascii="Arial" w:eastAsia="Arial" w:hAnsi="Arial"/>
                      <w:color w:val="000000"/>
                      <w:sz w:val="18"/>
                    </w:rPr>
                    <w:t>truction ;</w:t>
                  </w:r>
                  <w:r>
                    <w:rPr>
                      <w:rFonts w:ascii="Arial" w:eastAsia="Arial" w:hAnsi="Arial"/>
                      <w:color w:val="000000"/>
                      <w:sz w:val="18"/>
                    </w:rPr>
                    <w:br/>
                  </w:r>
                  <w:r>
                    <w:rPr>
                      <w:rFonts w:ascii="Arial" w:eastAsia="Arial" w:hAnsi="Arial"/>
                      <w:color w:val="000000"/>
                      <w:sz w:val="18"/>
                    </w:rPr>
                    <w:t> Mettre en place un système de notification, de prise en charge et de suivi des MAPI en routine.</w:t>
                  </w:r>
                  <w:r>
                    <w:rPr>
                      <w:rFonts w:ascii="Arial" w:eastAsia="Arial" w:hAnsi="Arial"/>
                      <w:color w:val="000000"/>
                      <w:sz w:val="18"/>
                    </w:rPr>
                    <w:br/>
                  </w:r>
                  <w:r>
                    <w:rPr>
                      <w:rFonts w:ascii="Arial" w:eastAsia="Arial" w:hAnsi="Arial"/>
                      <w:color w:val="000000"/>
                      <w:sz w:val="18"/>
                    </w:rPr>
                    <w:br/>
                    <w:t>2. A l’endroit de l’INHP</w:t>
                  </w:r>
                  <w:r>
                    <w:rPr>
                      <w:rFonts w:ascii="Arial" w:eastAsia="Arial" w:hAnsi="Arial"/>
                      <w:color w:val="000000"/>
                      <w:sz w:val="18"/>
                    </w:rPr>
                    <w:br/>
                  </w:r>
                  <w:r>
                    <w:rPr>
                      <w:rFonts w:ascii="Arial" w:eastAsia="Arial" w:hAnsi="Arial"/>
                      <w:color w:val="000000"/>
                      <w:sz w:val="18"/>
                    </w:rPr>
                    <w:t> Doter les chambres froides et congélateurs/réfrigérateurs du niveau central et régional de système d’enregistrement con</w:t>
                  </w:r>
                  <w:r>
                    <w:rPr>
                      <w:rFonts w:ascii="Arial" w:eastAsia="Arial" w:hAnsi="Arial"/>
                      <w:color w:val="000000"/>
                      <w:sz w:val="18"/>
                    </w:rPr>
                    <w:t>tinu de température ;</w:t>
                  </w:r>
                  <w:r>
                    <w:rPr>
                      <w:rFonts w:ascii="Arial" w:eastAsia="Arial" w:hAnsi="Arial"/>
                      <w:color w:val="000000"/>
                      <w:sz w:val="18"/>
                    </w:rPr>
                    <w:br/>
                  </w:r>
                  <w:r>
                    <w:rPr>
                      <w:rFonts w:ascii="Arial" w:eastAsia="Arial" w:hAnsi="Arial"/>
                      <w:color w:val="000000"/>
                      <w:sz w:val="18"/>
                    </w:rPr>
                    <w:t> Doter les antennes régionales INHP de camions frigorifiques pour l’approvisionnement et la distribution des vaccins dans les dépôts de districts.</w:t>
                  </w:r>
                  <w:r>
                    <w:rPr>
                      <w:rFonts w:ascii="Arial" w:eastAsia="Arial" w:hAnsi="Arial"/>
                      <w:color w:val="000000"/>
                      <w:sz w:val="18"/>
                    </w:rPr>
                    <w:br/>
                  </w:r>
                  <w:r>
                    <w:rPr>
                      <w:rFonts w:ascii="Arial" w:eastAsia="Arial" w:hAnsi="Arial"/>
                      <w:color w:val="000000"/>
                      <w:sz w:val="18"/>
                    </w:rPr>
                    <w:br/>
                    <w:t>3. A l’endroit des régions sanitaires</w:t>
                  </w:r>
                  <w:r>
                    <w:rPr>
                      <w:rFonts w:ascii="Arial" w:eastAsia="Arial" w:hAnsi="Arial"/>
                      <w:color w:val="000000"/>
                      <w:sz w:val="18"/>
                    </w:rPr>
                    <w:br/>
                  </w:r>
                  <w:r>
                    <w:rPr>
                      <w:rFonts w:ascii="Arial" w:eastAsia="Arial" w:hAnsi="Arial"/>
                      <w:color w:val="000000"/>
                      <w:sz w:val="18"/>
                    </w:rPr>
                    <w:t> Renforcer le suivi des activités de vaccinati</w:t>
                  </w:r>
                  <w:r>
                    <w:rPr>
                      <w:rFonts w:ascii="Arial" w:eastAsia="Arial" w:hAnsi="Arial"/>
                      <w:color w:val="000000"/>
                      <w:sz w:val="18"/>
                    </w:rPr>
                    <w:t>on au niveau des districts sanitaires ;</w:t>
                  </w:r>
                  <w:r>
                    <w:rPr>
                      <w:rFonts w:ascii="Arial" w:eastAsia="Arial" w:hAnsi="Arial"/>
                      <w:color w:val="000000"/>
                      <w:sz w:val="18"/>
                    </w:rPr>
                    <w:br/>
                  </w:r>
                  <w:r>
                    <w:rPr>
                      <w:rFonts w:ascii="Arial" w:eastAsia="Arial" w:hAnsi="Arial"/>
                      <w:color w:val="000000"/>
                      <w:sz w:val="18"/>
                    </w:rPr>
                    <w:t> Coordonner le dénombrement des populations cibles du programme dans toutes les aires de santé ;</w:t>
                  </w:r>
                  <w:r>
                    <w:rPr>
                      <w:rFonts w:ascii="Arial" w:eastAsia="Arial" w:hAnsi="Arial"/>
                      <w:color w:val="000000"/>
                      <w:sz w:val="18"/>
                    </w:rPr>
                    <w:br/>
                  </w:r>
                  <w:r>
                    <w:rPr>
                      <w:rFonts w:ascii="Arial" w:eastAsia="Arial" w:hAnsi="Arial"/>
                      <w:color w:val="000000"/>
                      <w:sz w:val="18"/>
                    </w:rPr>
                    <w:t> Faire le suivi de la maintenance des équipements de la chaîne du froid et du matériel roulant ;</w:t>
                  </w:r>
                  <w:r>
                    <w:rPr>
                      <w:rFonts w:ascii="Arial" w:eastAsia="Arial" w:hAnsi="Arial"/>
                      <w:color w:val="000000"/>
                      <w:sz w:val="18"/>
                    </w:rPr>
                    <w:br/>
                  </w:r>
                  <w:r>
                    <w:rPr>
                      <w:rFonts w:ascii="Arial" w:eastAsia="Arial" w:hAnsi="Arial"/>
                      <w:color w:val="000000"/>
                      <w:sz w:val="18"/>
                    </w:rPr>
                    <w:t xml:space="preserve"> Faire le suivi de </w:t>
                  </w:r>
                  <w:r>
                    <w:rPr>
                      <w:rFonts w:ascii="Arial" w:eastAsia="Arial" w:hAnsi="Arial"/>
                      <w:color w:val="000000"/>
                      <w:sz w:val="18"/>
                    </w:rPr>
                    <w:t>la mise en place des dispositifs de protection des sites de destruction des déchets biomédicaux au niveau des CHR et HG.</w:t>
                  </w:r>
                  <w:r>
                    <w:rPr>
                      <w:rFonts w:ascii="Arial" w:eastAsia="Arial" w:hAnsi="Arial"/>
                      <w:color w:val="000000"/>
                      <w:sz w:val="18"/>
                    </w:rPr>
                    <w:br/>
                  </w:r>
                  <w:r>
                    <w:rPr>
                      <w:rFonts w:ascii="Arial" w:eastAsia="Arial" w:hAnsi="Arial"/>
                      <w:color w:val="000000"/>
                      <w:sz w:val="18"/>
                    </w:rPr>
                    <w:br/>
                    <w:t>4. A l’endroit des districts et centres vaccinateurs</w:t>
                  </w:r>
                  <w:r>
                    <w:rPr>
                      <w:rFonts w:ascii="Arial" w:eastAsia="Arial" w:hAnsi="Arial"/>
                      <w:color w:val="000000"/>
                      <w:sz w:val="18"/>
                    </w:rPr>
                    <w:br/>
                  </w:r>
                  <w:r>
                    <w:rPr>
                      <w:rFonts w:ascii="Arial" w:eastAsia="Arial" w:hAnsi="Arial"/>
                      <w:color w:val="000000"/>
                      <w:sz w:val="18"/>
                    </w:rPr>
                    <w:t> Renforcer le suivi des activités au niveau des établissements de santé ;</w:t>
                  </w:r>
                  <w:r>
                    <w:rPr>
                      <w:rFonts w:ascii="Arial" w:eastAsia="Arial" w:hAnsi="Arial"/>
                      <w:color w:val="000000"/>
                      <w:sz w:val="18"/>
                    </w:rPr>
                    <w:br/>
                  </w:r>
                  <w:r>
                    <w:rPr>
                      <w:rFonts w:ascii="Arial" w:eastAsia="Arial" w:hAnsi="Arial"/>
                      <w:color w:val="000000"/>
                      <w:sz w:val="18"/>
                    </w:rPr>
                    <w:t> Proc</w:t>
                  </w:r>
                  <w:r>
                    <w:rPr>
                      <w:rFonts w:ascii="Arial" w:eastAsia="Arial" w:hAnsi="Arial"/>
                      <w:color w:val="000000"/>
                      <w:sz w:val="18"/>
                    </w:rPr>
                    <w:t>éder au dénombrement des populations cibles du programme dans toutes les aires de santé ;</w:t>
                  </w:r>
                  <w:r>
                    <w:rPr>
                      <w:rFonts w:ascii="Arial" w:eastAsia="Arial" w:hAnsi="Arial"/>
                      <w:color w:val="000000"/>
                      <w:sz w:val="18"/>
                    </w:rPr>
                    <w:br/>
                  </w:r>
                  <w:r>
                    <w:rPr>
                      <w:rFonts w:ascii="Arial" w:eastAsia="Arial" w:hAnsi="Arial"/>
                      <w:color w:val="000000"/>
                      <w:sz w:val="18"/>
                    </w:rPr>
                    <w:t> Assurer le financement des frais de transport des vaccins entre le district et les centres de santé ;</w:t>
                  </w:r>
                  <w:r>
                    <w:rPr>
                      <w:rFonts w:ascii="Arial" w:eastAsia="Arial" w:hAnsi="Arial"/>
                      <w:color w:val="000000"/>
                      <w:sz w:val="18"/>
                    </w:rPr>
                    <w:br/>
                  </w:r>
                  <w:r>
                    <w:rPr>
                      <w:rFonts w:ascii="Arial" w:eastAsia="Arial" w:hAnsi="Arial"/>
                      <w:color w:val="000000"/>
                      <w:sz w:val="18"/>
                    </w:rPr>
                    <w:t xml:space="preserve"> Relever la température des congélateurs/réfrigérateurs deux </w:t>
                  </w:r>
                  <w:r>
                    <w:rPr>
                      <w:rFonts w:ascii="Arial" w:eastAsia="Arial" w:hAnsi="Arial"/>
                      <w:color w:val="000000"/>
                      <w:sz w:val="18"/>
                    </w:rPr>
                    <w:t>fois par jour y compris les week-ends et jours fériés ;</w:t>
                  </w:r>
                  <w:r>
                    <w:rPr>
                      <w:rFonts w:ascii="Arial" w:eastAsia="Arial" w:hAnsi="Arial"/>
                      <w:color w:val="000000"/>
                      <w:sz w:val="18"/>
                    </w:rPr>
                    <w:br/>
                  </w:r>
                  <w:r>
                    <w:rPr>
                      <w:rFonts w:ascii="Arial" w:eastAsia="Arial" w:hAnsi="Arial"/>
                      <w:color w:val="000000"/>
                      <w:sz w:val="18"/>
                    </w:rPr>
                    <w:t> Diffuser des messages sur le vaccin anti-Hib lors des séances de Communication pour le Changement de Comportement (CCC) qui précèdent les séances de vaccination ;</w:t>
                  </w:r>
                  <w:r>
                    <w:rPr>
                      <w:rFonts w:ascii="Arial" w:eastAsia="Arial" w:hAnsi="Arial"/>
                      <w:color w:val="000000"/>
                      <w:sz w:val="18"/>
                    </w:rPr>
                    <w:br/>
                  </w:r>
                  <w:r>
                    <w:rPr>
                      <w:rFonts w:ascii="Arial" w:eastAsia="Arial" w:hAnsi="Arial"/>
                      <w:color w:val="000000"/>
                      <w:sz w:val="18"/>
                    </w:rPr>
                    <w:t> Protéger les sites de destruction</w:t>
                  </w:r>
                  <w:r>
                    <w:rPr>
                      <w:rFonts w:ascii="Arial" w:eastAsia="Arial" w:hAnsi="Arial"/>
                      <w:color w:val="000000"/>
                      <w:sz w:val="18"/>
                    </w:rPr>
                    <w:t xml:space="preserve"> des déchets biomédicaux.</w:t>
                  </w:r>
                  <w:r>
                    <w:rPr>
                      <w:rFonts w:ascii="Arial" w:eastAsia="Arial" w:hAnsi="Arial"/>
                      <w:color w:val="000000"/>
                      <w:sz w:val="18"/>
                    </w:rPr>
                    <w:br/>
                  </w:r>
                </w:p>
              </w:tc>
            </w:tr>
          </w:tbl>
          <w:p w:rsidR="00000000" w:rsidRDefault="000D2E85"/>
        </w:tc>
      </w:tr>
      <w:tr w:rsidR="00000000">
        <w:tblPrEx>
          <w:tblCellMar>
            <w:top w:w="0" w:type="dxa"/>
            <w:left w:w="0" w:type="dxa"/>
            <w:bottom w:w="0" w:type="dxa"/>
            <w:right w:w="0" w:type="dxa"/>
          </w:tblCellMar>
        </w:tblPrEx>
        <w:trPr>
          <w:trHeight w:val="9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établir la liste des vaccins à introduire avec le soutien de GAVI Alliance (et la présentation)</w:t>
                  </w:r>
                </w:p>
              </w:tc>
            </w:tr>
          </w:tbl>
          <w:p w:rsidR="00000000" w:rsidRDefault="000D2E85"/>
        </w:tc>
      </w:tr>
      <w:tr w:rsidR="00000000">
        <w:tblPrEx>
          <w:tblCellMar>
            <w:top w:w="0" w:type="dxa"/>
            <w:left w:w="0" w:type="dxa"/>
            <w:bottom w:w="0" w:type="dxa"/>
            <w:right w:w="0" w:type="dxa"/>
          </w:tblCellMar>
        </w:tblPrEx>
        <w:trPr>
          <w:trHeight w:val="153"/>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pPr>
                    <w:numPr>
                      <w:ilvl w:val="0"/>
                      <w:numId w:val="10"/>
                    </w:numPr>
                    <w:ind w:left="720" w:hanging="360"/>
                  </w:pPr>
                  <w:r>
                    <w:rPr>
                      <w:rFonts w:ascii="Arial" w:eastAsia="Arial" w:hAnsi="Arial"/>
                      <w:color w:val="000000"/>
                      <w:sz w:val="22"/>
                    </w:rPr>
                    <w:t>Vaccin contre les infections à pneumocoque : PCV 13 injectable sous forme liquide en flacon d'une dose</w:t>
                  </w:r>
                </w:p>
              </w:tc>
            </w:tr>
          </w:tbl>
          <w:p w:rsidR="00000000" w:rsidRDefault="000D2E85"/>
        </w:tc>
      </w:tr>
      <w:tr w:rsidR="00000000">
        <w:tblPrEx>
          <w:tblCellMar>
            <w:top w:w="0" w:type="dxa"/>
            <w:left w:w="0" w:type="dxa"/>
            <w:bottom w:w="0" w:type="dxa"/>
            <w:right w:w="0" w:type="dxa"/>
          </w:tblCellMar>
        </w:tblPrEx>
        <w:trPr>
          <w:trHeight w:val="105"/>
        </w:trPr>
        <w:tc>
          <w:tcPr>
            <w:tcW w:w="10771"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9354"/>
        <w:gridCol w:w="1417"/>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7221"/>
              </w:trPr>
              <w:tc>
                <w:tcPr>
                  <w:tcW w:w="935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1"/>
                    <w:gridCol w:w="5384"/>
                    <w:gridCol w:w="2904"/>
                    <w:gridCol w:w="1064"/>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17" w:name="NVSRoutine61"/>
                              <w:bookmarkEnd w:id="17"/>
                              <w:r>
                                <w:rPr>
                                  <w:rFonts w:ascii="Arial" w:eastAsia="Arial" w:hAnsi="Arial"/>
                                  <w:b/>
                                  <w:color w:val="365F91"/>
                                  <w:sz w:val="24"/>
                                </w:rPr>
                                <w:t>6.2.</w:t>
                              </w:r>
                              <w:r>
                                <w:rPr>
                                  <w:rFonts w:ascii="Arial" w:eastAsia="Arial" w:hAnsi="Arial"/>
                                  <w:b/>
                                  <w:color w:val="365F91"/>
                                  <w:sz w:val="24"/>
                                </w:rPr>
                                <w:t xml:space="preserve"> Vaccin demandé (Antipneumococcique (VPC13), 1 dose(s) par flacon, LIQUIDE)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color w:val="000000"/>
                                  <w:sz w:val="22"/>
                                </w:rPr>
                                <w:t xml:space="preserve">Ainsi que mentionné dans le PPAG, le pays prévoit d'introduire Antipneumococcique (VPC13), à l'aide de </w:t>
                              </w:r>
                              <w:r>
                                <w:rPr>
                                  <w:rFonts w:ascii="Arial" w:eastAsia="Arial" w:hAnsi="Arial"/>
                                  <w:color w:val="008000"/>
                                  <w:sz w:val="22"/>
                                </w:rPr>
                                <w:t>Antipneumococcique (VPC13), 1 dose(s) par flacon, LIQUIDE</w:t>
                              </w:r>
                              <w:r>
                                <w:rPr>
                                  <w:rFonts w:ascii="Arial" w:eastAsia="Arial" w:hAnsi="Arial"/>
                                  <w:color w:val="000000"/>
                                  <w:sz w:val="22"/>
                                </w:rPr>
                                <w:t>.</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18" w:name="NVSRoutine611"/>
                              <w:bookmarkEnd w:id="18"/>
                              <w:r>
                                <w:rPr>
                                  <w:rFonts w:ascii="Arial" w:eastAsia="Arial" w:hAnsi="Arial"/>
                                  <w:b/>
                                  <w:color w:val="365F91"/>
                                  <w:sz w:val="24"/>
                                </w:rPr>
                                <w:t>6.2.1. Informati</w:t>
                              </w:r>
                              <w:r>
                                <w:rPr>
                                  <w:rFonts w:ascii="Arial" w:eastAsia="Arial" w:hAnsi="Arial"/>
                                  <w:b/>
                                  <w:color w:val="365F91"/>
                                  <w:sz w:val="24"/>
                                </w:rPr>
                                <w:t>on sur le co-financement</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color w:val="000000"/>
                                  <w:sz w:val="22"/>
                                </w:rPr>
                                <w:t xml:space="preserve">Si vous souhaitez cofinancer un montant supérieur au minimum, veuillez écraser l'information figurant sur la rangée </w:t>
                              </w:r>
                              <w:r>
                                <w:rPr>
                                  <w:rFonts w:ascii="Arial" w:eastAsia="Arial" w:hAnsi="Arial"/>
                                  <w:i/>
                                  <w:color w:val="000000"/>
                                  <w:sz w:val="22"/>
                                </w:rPr>
                                <w:t>Votre cofinancement</w:t>
                              </w:r>
                              <w:r>
                                <w:rPr>
                                  <w:rFonts w:ascii="Arial" w:eastAsia="Arial" w:hAnsi="Arial"/>
                                  <w:color w:val="000000"/>
                                  <w:sz w:val="22"/>
                                </w:rPr>
                                <w:t>.</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41"/>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5669" w:type="dxa"/>
                        <w:gridSpan w:val="3"/>
                      </w:tcPr>
                      <w:tbl>
                        <w:tblPr>
                          <w:tblW w:w="0" w:type="auto"/>
                          <w:tblCellMar>
                            <w:left w:w="0" w:type="dxa"/>
                            <w:right w:w="0" w:type="dxa"/>
                          </w:tblCellMar>
                          <w:tblLook w:val="0000" w:firstRow="0" w:lastRow="0" w:firstColumn="0" w:lastColumn="0" w:noHBand="0" w:noVBand="0"/>
                        </w:tblPr>
                        <w:tblGrid>
                          <w:gridCol w:w="3450"/>
                          <w:gridCol w:w="1916"/>
                        </w:tblGrid>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Groupe du pays</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Intermédiaire</w:t>
                              </w:r>
                            </w:p>
                          </w:tc>
                        </w:tr>
                      </w:tbl>
                      <w:p w:rsidR="00000000" w:rsidRDefault="000D2E85"/>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117"/>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hMerge w:val="restart"/>
                      </w:tcPr>
                      <w:tbl>
                        <w:tblPr>
                          <w:tblW w:w="0" w:type="auto"/>
                          <w:tblCellMar>
                            <w:left w:w="0" w:type="dxa"/>
                            <w:right w:w="0" w:type="dxa"/>
                          </w:tblCellMar>
                          <w:tblLook w:val="0000" w:firstRow="0" w:lastRow="0" w:firstColumn="0" w:lastColumn="0" w:noHBand="0" w:noVBand="0"/>
                        </w:tblPr>
                        <w:tblGrid>
                          <w:gridCol w:w="4434"/>
                          <w:gridCol w:w="1282"/>
                          <w:gridCol w:w="1282"/>
                          <w:gridCol w:w="1282"/>
                        </w:tblGrid>
                        <w:tr w:rsidR="00000000">
                          <w:tblPrEx>
                            <w:tblCellMar>
                              <w:top w:w="0" w:type="dxa"/>
                              <w:left w:w="0" w:type="dxa"/>
                              <w:bottom w:w="0" w:type="dxa"/>
                              <w:right w:w="0" w:type="dxa"/>
                            </w:tblCellMar>
                          </w:tblPrEx>
                          <w:trPr>
                            <w:trHeight w:val="260"/>
                          </w:trPr>
                          <w:tc>
                            <w:tcPr>
                              <w:tcW w:w="5102" w:type="dxa"/>
                              <w:tcMar>
                                <w:top w:w="40" w:type="dxa"/>
                                <w:left w:w="40" w:type="dxa"/>
                                <w:bottom w:w="40" w:type="dxa"/>
                                <w:right w:w="40" w:type="dxa"/>
                              </w:tcMa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Année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Année 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Année 3</w:t>
                              </w:r>
                            </w:p>
                          </w:tc>
                        </w:tr>
                        <w:tr w:rsidR="00000000">
                          <w:tblPrEx>
                            <w:tblCellMar>
                              <w:top w:w="0" w:type="dxa"/>
                              <w:left w:w="0" w:type="dxa"/>
                              <w:bottom w:w="0" w:type="dxa"/>
                              <w:right w:w="0" w:type="dxa"/>
                            </w:tblCellMar>
                          </w:tblPrEx>
                          <w:trPr>
                            <w:trHeight w:val="260"/>
                          </w:trPr>
                          <w:tc>
                            <w:tcPr>
                              <w:tcW w:w="5102" w:type="dxa"/>
                              <w:tcMar>
                                <w:top w:w="40" w:type="dxa"/>
                                <w:left w:w="40" w:type="dxa"/>
                                <w:bottom w:w="40" w:type="dxa"/>
                                <w:right w:w="40" w:type="dxa"/>
                              </w:tcMa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r>
                                <w:rPr>
                                  <w:rFonts w:ascii="Arial" w:eastAsia="Arial" w:hAnsi="Arial"/>
                                  <w:b/>
                                  <w:color w:val="000000"/>
                                </w:rPr>
                                <w:t>Cof</w:t>
                              </w:r>
                              <w:r>
                                <w:rPr>
                                  <w:rFonts w:ascii="Arial" w:eastAsia="Arial" w:hAnsi="Arial"/>
                                  <w:b/>
                                  <w:color w:val="000000"/>
                                </w:rPr>
                                <w:t>inancement minimum</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0,26</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r>
                                <w:rPr>
                                  <w:rFonts w:ascii="Arial" w:eastAsia="Arial" w:hAnsi="Arial"/>
                                  <w:b/>
                                  <w:color w:val="000000"/>
                                </w:rPr>
                                <w:t>Votre cofinancement (veuillez changer si supérieur)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right"/>
                              </w:pPr>
                              <w:r>
                                <w:rPr>
                                  <w:rFonts w:ascii="Arial" w:eastAsia="Arial" w:hAnsi="Arial"/>
                                  <w:color w:val="000000"/>
                                </w:rPr>
                                <w:t>0,20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right"/>
                              </w:pPr>
                              <w:r>
                                <w:rPr>
                                  <w:rFonts w:ascii="Arial" w:eastAsia="Arial" w:hAnsi="Arial"/>
                                  <w:color w:val="000000"/>
                                </w:rPr>
                                <w:t>0,23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right"/>
                              </w:pPr>
                              <w:r>
                                <w:rPr>
                                  <w:rFonts w:ascii="Arial" w:eastAsia="Arial" w:hAnsi="Arial"/>
                                  <w:color w:val="000000"/>
                                </w:rPr>
                                <w:t>0,26</w:t>
                              </w:r>
                            </w:p>
                          </w:tc>
                        </w:tr>
                      </w:tbl>
                      <w:p w:rsidR="00000000" w:rsidRDefault="000D2E85"/>
                    </w:tc>
                    <w:tc>
                      <w:tcPr>
                        <w:gridSpan w:val="3"/>
                        <w:hMerge/>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9"/>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19" w:name="NVSRoutine612"/>
                              <w:bookmarkEnd w:id="19"/>
                              <w:r>
                                <w:rPr>
                                  <w:rFonts w:ascii="Arial" w:eastAsia="Arial" w:hAnsi="Arial"/>
                                  <w:b/>
                                  <w:color w:val="365F91"/>
                                  <w:sz w:val="24"/>
                                </w:rPr>
                                <w:t>6.2.2. Spécifications des vaccinations avec les nouveaux vaccins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hMerge w:val="restart"/>
                      </w:tcPr>
                      <w:tbl>
                        <w:tblPr>
                          <w:tblW w:w="0" w:type="auto"/>
                          <w:tblCellMar>
                            <w:left w:w="0" w:type="dxa"/>
                            <w:right w:w="0" w:type="dxa"/>
                          </w:tblCellMar>
                          <w:tblLook w:val="0000" w:firstRow="0" w:lastRow="0" w:firstColumn="0" w:lastColumn="0" w:noHBand="0" w:noVBand="0"/>
                        </w:tblPr>
                        <w:tblGrid>
                          <w:gridCol w:w="3077"/>
                          <w:gridCol w:w="1214"/>
                          <w:gridCol w:w="257"/>
                          <w:gridCol w:w="1244"/>
                          <w:gridCol w:w="1244"/>
                          <w:gridCol w:w="1244"/>
                        </w:tblGrid>
                        <w:tr w:rsidR="00000000">
                          <w:tblPrEx>
                            <w:tblCellMar>
                              <w:top w:w="0" w:type="dxa"/>
                              <w:left w:w="0" w:type="dxa"/>
                              <w:bottom w:w="0" w:type="dxa"/>
                              <w:right w:w="0" w:type="dxa"/>
                            </w:tblCellMar>
                          </w:tblPrEx>
                          <w:trPr>
                            <w:trHeight w:val="260"/>
                          </w:trPr>
                          <w:tc>
                            <w:tcPr>
                              <w:tcW w:w="3685" w:type="dxa"/>
                              <w:tcMar>
                                <w:top w:w="40" w:type="dxa"/>
                                <w:left w:w="40" w:type="dxa"/>
                                <w:bottom w:w="40" w:type="dxa"/>
                                <w:right w:w="40" w:type="dxa"/>
                              </w:tcMar>
                              <w:vAlign w:val="center"/>
                            </w:tcPr>
                            <w:p w:rsidR="00000000" w:rsidRDefault="000D2E85"/>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Provenance des données</w:t>
                              </w:r>
                            </w:p>
                          </w:tc>
                          <w:tc>
                            <w:tcPr>
                              <w:tcW w:w="28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3</w:t>
                              </w:r>
                            </w:p>
                          </w:tc>
                        </w:tr>
                        <w:tr w:rsidR="00000000">
                          <w:tblPrEx>
                            <w:tblCellMar>
                              <w:top w:w="0" w:type="dxa"/>
                              <w:left w:w="0" w:type="dxa"/>
                              <w:bottom w:w="0" w:type="dxa"/>
                              <w:right w:w="0" w:type="dxa"/>
                            </w:tblCellMar>
                          </w:tblPrEx>
                          <w:trPr>
                            <w:trHeight w:val="260"/>
                          </w:trPr>
                          <w:tc>
                            <w:tcPr>
                              <w:tcW w:w="3685" w:type="dxa"/>
                              <w:tcMar>
                                <w:top w:w="40" w:type="dxa"/>
                                <w:left w:w="40" w:type="dxa"/>
                                <w:bottom w:w="40" w:type="dxa"/>
                                <w:right w:w="40" w:type="dxa"/>
                              </w:tcMar>
                              <w:vAlign w:val="center"/>
                            </w:tcPr>
                            <w:p w:rsidR="00000000" w:rsidRDefault="000D2E85"/>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28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w:t>
                              </w:r>
                              <w:r>
                                <w:rPr>
                                  <w:rFonts w:ascii="Arial" w:eastAsia="Arial" w:hAnsi="Arial"/>
                                  <w:b/>
                                  <w:color w:val="000000"/>
                                </w:rPr>
                                <w:t>mbre d'enfants devant recevoir la première dose de vaccin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773 035</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d'enfants devant recevoir la troisième dose de vaccin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705 688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731 882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757 575</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Couverture vaccinale avec la troisième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9</w:t>
                              </w:r>
                              <w:r>
                                <w:rPr>
                                  <w:rFonts w:ascii="Arial" w:eastAsia="Arial" w:hAnsi="Arial"/>
                                  <w:color w:val="000000"/>
                                </w:rPr>
                                <w:t>4,06 %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96,00 %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98,00 %</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Cofinancement du pays par dose [1]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Tableau 6.2.1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0,23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0,26</w:t>
                              </w:r>
                            </w:p>
                          </w:tc>
                        </w:tr>
                      </w:tbl>
                      <w:p w:rsidR="00000000" w:rsidRDefault="000D2E85"/>
                    </w:tc>
                    <w:tc>
                      <w:tcPr>
                        <w:gridSpan w:val="3"/>
                        <w:hMerge/>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[1]Le prix total par dose inclut le coût du vaccin, plus le transport, les fournitures, l'assurance, les frais de visa, etc.</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549"/>
                    </w:trPr>
                    <w:tc>
                      <w:tcPr>
                        <w:tcW w:w="5669" w:type="dxa"/>
                        <w:gridSpan w:val="3"/>
                      </w:tcPr>
                      <w:p w:rsidR="00000000" w:rsidRDefault="000D2E85">
                        <w:pPr>
                          <w:pStyle w:val="EmptyLayoutCell"/>
                        </w:pPr>
                      </w:p>
                    </w:tc>
                    <w:tc>
                      <w:tcPr>
                        <w:tcW w:w="3685" w:type="dxa"/>
                      </w:tcPr>
                      <w:p w:rsidR="00000000" w:rsidRDefault="000D2E85">
                        <w:pPr>
                          <w:pStyle w:val="EmptyLayoutCell"/>
                        </w:pPr>
                      </w:p>
                    </w:tc>
                    <w:tc>
                      <w:tcPr>
                        <w:tcW w:w="1417" w:type="dxa"/>
                      </w:tcPr>
                      <w:p w:rsidR="00000000" w:rsidRDefault="000D2E85">
                        <w:pPr>
                          <w:pStyle w:val="EmptyLayoutCell"/>
                        </w:pPr>
                      </w:p>
                    </w:tc>
                  </w:tr>
                </w:tbl>
                <w:p w:rsidR="00000000" w:rsidRDefault="000D2E85"/>
              </w:tc>
            </w:tr>
          </w:tbl>
          <w:p w:rsidR="00000000" w:rsidRDefault="000D2E85"/>
        </w:tc>
        <w:tc>
          <w:tcPr>
            <w:tcW w:w="1417"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595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353"/>
                    <w:gridCol w:w="1417"/>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0" w:name="NVSRoutine613"/>
                              <w:bookmarkEnd w:id="20"/>
                              <w:r>
                                <w:rPr>
                                  <w:rFonts w:ascii="Arial" w:eastAsia="Arial" w:hAnsi="Arial"/>
                                  <w:b/>
                                  <w:color w:val="365F91"/>
                                  <w:sz w:val="24"/>
                                </w:rPr>
                                <w:t>6.2.3. Part de fo</w:t>
                              </w:r>
                              <w:r>
                                <w:rPr>
                                  <w:rFonts w:ascii="Arial" w:eastAsia="Arial" w:hAnsi="Arial"/>
                                  <w:b/>
                                  <w:color w:val="365F91"/>
                                  <w:sz w:val="24"/>
                                </w:rPr>
                                <w:t>urnitures à procurer par le pays (et évaluation des coûts,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157 000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147 400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168 900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167 500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155 700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178 400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w:t>
                                    </w:r>
                                    <w:r>
                                      <w:rPr>
                                        <w:rFonts w:ascii="Arial" w:eastAsia="Arial" w:hAnsi="Arial"/>
                                        <w:b/>
                                        <w:color w:val="000000"/>
                                      </w:rPr>
                                      <w:t xml:space="preserve">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1 875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1 750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2 000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Valeur totale du cofinancement par le pays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591 500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555 000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636 000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r w:rsidR="00000000">
                    <w:tblPrEx>
                      <w:tblCellMar>
                        <w:top w:w="0" w:type="dxa"/>
                        <w:left w:w="0" w:type="dxa"/>
                        <w:bottom w:w="0" w:type="dxa"/>
                        <w:right w:w="0" w:type="dxa"/>
                      </w:tblCellMar>
                    </w:tblPrEx>
                    <w:trPr>
                      <w:trHeight w:val="110"/>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1" w:name="NVSRoutine614"/>
                              <w:bookmarkEnd w:id="21"/>
                              <w:r>
                                <w:rPr>
                                  <w:rFonts w:ascii="Arial" w:eastAsia="Arial" w:hAnsi="Arial"/>
                                  <w:b/>
                                  <w:color w:val="365F91"/>
                                  <w:sz w:val="24"/>
                                </w:rPr>
                                <w:t>6.2.4. Part de fournitures à procurer par GAVI Alliance (et évaluation des coûts,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4"/>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w:t>
                                    </w:r>
                                    <w:r>
                                      <w:rPr>
                                        <w:rFonts w:ascii="Arial" w:eastAsia="Arial" w:hAnsi="Arial"/>
                                        <w:b/>
                                        <w:color w:val="000000"/>
                                      </w:rPr>
                                      <w:t>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2 799 000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2 265 500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2 276 500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2 986 700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2 393 700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2 405 200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33 175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26 575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26 700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Valeur totale du cofinancement par</w:t>
                                    </w:r>
                                    <w:r>
                                      <w:rPr>
                                        <w:rFonts w:ascii="Arial" w:eastAsia="Arial" w:hAnsi="Arial"/>
                                        <w:b/>
                                        <w:color w:val="000000"/>
                                      </w:rPr>
                                      <w:t xml:space="preserve"> GAVI by country</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10 542 500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8 532 000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8 573 000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99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2" w:name="NVSRoutine615"/>
                              <w:bookmarkEnd w:id="22"/>
                              <w:r>
                                <w:rPr>
                                  <w:rFonts w:ascii="Arial" w:eastAsia="Arial" w:hAnsi="Arial"/>
                                  <w:b/>
                                  <w:color w:val="365F91"/>
                                  <w:sz w:val="24"/>
                                </w:rPr>
                                <w:t>6.2.5. Allocation d'introduction d'un vaccin nouveau ou sous-utilisé</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indiquer dans les tableaux ci-dessous le total des coûts/besoins et comment l'allocation unique d'introductio</w:t>
                              </w:r>
                              <w:r>
                                <w:rPr>
                                  <w:rFonts w:ascii="Arial" w:eastAsia="Arial" w:hAnsi="Arial"/>
                                  <w:color w:val="000000"/>
                                  <w:sz w:val="22"/>
                                </w:rPr>
                                <w:t xml:space="preserve">n </w:t>
                              </w:r>
                              <w:r>
                                <w:rPr>
                                  <w:rFonts w:ascii="Arial" w:eastAsia="Arial" w:hAnsi="Arial"/>
                                  <w:b/>
                                  <w:color w:val="000000"/>
                                  <w:sz w:val="22"/>
                                </w:rPr>
                                <w:t>[1]</w:t>
                              </w:r>
                              <w:r>
                                <w:rPr>
                                  <w:rFonts w:ascii="Arial" w:eastAsia="Arial" w:hAnsi="Arial"/>
                                  <w:color w:val="000000"/>
                                  <w:sz w:val="22"/>
                                </w:rPr>
                                <w:t xml:space="preserve"> sera utilisée pour soutenir les frais d'introduction de la vaccination et les activités essentielles de pré-introduction (se référer au PPAC).Si le soutien de GAVI n'est peut-être pas suffisant pour couvrir l'intégralité des besoins, veuillez indique</w:t>
                              </w:r>
                              <w:r>
                                <w:rPr>
                                  <w:rFonts w:ascii="Arial" w:eastAsia="Arial" w:hAnsi="Arial"/>
                                  <w:color w:val="000000"/>
                                  <w:sz w:val="22"/>
                                </w:rPr>
                                <w:t>r dans le tableau ci-dessous le montant manquant et qui complètera.</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 xml:space="preserve">Calcul de la somme forfaitaire pour </w:t>
                              </w:r>
                              <w:r>
                                <w:rPr>
                                  <w:rFonts w:ascii="Arial" w:eastAsia="Arial" w:hAnsi="Arial"/>
                                  <w:b/>
                                  <w:color w:val="008000"/>
                                  <w:sz w:val="24"/>
                                </w:rPr>
                                <w:t>Antipneumococcique (VPC13), 1 dose(s) par flacon, LIQUIDE</w:t>
                              </w:r>
                            </w:p>
                          </w:tc>
                        </w:tr>
                      </w:tbl>
                      <w:p w:rsidR="00000000" w:rsidRDefault="000D2E85"/>
                    </w:tc>
                  </w:tr>
                  <w:tr w:rsidR="00000000">
                    <w:tblPrEx>
                      <w:tblCellMar>
                        <w:top w:w="0" w:type="dxa"/>
                        <w:left w:w="0" w:type="dxa"/>
                        <w:bottom w:w="0" w:type="dxa"/>
                        <w:right w:w="0" w:type="dxa"/>
                      </w:tblCellMar>
                    </w:tblPrEx>
                    <w:trPr>
                      <w:trHeight w:val="16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5"/>
                          <w:gridCol w:w="3506"/>
                          <w:gridCol w:w="3000"/>
                          <w:gridCol w:w="1980"/>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Année d'introduction du nouveau vaccin</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Naissances (du tableau 5.2)</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Montant par naiss</w:t>
                              </w:r>
                              <w:r>
                                <w:rPr>
                                  <w:rFonts w:ascii="Arial" w:eastAsia="Arial" w:hAnsi="Arial"/>
                                  <w:b/>
                                  <w:color w:val="000000"/>
                                </w:rPr>
                                <w:t>ance en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 en $US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2013</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825 342</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0,80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sz w:val="18"/>
                                </w:rPr>
                                <w:t>660 274</w:t>
                              </w:r>
                            </w:p>
                          </w:tc>
                        </w:tr>
                      </w:tbl>
                      <w:p w:rsidR="00000000" w:rsidRDefault="000D2E85"/>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18"/>
                                </w:rPr>
                                <w:t>[1]</w:t>
                              </w:r>
                              <w:r>
                                <w:rPr>
                                  <w:rFonts w:ascii="Arial" w:eastAsia="Arial" w:hAnsi="Arial"/>
                                  <w:color w:val="000000"/>
                                  <w:sz w:val="18"/>
                                </w:rPr>
                                <w:t xml:space="preserve"> L'allocation sera basée sur un don maximum de $0,80 par nourrisson dans la cohorte de naissance, avec une allocation de départ minimale de 100 000 $US</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4"/>
                                </w:rPr>
                                <w:t xml:space="preserve">Coût (et financement) pour introduire le </w:t>
                              </w:r>
                              <w:r>
                                <w:rPr>
                                  <w:rFonts w:ascii="Arial" w:eastAsia="Arial" w:hAnsi="Arial"/>
                                  <w:b/>
                                  <w:color w:val="008000"/>
                                  <w:sz w:val="24"/>
                                </w:rPr>
                                <w:t>Antipneumococcique (VPC13), 1 dose(s) par flacon, LIQUIDE</w:t>
                              </w:r>
                              <w:r>
                                <w:rPr>
                                  <w:rFonts w:ascii="Arial" w:eastAsia="Arial" w:hAnsi="Arial"/>
                                  <w:b/>
                                  <w:color w:val="000000"/>
                                  <w:sz w:val="24"/>
                                </w:rPr>
                                <w:t xml:space="preserve"> en $US</w:t>
                              </w:r>
                            </w:p>
                          </w:tc>
                        </w:tr>
                      </w:tbl>
                      <w:p w:rsidR="00000000" w:rsidRDefault="000D2E85"/>
                    </w:tc>
                  </w:tr>
                  <w:tr w:rsidR="00000000">
                    <w:tblPrEx>
                      <w:tblCellMar>
                        <w:top w:w="0" w:type="dxa"/>
                        <w:left w:w="0" w:type="dxa"/>
                        <w:bottom w:w="0" w:type="dxa"/>
                        <w:right w:w="0" w:type="dxa"/>
                      </w:tblCellMar>
                    </w:tblPrEx>
                    <w:trPr>
                      <w:trHeight w:val="67"/>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5006"/>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500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0"/>
                                            <w:gridCol w:w="3960"/>
                                            <w:gridCol w:w="3961"/>
                                          </w:tblGrid>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Catégorie de coût</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Besoins totaux pour l'introduction du nouveau vaccin en $US</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 xml:space="preserve">Financé avec l'allocation d'introduction de GAVI en $US </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Formation</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238 855</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238 855</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Mobilisation sociale, é</w:t>
                                                </w:r>
                                                <w:r>
                                                  <w:rPr>
                                                    <w:rFonts w:ascii="Arial" w:eastAsia="Arial" w:hAnsi="Arial"/>
                                                    <w:b/>
                                                    <w:color w:val="000000"/>
                                                    <w:sz w:val="18"/>
                                                  </w:rPr>
                                                  <w:t>ducation, formation et communication, et plaidoyer</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108 001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108 001</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Équipement et entretien de la chaîne du froid</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1 497 914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Véhicule et transport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574 037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80 460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Gestion du programme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189 065</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108 369</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Surveillance et suivi</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143 766</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124 589</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Ressources hum</w:t>
                                                </w:r>
                                                <w:r>
                                                  <w:rPr>
                                                    <w:rFonts w:ascii="Arial" w:eastAsia="Arial" w:hAnsi="Arial"/>
                                                    <w:b/>
                                                    <w:color w:val="000000"/>
                                                    <w:sz w:val="18"/>
                                                  </w:rPr>
                                                  <w:t>aines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Gestion des déchets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460 246</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Assistance technique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Autre (veuillez préciser)</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Surveillance epidemiologique et MAPI</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121 190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Renforcement des activites de vaccination</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169 831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3 502 905</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b/>
                                                    <w:color w:val="000000"/>
                                                    <w:sz w:val="18"/>
                                                  </w:rPr>
                                                  <w:t>660 274</w:t>
                                                </w:r>
                                              </w:p>
                                            </w:tc>
                                          </w:tr>
                                        </w:tbl>
                                        <w:p w:rsidR="00000000" w:rsidRDefault="000D2E85"/>
                                      </w:tc>
                                    </w:tr>
                                    <w:tr w:rsidR="00000000">
                                      <w:tblPrEx>
                                        <w:tblCellMar>
                                          <w:top w:w="0" w:type="dxa"/>
                                          <w:left w:w="0" w:type="dxa"/>
                                          <w:bottom w:w="0" w:type="dxa"/>
                                          <w:right w:w="0" w:type="dxa"/>
                                        </w:tblCellMar>
                                      </w:tblPrEx>
                                      <w:trPr>
                                        <w:trHeight w:val="244"/>
                                      </w:trPr>
                                      <w:tc>
                                        <w:tcPr>
                                          <w:tcW w:w="10771" w:type="dxa"/>
                                        </w:tcPr>
                                        <w:p w:rsidR="00000000" w:rsidRDefault="000D2E85">
                                          <w:pPr>
                                            <w:pStyle w:val="EmptyLayoutCell"/>
                                          </w:pPr>
                                        </w:p>
                                      </w:tc>
                                    </w:tr>
                                  </w:tbl>
                                  <w:p w:rsidR="00000000" w:rsidRDefault="000D2E85"/>
                                </w:tc>
                              </w:tr>
                            </w:tbl>
                            <w:p w:rsidR="00000000" w:rsidRDefault="000D2E85"/>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Veuillez décrire les </w:t>
                              </w:r>
                              <w:r>
                                <w:rPr>
                                  <w:rFonts w:ascii="Arial" w:eastAsia="Arial" w:hAnsi="Arial"/>
                                  <w:color w:val="000000"/>
                                  <w:sz w:val="22"/>
                                </w:rPr>
                                <w:t>autres sources de financement, si disponibles, pour couvrir l'intégralité de vos besoins.</w:t>
                              </w:r>
                            </w:p>
                          </w:tc>
                        </w:tr>
                      </w:tbl>
                      <w:p w:rsidR="00000000" w:rsidRDefault="000D2E85"/>
                    </w:tc>
                  </w:tr>
                  <w:tr w:rsidR="00000000">
                    <w:tblPrEx>
                      <w:tblCellMar>
                        <w:top w:w="0" w:type="dxa"/>
                        <w:left w:w="0" w:type="dxa"/>
                        <w:bottom w:w="0" w:type="dxa"/>
                        <w:right w:w="0" w:type="dxa"/>
                      </w:tblCellMar>
                    </w:tblPrEx>
                    <w:trPr>
                      <w:trHeight w:val="5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Default="000D2E85">
                              <w:r>
                                <w:rPr>
                                  <w:rFonts w:ascii="Arial" w:eastAsia="Arial" w:hAnsi="Arial"/>
                                  <w:color w:val="000000"/>
                                  <w:sz w:val="22"/>
                                </w:rPr>
                                <w:t>Les autres sources de financement sont composes essensiellement de l'Etat, de l'UNICEF, de l'OMS, de l'AMP et de tout autre partenaire potentiel susceptible d'ap</w:t>
                              </w:r>
                              <w:r>
                                <w:rPr>
                                  <w:rFonts w:ascii="Arial" w:eastAsia="Arial" w:hAnsi="Arial"/>
                                  <w:color w:val="000000"/>
                                  <w:sz w:val="22"/>
                                </w:rPr>
                                <w:t>porter son appui.</w:t>
                              </w:r>
                            </w:p>
                          </w:tc>
                        </w:tr>
                      </w:tbl>
                      <w:p w:rsidR="00000000" w:rsidRDefault="000D2E85"/>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3" w:name="NVSPreventiveCampain"/>
                  <w:bookmarkEnd w:id="23"/>
                  <w:r>
                    <w:rPr>
                      <w:rFonts w:ascii="Arial" w:eastAsia="Arial" w:hAnsi="Arial"/>
                      <w:b/>
                      <w:color w:val="365F91"/>
                      <w:sz w:val="28"/>
                    </w:rPr>
                    <w:t>7. Campagne de prévention SNVs</w:t>
                  </w:r>
                </w:p>
              </w:tc>
            </w:tr>
          </w:tbl>
          <w:p w:rsidR="00000000" w:rsidRDefault="000D2E85"/>
        </w:tc>
      </w:tr>
      <w:tr w:rsidR="00000000">
        <w:tblPrEx>
          <w:tblCellMar>
            <w:top w:w="0" w:type="dxa"/>
            <w:left w:w="0" w:type="dxa"/>
            <w:bottom w:w="0" w:type="dxa"/>
            <w:right w:w="0" w:type="dxa"/>
          </w:tblCellMar>
        </w:tblPrEx>
        <w:trPr>
          <w:trHeight w:val="6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color w:val="000000"/>
                      <w:sz w:val="22"/>
                    </w:rPr>
                    <w:t>Pas de soutien aux campagnes de prévention cette année</w:t>
                  </w:r>
                </w:p>
              </w:tc>
            </w:tr>
          </w:tbl>
          <w:p w:rsidR="00000000" w:rsidRDefault="000D2E85"/>
        </w:tc>
      </w:tr>
      <w:tr w:rsidR="00000000">
        <w:tblPrEx>
          <w:tblCellMar>
            <w:top w:w="0" w:type="dxa"/>
            <w:left w:w="0" w:type="dxa"/>
            <w:bottom w:w="0" w:type="dxa"/>
            <w:right w:w="0" w:type="dxa"/>
          </w:tblCellMar>
        </w:tblPrEx>
        <w:trPr>
          <w:trHeight w:val="1093"/>
        </w:trPr>
        <w:tc>
          <w:tcPr>
            <w:tcW w:w="10771" w:type="dxa"/>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4" w:name="ProcurementandManagement"/>
                  <w:bookmarkEnd w:id="24"/>
                  <w:r>
                    <w:rPr>
                      <w:rFonts w:ascii="Arial" w:eastAsia="Arial" w:hAnsi="Arial"/>
                      <w:b/>
                      <w:color w:val="365F91"/>
                      <w:sz w:val="28"/>
                    </w:rPr>
                    <w:t>8. Approvisionnement et gestion</w:t>
                  </w:r>
                </w:p>
              </w:tc>
            </w:tr>
          </w:tbl>
          <w:p w:rsidR="00000000" w:rsidRDefault="000D2E85"/>
        </w:tc>
      </w:tr>
      <w:tr w:rsidR="00000000">
        <w:tblPrEx>
          <w:tblCellMar>
            <w:top w:w="0" w:type="dxa"/>
            <w:left w:w="0" w:type="dxa"/>
            <w:bottom w:w="0" w:type="dxa"/>
            <w:right w:w="0" w:type="dxa"/>
          </w:tblCellMar>
        </w:tblPrEx>
        <w:trPr>
          <w:trHeight w:val="6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5" w:name="ProcurementandManagement1"/>
                  <w:bookmarkEnd w:id="25"/>
                  <w:r>
                    <w:rPr>
                      <w:rFonts w:ascii="Arial" w:eastAsia="Arial" w:hAnsi="Arial"/>
                      <w:b/>
                      <w:color w:val="365F91"/>
                      <w:sz w:val="24"/>
                    </w:rPr>
                    <w:t xml:space="preserve">8.1. Approvisionnement et gestion de la vaccination systématique avec les vaccins nouveaux ou </w:t>
                  </w:r>
                  <w:r>
                    <w:rPr>
                      <w:rFonts w:ascii="Arial" w:eastAsia="Arial" w:hAnsi="Arial"/>
                      <w:b/>
                      <w:color w:val="365F91"/>
                      <w:sz w:val="24"/>
                    </w:rPr>
                    <w:t>sous-utilisés</w:t>
                  </w:r>
                </w:p>
              </w:tc>
            </w:tr>
          </w:tbl>
          <w:p w:rsidR="00000000" w:rsidRDefault="000D2E85"/>
        </w:tc>
      </w:tr>
      <w:tr w:rsidR="00000000">
        <w:tblPrEx>
          <w:tblCellMar>
            <w:top w:w="0" w:type="dxa"/>
            <w:left w:w="0" w:type="dxa"/>
            <w:bottom w:w="0" w:type="dxa"/>
            <w:right w:w="0" w:type="dxa"/>
          </w:tblCellMar>
        </w:tblPrEx>
        <w:trPr>
          <w:trHeight w:val="19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sz w:val="22"/>
                    </w:rPr>
                    <w:t>Note:</w:t>
                  </w:r>
                  <w:r>
                    <w:rPr>
                      <w:rFonts w:ascii="Arial" w:eastAsia="Arial" w:hAnsi="Arial"/>
                      <w:color w:val="000000"/>
                      <w:sz w:val="22"/>
                    </w:rPr>
                    <w:t xml:space="preserve"> Le vaccin PCV doit être fourni par l'UNICEF afin de pouvoir bénéficier du prix octroyé par les accords de la Garantie de marché (AMC).</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
              <w:gridCol w:w="1"/>
              <w:gridCol w:w="350"/>
              <w:gridCol w:w="327"/>
              <w:gridCol w:w="10091"/>
            </w:tblGrid>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a) Veuillez indiquer comment le soutien va fonctionner et sera géré, y compris pour l'appro</w:t>
                  </w:r>
                  <w:r>
                    <w:rPr>
                      <w:rFonts w:ascii="Arial" w:eastAsia="Arial" w:hAnsi="Arial"/>
                      <w:color w:val="000000"/>
                      <w:sz w:val="22"/>
                    </w:rPr>
                    <w:t>visionnement en vaccins (GAVI attend de la plupart des pays qu'ils se procurent le vaccin et les fournitures d'injection par le biais de l'UNICEF):</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r>
                    <w:rPr>
                      <w:rFonts w:ascii="Arial" w:eastAsia="Arial" w:hAnsi="Arial"/>
                      <w:color w:val="000000"/>
                      <w:sz w:val="22"/>
                    </w:rPr>
                    <w:t>Un atelier sur la prévision des vaccins et consommables de l'année suivante sera organise chaque année av</w:t>
                  </w:r>
                  <w:r>
                    <w:rPr>
                      <w:rFonts w:ascii="Arial" w:eastAsia="Arial" w:hAnsi="Arial"/>
                      <w:color w:val="000000"/>
                      <w:sz w:val="22"/>
                    </w:rPr>
                    <w:t>ec l'appui technique et financier des partenaires. Cette activité sera organisée avant la fin de l'année. Ces besoins seront transcrits dans le rapport annuel de situation de GAVI (RAS) et pris en compte dans le plan d'action annuel de l'année suivante.</w:t>
                  </w:r>
                </w:p>
                <w:p w:rsidR="00000000" w:rsidRDefault="000D2E85">
                  <w:r>
                    <w:rPr>
                      <w:rFonts w:ascii="Arial" w:eastAsia="Arial" w:hAnsi="Arial"/>
                      <w:color w:val="000000"/>
                      <w:sz w:val="22"/>
                    </w:rPr>
                    <w:t>Un</w:t>
                  </w:r>
                  <w:r>
                    <w:rPr>
                      <w:rFonts w:ascii="Arial" w:eastAsia="Arial" w:hAnsi="Arial"/>
                      <w:color w:val="000000"/>
                      <w:sz w:val="22"/>
                    </w:rPr>
                    <w:t xml:space="preserve"> memorandum d'accord a été signé en 2009 entre le Gouvernement de la Côte d'Ivoire et l'UNICEF pour un approvisionnement en vaccins et consommables via la central d'achat de Copenhague.</w:t>
                  </w:r>
                </w:p>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b) Si un autre mécanisme d'approvisionnement et d'administration du</w:t>
                  </w:r>
                  <w:r>
                    <w:rPr>
                      <w:rFonts w:ascii="Arial" w:eastAsia="Arial" w:hAnsi="Arial"/>
                      <w:color w:val="000000"/>
                      <w:sz w:val="22"/>
                    </w:rPr>
                    <w:t xml:space="preserve"> vaccin  (financé par le pays ou par GAVI Alliance) est demandé, veuillez fournir les justificatifs</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352" w:type="dxa"/>
                  <w:gridSpan w:val="3"/>
                  <w:tcMar>
                    <w:top w:w="40" w:type="dxa"/>
                    <w:left w:w="40" w:type="dxa"/>
                    <w:bottom w:w="40" w:type="dxa"/>
                    <w:right w:w="40" w:type="dxa"/>
                  </w:tcMar>
                </w:tcPr>
                <w:p w:rsidR="00000000" w:rsidRDefault="000D2E85"/>
              </w:tc>
              <w:tc>
                <w:tcPr>
                  <w:tcW w:w="327" w:type="dxa"/>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rsidR="00000000" w:rsidRDefault="000D2E85">
                  <w:r>
                    <w:rPr>
                      <w:rFonts w:ascii="Arial" w:eastAsia="Arial" w:hAnsi="Arial"/>
                      <w:color w:val="000000"/>
                      <w:sz w:val="22"/>
                    </w:rPr>
                    <w:t>Autres vaccins ou produits d'immunisation fournis par le pays et descriptions du mécanisme utilisé.</w:t>
                  </w:r>
                </w:p>
              </w:tc>
            </w:tr>
            <w:tr w:rsidR="00000000">
              <w:tblPrEx>
                <w:tblCellMar>
                  <w:top w:w="0" w:type="dxa"/>
                  <w:left w:w="0" w:type="dxa"/>
                  <w:bottom w:w="0" w:type="dxa"/>
                  <w:right w:w="0" w:type="dxa"/>
                </w:tblCellMar>
              </w:tblPrEx>
              <w:trPr>
                <w:trHeight w:val="260"/>
              </w:trPr>
              <w:tc>
                <w:tcPr>
                  <w:tcW w:w="352" w:type="dxa"/>
                  <w:gridSpan w:val="3"/>
                  <w:tcMar>
                    <w:top w:w="40" w:type="dxa"/>
                    <w:left w:w="40" w:type="dxa"/>
                    <w:bottom w:w="40" w:type="dxa"/>
                    <w:right w:w="40" w:type="dxa"/>
                  </w:tcMar>
                </w:tcPr>
                <w:p w:rsidR="00000000" w:rsidRDefault="000D2E85"/>
              </w:tc>
              <w:tc>
                <w:tcPr>
                  <w:tcW w:w="327" w:type="dxa"/>
                  <w:tcMar>
                    <w:top w:w="40" w:type="dxa"/>
                    <w:left w:w="40" w:type="dxa"/>
                    <w:bottom w:w="40" w:type="dxa"/>
                    <w:right w:w="40" w:type="dxa"/>
                  </w:tcMar>
                  <w:vAlign w:val="center"/>
                </w:tcPr>
                <w:p w:rsidR="00000000" w:rsidRDefault="000D2E85">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rsidR="00000000" w:rsidRDefault="000D2E85">
                  <w:r>
                    <w:rPr>
                      <w:rFonts w:ascii="Arial" w:eastAsia="Arial" w:hAnsi="Arial"/>
                      <w:color w:val="000000"/>
                      <w:sz w:val="22"/>
                    </w:rPr>
                    <w:t>Fonctions de l'autorité nationale de réglement</w:t>
                  </w:r>
                  <w:r>
                    <w:rPr>
                      <w:rFonts w:ascii="Arial" w:eastAsia="Arial" w:hAnsi="Arial"/>
                      <w:color w:val="000000"/>
                      <w:sz w:val="22"/>
                    </w:rPr>
                    <w:t xml:space="preserve">ation (telle qu'évaluées par l'OMS) afin de montrer qu'elles respectent les exigences de l'OMS en matière d'achat des vaccins et des fournitures de qualité. </w:t>
                  </w:r>
                </w:p>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c) Veuillez décrire l'introduction des vaccins (se référer au PPAC)</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pPr>
                    <w:spacing w:before="200" w:after="200"/>
                  </w:pPr>
                  <w:r>
                    <w:rPr>
                      <w:rFonts w:ascii="'times new roman','serif'" w:eastAsia="'times new roman','serif'" w:hAnsi="'times new roman','serif'"/>
                      <w:b/>
                      <w:color w:val="000000"/>
                      <w:sz w:val="24"/>
                    </w:rPr>
                    <w:t>1.Approvisionnement en</w:t>
                  </w:r>
                  <w:r>
                    <w:rPr>
                      <w:rFonts w:ascii="'times new roman','serif'" w:eastAsia="'times new roman','serif'" w:hAnsi="'times new roman','serif'"/>
                      <w:b/>
                      <w:color w:val="000000"/>
                      <w:sz w:val="24"/>
                    </w:rPr>
                    <w:t xml:space="preserve"> vaccins</w:t>
                  </w:r>
                </w:p>
                <w:p w:rsidR="00000000" w:rsidRDefault="000D2E85">
                  <w:pPr>
                    <w:spacing w:after="200"/>
                  </w:pPr>
                  <w:r>
                    <w:rPr>
                      <w:rFonts w:ascii="'times new roman','serif'" w:eastAsia="'times new roman','serif'" w:hAnsi="'times new roman','serif'"/>
                      <w:color w:val="000000"/>
                      <w:sz w:val="24"/>
                    </w:rPr>
                    <w:t>L’approvisionnement de ces vaccins se fera à travers le circuit normal de l’UNICEF et les livraisons se feront deux fois par an. L’INHP se chargera de la réception des vaccins, de leur stockage et de leur distribution aux antennes régionales</w:t>
                  </w:r>
                </w:p>
                <w:p w:rsidR="00000000" w:rsidRDefault="000D2E85">
                  <w:pPr>
                    <w:spacing w:after="200"/>
                  </w:pPr>
                  <w:r>
                    <w:rPr>
                      <w:rFonts w:ascii="Arial" w:eastAsia="Arial" w:hAnsi="Arial"/>
                      <w:b/>
                      <w:color w:val="000000"/>
                      <w:sz w:val="22"/>
                    </w:rPr>
                    <w:t>2.Ren</w:t>
                  </w:r>
                  <w:r>
                    <w:rPr>
                      <w:rFonts w:ascii="Arial" w:eastAsia="Arial" w:hAnsi="Arial"/>
                      <w:b/>
                      <w:color w:val="000000"/>
                      <w:sz w:val="22"/>
                    </w:rPr>
                    <w:t>forcement des capacités du personnel</w:t>
                  </w:r>
                </w:p>
                <w:p w:rsidR="00000000" w:rsidRDefault="000D2E85">
                  <w:pPr>
                    <w:spacing w:after="200"/>
                  </w:pPr>
                  <w:r>
                    <w:rPr>
                      <w:rFonts w:ascii="'times new roman','serif'" w:eastAsia="'times new roman','serif'" w:hAnsi="'times new roman','serif'"/>
                      <w:color w:val="000000"/>
                      <w:sz w:val="24"/>
                    </w:rPr>
                    <w:t>Les guides et modules de formation seront adaptés. Les directives et fiches techniques sur les spécificités des vaccins à utiliser seront mises à la disposition du personnel. Les échantillons de ces vaccins et autres ma</w:t>
                  </w:r>
                  <w:r>
                    <w:rPr>
                      <w:rFonts w:ascii="'times new roman','serif'" w:eastAsia="'times new roman','serif'" w:hAnsi="'times new roman','serif'"/>
                      <w:color w:val="000000"/>
                      <w:sz w:val="24"/>
                    </w:rPr>
                    <w:t>tériels de démonstration seront présentés aux participants lors de la formation. Dans le cadre de cette formation un accent particulier sera mis sur les districts à faible performance. La formation prendra en compte les aspects de communication, de gestion</w:t>
                  </w:r>
                  <w:r>
                    <w:rPr>
                      <w:rFonts w:ascii="'times new roman','serif'" w:eastAsia="'times new roman','serif'" w:hAnsi="'times new roman','serif'"/>
                      <w:color w:val="000000"/>
                      <w:sz w:val="24"/>
                    </w:rPr>
                    <w:t xml:space="preserve"> des vaccins, suivi évaluation, de surveillance et de planification</w:t>
                  </w:r>
                </w:p>
                <w:p w:rsidR="00000000" w:rsidRDefault="000D2E85">
                  <w:pPr>
                    <w:spacing w:after="200"/>
                  </w:pPr>
                  <w:r>
                    <w:rPr>
                      <w:rFonts w:ascii="'times new roman','serif'" w:eastAsia="'times new roman','serif'" w:hAnsi="'times new roman','serif'"/>
                      <w:b/>
                      <w:color w:val="000000"/>
                      <w:sz w:val="24"/>
                    </w:rPr>
                    <w:t>3.Amélioration de l'accessibilité aux services de vaccination</w:t>
                  </w:r>
                </w:p>
                <w:p w:rsidR="00000000" w:rsidRDefault="000D2E85">
                  <w:pPr>
                    <w:spacing w:after="200"/>
                  </w:pPr>
                  <w:r>
                    <w:rPr>
                      <w:rFonts w:ascii="'times new roman','serif'" w:eastAsia="'times new roman','serif'" w:hAnsi="'times new roman','serif'"/>
                      <w:color w:val="000000"/>
                      <w:sz w:val="24"/>
                    </w:rPr>
                    <w:t>L'accès aux services de vaccination sera amélioré par la fourniture d’équipements additionnels de chaîne du froid à toutes les</w:t>
                  </w:r>
                  <w:r>
                    <w:rPr>
                      <w:rFonts w:ascii="'times new roman','serif'" w:eastAsia="'times new roman','serif'" w:hAnsi="'times new roman','serif'"/>
                      <w:color w:val="000000"/>
                      <w:sz w:val="24"/>
                    </w:rPr>
                    <w:t xml:space="preserve"> structures de soins. La stratégie ACD à travers ses cinq composantes sera renforcée dans tous les districts sanitaires.</w:t>
                  </w:r>
                </w:p>
                <w:p w:rsidR="00000000" w:rsidRDefault="000D2E85">
                  <w:pPr>
                    <w:spacing w:after="200"/>
                  </w:pPr>
                  <w:r>
                    <w:rPr>
                      <w:rFonts w:ascii="'times new roman','serif'" w:eastAsia="'times new roman','serif'" w:hAnsi="'times new roman','serif'"/>
                      <w:b/>
                      <w:color w:val="000000"/>
                      <w:sz w:val="24"/>
                    </w:rPr>
                    <w:t>4.Renforcement du plaidoyer et de la communication en faveur de la vaccination</w:t>
                  </w:r>
                </w:p>
                <w:p w:rsidR="00000000" w:rsidRDefault="000D2E85">
                  <w:pPr>
                    <w:spacing w:after="200"/>
                  </w:pPr>
                  <w:r>
                    <w:rPr>
                      <w:rFonts w:ascii="'times new roman','serif'" w:eastAsia="'times new roman','serif'" w:hAnsi="'times new roman','serif'"/>
                      <w:color w:val="000000"/>
                      <w:sz w:val="24"/>
                    </w:rPr>
                    <w:t>Les stratégies mises en place lors de l’introduction des</w:t>
                  </w:r>
                  <w:r>
                    <w:rPr>
                      <w:rFonts w:ascii="'times new roman','serif'" w:eastAsia="'times new roman','serif'" w:hAnsi="'times new roman','serif'"/>
                      <w:color w:val="000000"/>
                      <w:sz w:val="24"/>
                    </w:rPr>
                    <w:t xml:space="preserve"> vaccins précédents, seront renforcées et mises en œuvre. Il s’agira d’informer et de sensibiliser les agents de santé et les communautés. Des plaidoyers seront faits à l’endroit des décideurs afin de rendre disponible toutes les ressources nécessaires de </w:t>
                  </w:r>
                  <w:r>
                    <w:rPr>
                      <w:rFonts w:ascii="'times new roman','serif'" w:eastAsia="'times new roman','serif'" w:hAnsi="'times new roman','serif'"/>
                      <w:color w:val="000000"/>
                      <w:sz w:val="24"/>
                    </w:rPr>
                    <w:t>la mise en œuvre. La mobilisation sociale qui est une stratégie capitale dans l’utilisation des services sera renforcée afin d’obtenir l’implication de la communauté. L’information juste doit être véhiculée, surtout au niveau des décideurs politiques, le p</w:t>
                  </w:r>
                  <w:r>
                    <w:rPr>
                      <w:rFonts w:ascii="'times new roman','serif'" w:eastAsia="'times new roman','serif'" w:hAnsi="'times new roman','serif'"/>
                      <w:color w:val="000000"/>
                      <w:sz w:val="24"/>
                    </w:rPr>
                    <w:t xml:space="preserve">ersonnel du PEV à tous les niveaux, le personnel médical des institutions d’enseignement, le personnel des hôpitaux et même les médias nationaux auront besoin d’être bien informés au sujet du vaccin contre le pneumocoque. </w:t>
                  </w:r>
                </w:p>
                <w:p w:rsidR="00000000" w:rsidRDefault="000D2E85">
                  <w:pPr>
                    <w:spacing w:after="200"/>
                  </w:pPr>
                  <w:r>
                    <w:rPr>
                      <w:rFonts w:ascii="'times new roman','serif'" w:eastAsia="'times new roman','serif'" w:hAnsi="'times new roman','serif'"/>
                      <w:b/>
                      <w:color w:val="000000"/>
                      <w:sz w:val="24"/>
                    </w:rPr>
                    <w:t>5.Renforcement du Suivi et l'éval</w:t>
                  </w:r>
                  <w:r>
                    <w:rPr>
                      <w:rFonts w:ascii="'times new roman','serif'" w:eastAsia="'times new roman','serif'" w:hAnsi="'times new roman','serif'"/>
                      <w:b/>
                      <w:color w:val="000000"/>
                      <w:sz w:val="24"/>
                    </w:rPr>
                    <w:t>uation</w:t>
                  </w:r>
                </w:p>
                <w:p w:rsidR="00000000" w:rsidRDefault="000D2E85">
                  <w:pPr>
                    <w:spacing w:after="200"/>
                  </w:pPr>
                  <w:r>
                    <w:rPr>
                      <w:rFonts w:ascii="'times new roman','serif'" w:eastAsia="'times new roman','serif'" w:hAnsi="'times new roman','serif'"/>
                      <w:color w:val="000000"/>
                      <w:sz w:val="24"/>
                    </w:rPr>
                    <w:t>Les supervisions formatives seront renforcées, surtout pendant la période post-introduction, afin de s’assurer que les directives relatives à l’introduction de ce nouveau vaccin sont appliquées.</w:t>
                  </w:r>
                </w:p>
                <w:p w:rsidR="00000000" w:rsidRDefault="000D2E85">
                  <w:pPr>
                    <w:spacing w:after="200"/>
                  </w:pPr>
                  <w:r>
                    <w:rPr>
                      <w:rFonts w:ascii="'times new roman','serif'" w:eastAsia="'times new roman','serif'" w:hAnsi="'times new roman','serif'"/>
                      <w:color w:val="000000"/>
                      <w:sz w:val="24"/>
                    </w:rPr>
                    <w:t>Une évaluation post-introduction sera conduite environ</w:t>
                  </w:r>
                  <w:r>
                    <w:rPr>
                      <w:rFonts w:ascii="'times new roman','serif'" w:eastAsia="'times new roman','serif'" w:hAnsi="'times new roman','serif'"/>
                      <w:color w:val="000000"/>
                      <w:sz w:val="24"/>
                    </w:rPr>
                    <w:t xml:space="preserve"> neuf mois après l’introduction du vaccin, afin de ressortir les points à améliorer. Cette évaluation servira à ajuster les stratégies et activités en rapport avec le nouveau vaccin.</w:t>
                  </w:r>
                </w:p>
                <w:p w:rsidR="00000000" w:rsidRDefault="000D2E85">
                  <w:pPr>
                    <w:spacing w:after="200"/>
                  </w:pPr>
                  <w:r>
                    <w:rPr>
                      <w:rFonts w:ascii="'times new roman','serif'" w:eastAsia="'times new roman','serif'" w:hAnsi="'times new roman','serif'"/>
                      <w:color w:val="000000"/>
                      <w:sz w:val="24"/>
                    </w:rPr>
                    <w:t>L’estimation de la couverture vaccinale utilisant les données administrat</w:t>
                  </w:r>
                  <w:r>
                    <w:rPr>
                      <w:rFonts w:ascii="'times new roman','serif'" w:eastAsia="'times new roman','serif'" w:hAnsi="'times new roman','serif'"/>
                      <w:color w:val="000000"/>
                      <w:sz w:val="24"/>
                    </w:rPr>
                    <w:t xml:space="preserve">ives, se fera de manière périodique et régulière. </w:t>
                  </w:r>
                </w:p>
                <w:p w:rsidR="00000000" w:rsidRDefault="000D2E85">
                  <w:pPr>
                    <w:spacing w:after="200"/>
                  </w:pPr>
                  <w:r>
                    <w:rPr>
                      <w:rFonts w:ascii="'times new roman','serif'" w:eastAsia="'times new roman','serif'" w:hAnsi="'times new roman','serif'"/>
                      <w:color w:val="000000"/>
                      <w:sz w:val="24"/>
                    </w:rPr>
                    <w:t>Des enquêtes de couverture vaccinale dans la population générale après tirage au sort d’un échantillon représentatif se feront tous les trois ans afin d’estimer les performances du programme.</w:t>
                  </w:r>
                </w:p>
                <w:p w:rsidR="00000000" w:rsidRDefault="000D2E85">
                  <w:pPr>
                    <w:spacing w:after="200"/>
                  </w:pPr>
                  <w:r>
                    <w:rPr>
                      <w:rFonts w:ascii="'times new roman','serif'" w:eastAsia="'times new roman','serif'" w:hAnsi="'times new roman','serif'"/>
                      <w:color w:val="000000"/>
                      <w:sz w:val="24"/>
                    </w:rPr>
                    <w:t>Le monitorage</w:t>
                  </w:r>
                  <w:r>
                    <w:rPr>
                      <w:rFonts w:ascii="'times new roman','serif'" w:eastAsia="'times new roman','serif'" w:hAnsi="'times new roman','serif'"/>
                      <w:color w:val="000000"/>
                      <w:sz w:val="24"/>
                    </w:rPr>
                    <w:t xml:space="preserve"> des engagements financiers, que ce soit de la part du Gouvernement de Côte d’Ivoire ou des différents partenaires du programme, se fera de manière régulière.</w:t>
                  </w:r>
                </w:p>
                <w:p w:rsidR="00000000" w:rsidRDefault="000D2E85">
                  <w:pPr>
                    <w:spacing w:after="200"/>
                  </w:pPr>
                  <w:r>
                    <w:rPr>
                      <w:rFonts w:ascii="'times new roman','serif'" w:eastAsia="'times new roman','serif'" w:hAnsi="'times new roman','serif'"/>
                      <w:color w:val="000000"/>
                      <w:sz w:val="24"/>
                    </w:rPr>
                    <w:t>Il convient de noter que le monitorage des engagements financiers, que ce soit de la part du Gouv</w:t>
                  </w:r>
                  <w:r>
                    <w:rPr>
                      <w:rFonts w:ascii="'times new roman','serif'" w:eastAsia="'times new roman','serif'" w:hAnsi="'times new roman','serif'"/>
                      <w:color w:val="000000"/>
                      <w:sz w:val="24"/>
                    </w:rPr>
                    <w:t>ernement de Côte d’Ivoire ou de différents partenaires du programme, se fera de manière régulière.</w:t>
                  </w:r>
                </w:p>
                <w:p w:rsidR="00000000" w:rsidRDefault="000D2E85">
                  <w:pPr>
                    <w:spacing w:after="200"/>
                  </w:pPr>
                  <w:r>
                    <w:rPr>
                      <w:rFonts w:ascii="'times new roman','serif'" w:eastAsia="'times new roman','serif'" w:hAnsi="'times new roman','serif'"/>
                      <w:b/>
                      <w:color w:val="000000"/>
                      <w:sz w:val="24"/>
                    </w:rPr>
                    <w:t>6.Révision des outils de gestion</w:t>
                  </w:r>
                </w:p>
                <w:p w:rsidR="00000000" w:rsidRDefault="000D2E85">
                  <w:pPr>
                    <w:spacing w:after="200"/>
                  </w:pPr>
                  <w:r>
                    <w:rPr>
                      <w:rFonts w:ascii="'times new roman','serif'" w:eastAsia="'times new roman','serif'" w:hAnsi="'times new roman','serif'"/>
                      <w:color w:val="000000"/>
                      <w:sz w:val="24"/>
                    </w:rPr>
                    <w:t xml:space="preserve">Tous les outils de gestion utilisés dans le PEV , à savoir les fiches de supervision, les cartes de vaccination, les fiches </w:t>
                  </w:r>
                  <w:r>
                    <w:rPr>
                      <w:rFonts w:ascii="'times new roman','serif'" w:eastAsia="'times new roman','serif'" w:hAnsi="'times new roman','serif'"/>
                      <w:color w:val="000000"/>
                      <w:sz w:val="24"/>
                    </w:rPr>
                    <w:t>de monitorage des pertes des vaccins, les fiches de suivi des perdus de vue, les fiches de stock de vaccin, les feuilles et tableau de température seront révisés. Les fiches de pointage, les registres de vaccination, le logiciel de traitement des données d</w:t>
                  </w:r>
                  <w:r>
                    <w:rPr>
                      <w:rFonts w:ascii="'times new roman','serif'" w:eastAsia="'times new roman','serif'" w:hAnsi="'times new roman','serif'"/>
                      <w:color w:val="000000"/>
                      <w:sz w:val="24"/>
                    </w:rPr>
                    <w:t>e la vaccination, les fiches de rapport mensuel, les fiches de collecte d’information et les directives sur les MAPI seront également revues et rendues disponibles à tous les niveaux.</w:t>
                  </w:r>
                </w:p>
                <w:p w:rsidR="00000000" w:rsidRDefault="000D2E85">
                  <w:pPr>
                    <w:spacing w:after="200"/>
                  </w:pPr>
                  <w:r>
                    <w:rPr>
                      <w:rFonts w:ascii="'times new roman','serif'" w:eastAsia="'times new roman','serif'" w:hAnsi="'times new roman','serif'"/>
                      <w:color w:val="000000"/>
                      <w:sz w:val="24"/>
                    </w:rPr>
                    <w:t xml:space="preserve">De nouveaux supports de communication pour les parents et la communauté </w:t>
                  </w:r>
                  <w:r>
                    <w:rPr>
                      <w:rFonts w:ascii="'times new roman','serif'" w:eastAsia="'times new roman','serif'" w:hAnsi="'times new roman','serif'"/>
                      <w:color w:val="000000"/>
                      <w:sz w:val="24"/>
                    </w:rPr>
                    <w:t xml:space="preserve">ainsi que le matériel de formation pour les agents de santé seront développés et diffusés à tous les niveaux. </w:t>
                  </w:r>
                </w:p>
                <w:p w:rsidR="00000000" w:rsidRDefault="000D2E85">
                  <w:pPr>
                    <w:spacing w:after="200"/>
                  </w:pPr>
                  <w:r>
                    <w:rPr>
                      <w:rFonts w:ascii="'times new roman','serif'" w:eastAsia="'times new roman','serif'" w:hAnsi="'times new roman','serif'"/>
                      <w:b/>
                      <w:color w:val="000000"/>
                      <w:sz w:val="24"/>
                    </w:rPr>
                    <w:t>7.Rôle du Comité de Cordination Inter Agence (CCIA)</w:t>
                  </w:r>
                </w:p>
                <w:p w:rsidR="00000000" w:rsidRDefault="000D2E85">
                  <w:pPr>
                    <w:spacing w:after="200"/>
                  </w:pPr>
                  <w:r>
                    <w:rPr>
                      <w:rFonts w:ascii="'times new roman','serif'" w:eastAsia="'times new roman','serif'" w:hAnsi="'times new roman','serif'"/>
                      <w:color w:val="000000"/>
                      <w:sz w:val="24"/>
                    </w:rPr>
                    <w:t>Le CCIA a pour mission d’approuver le plan d’action annuel de l’année en cours proposé par la</w:t>
                  </w:r>
                  <w:r>
                    <w:rPr>
                      <w:rFonts w:ascii="'times new roman','serif'" w:eastAsia="'times new roman','serif'" w:hAnsi="'times new roman','serif'"/>
                      <w:color w:val="000000"/>
                      <w:sz w:val="24"/>
                    </w:rPr>
                    <w:t xml:space="preserve"> DCPEV et l’INHP, de faire le suivi de la mise en œuvre des activités de vaccination programmées, d’émettre un avis sur le fonctionnement de la DCPEV</w:t>
                  </w:r>
                </w:p>
                <w:p w:rsidR="00000000" w:rsidRDefault="000D2E85">
                  <w:pPr>
                    <w:spacing w:after="200"/>
                  </w:pPr>
                  <w:r>
                    <w:rPr>
                      <w:rFonts w:ascii="'times new roman','serif'" w:eastAsia="'times new roman','serif'" w:hAnsi="'times new roman','serif'"/>
                      <w:color w:val="000000"/>
                      <w:sz w:val="24"/>
                    </w:rPr>
                    <w:t>Le CCIA a autorisé la DCPEV à soumettre la demande pour l’introduction du vaccin contre le pneumocoque. Il</w:t>
                  </w:r>
                  <w:r>
                    <w:rPr>
                      <w:rFonts w:ascii="'times new roman','serif'" w:eastAsia="'times new roman','serif'" w:hAnsi="'times new roman','serif'"/>
                      <w:color w:val="000000"/>
                      <w:sz w:val="24"/>
                    </w:rPr>
                    <w:t xml:space="preserve"> accompagnera le PEV dans tout le processus d’introduction.</w:t>
                  </w:r>
                </w:p>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d) Veuillez indiquer comment les fonds doivent être transférés par GAVI Alliance (s'il y a lieu)</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r>
                    <w:rPr>
                      <w:rFonts w:ascii="Arial" w:eastAsia="Arial" w:hAnsi="Arial"/>
                      <w:color w:val="000000"/>
                      <w:sz w:val="22"/>
                    </w:rPr>
                    <w:t>Les fonds doivent être  virés sur le compte du trésor public (régie GAVI-SSV) comme cela a ét</w:t>
                  </w:r>
                  <w:r>
                    <w:rPr>
                      <w:rFonts w:ascii="Arial" w:eastAsia="Arial" w:hAnsi="Arial"/>
                      <w:color w:val="000000"/>
                      <w:sz w:val="22"/>
                    </w:rPr>
                    <w:t>é fait pour le vaccin pentavalent.</w:t>
                  </w:r>
                </w:p>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e) Veuillez indiquer comment les montants co-financés seront payés (et qui en est responsable)</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r>
                    <w:rPr>
                      <w:rFonts w:ascii="Arial" w:eastAsia="Arial" w:hAnsi="Arial"/>
                      <w:color w:val="000000"/>
                      <w:sz w:val="22"/>
                    </w:rPr>
                    <w:t>Les montants co-financés seront payés par le trésor à travers l'agence comptable de la dette publique.</w:t>
                  </w:r>
                </w:p>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tcPr>
                <w:p w:rsidR="00000000" w:rsidRDefault="000D2E85">
                  <w:r>
                    <w:rPr>
                      <w:rFonts w:ascii="Arial" w:eastAsia="Arial" w:hAnsi="Arial"/>
                      <w:color w:val="000000"/>
                      <w:sz w:val="22"/>
                    </w:rPr>
                    <w:t>f) Veuillez dé</w:t>
                  </w:r>
                  <w:r>
                    <w:rPr>
                      <w:rFonts w:ascii="Arial" w:eastAsia="Arial" w:hAnsi="Arial"/>
                      <w:color w:val="000000"/>
                      <w:sz w:val="22"/>
                    </w:rPr>
                    <w:t>crire comment la couverture du nouveau vaccin sera surveillée et déclarée (se référer au PPAC)</w:t>
                  </w:r>
                </w:p>
              </w:tc>
              <w:tc>
                <w:tcPr>
                  <w:hMerge/>
                  <w:tcMar>
                    <w:top w:w="40" w:type="dxa"/>
                    <w:left w:w="40" w:type="dxa"/>
                    <w:bottom w:w="40" w:type="dxa"/>
                    <w:right w:w="40" w:type="dxa"/>
                  </w:tcMar>
                </w:tcPr>
                <w:p w:rsidR="00000000" w:rsidRDefault="000D2E85"/>
              </w:tc>
              <w:tc>
                <w:tcPr>
                  <w:gridSpan w:val="3"/>
                  <w:hMerge/>
                  <w:tcMar>
                    <w:top w:w="40" w:type="dxa"/>
                    <w:left w:w="40" w:type="dxa"/>
                    <w:bottom w:w="40" w:type="dxa"/>
                    <w:right w:w="40" w:type="dxa"/>
                  </w:tcMar>
                </w:tcPr>
                <w:p w:rsidR="00000000" w:rsidRDefault="000D2E85"/>
              </w:tc>
            </w:tr>
            <w:tr w:rsidR="00000000">
              <w:tblPrEx>
                <w:tblCellMar>
                  <w:top w:w="0" w:type="dxa"/>
                  <w:left w:w="0" w:type="dxa"/>
                  <w:bottom w:w="0" w:type="dxa"/>
                  <w:right w:w="0" w:type="dxa"/>
                </w:tblCellMar>
              </w:tblPrEx>
              <w:trPr>
                <w:trHeight w:val="260"/>
              </w:trPr>
              <w:tc>
                <w:tcPr>
                  <w:tcW w:w="10770" w:type="dxa"/>
                  <w:hMerge w:val="restart"/>
                  <w:shd w:val="clear" w:color="auto" w:fill="BDDCFF"/>
                  <w:tcMar>
                    <w:top w:w="40" w:type="dxa"/>
                    <w:left w:w="40" w:type="dxa"/>
                    <w:bottom w:w="40" w:type="dxa"/>
                    <w:right w:w="40" w:type="dxa"/>
                  </w:tcMar>
                </w:tcPr>
                <w:p w:rsidR="00000000" w:rsidRDefault="000D2E85">
                  <w:pPr>
                    <w:spacing w:before="200" w:after="200"/>
                  </w:pPr>
                  <w:r>
                    <w:rPr>
                      <w:color w:val="000000"/>
                      <w:sz w:val="22"/>
                    </w:rPr>
                    <w:t xml:space="preserve">Le plan d’action de la surveillance de l’année 2012, prévoit d’intégrer à tous les sites de collecte des diarrhées à rotavirus la surveillance des méningites </w:t>
                  </w:r>
                  <w:r>
                    <w:rPr>
                      <w:color w:val="000000"/>
                      <w:sz w:val="22"/>
                    </w:rPr>
                    <w:t xml:space="preserve">bactériennes pédiatriques (les 3 CHU d’Abidjan, l’hôpital général d’Abobo, l’hôpital général de Yopougon Attié et celui de Port-Bouet). </w:t>
                  </w:r>
                </w:p>
                <w:p w:rsidR="00000000" w:rsidRDefault="000D2E85">
                  <w:pPr>
                    <w:spacing w:after="200"/>
                  </w:pPr>
                  <w:r>
                    <w:rPr>
                      <w:color w:val="000000"/>
                      <w:sz w:val="22"/>
                    </w:rPr>
                    <w:t>Il est prévu de renforcer les capacités techniques du laboratoire du CHU de Yopougon.</w:t>
                  </w:r>
                  <w:r>
                    <w:rPr>
                      <w:color w:val="000000"/>
                      <w:sz w:val="22"/>
                    </w:rPr>
                    <w:t xml:space="preserve">  </w:t>
                  </w:r>
                  <w:r>
                    <w:rPr>
                      <w:color w:val="000000"/>
                      <w:sz w:val="22"/>
                    </w:rPr>
                    <w:t>L’Institut Pasteur de Côte d’Ivo</w:t>
                  </w:r>
                  <w:r>
                    <w:rPr>
                      <w:color w:val="000000"/>
                      <w:sz w:val="22"/>
                    </w:rPr>
                    <w:t xml:space="preserve">ire apportera son expertise dans l’analyse des prélèvements. </w:t>
                  </w:r>
                </w:p>
                <w:p w:rsidR="00000000" w:rsidRDefault="000D2E85">
                  <w:pPr>
                    <w:spacing w:after="200"/>
                  </w:pPr>
                  <w:r>
                    <w:rPr>
                      <w:color w:val="000000"/>
                      <w:sz w:val="22"/>
                    </w:rPr>
                    <w:t>Après l'introduction du vaccin antipneumococcique et du vaccin antirotavirus dans le PEV de routine, la surveillance des méningites bactériennes pédiatriques et des diarrhées à rotavirus, sera r</w:t>
                  </w:r>
                  <w:r>
                    <w:rPr>
                      <w:color w:val="000000"/>
                      <w:sz w:val="22"/>
                    </w:rPr>
                    <w:t>enforcée dans le cadre de la surveillance intégrée de la maladie et de la riposte (SIMR).</w:t>
                  </w:r>
                </w:p>
                <w:p w:rsidR="00000000" w:rsidRDefault="000D2E85">
                  <w:pPr>
                    <w:spacing w:after="200"/>
                  </w:pPr>
                  <w:r>
                    <w:rPr>
                      <w:color w:val="000000"/>
                      <w:sz w:val="22"/>
                    </w:rPr>
                    <w:t>Au niveau de la collecte des données et des échantillons, l’équipe IST Ouagadougou continuera d’assurer l’approvisionnement en matériel de prélèvements (tubes de prél</w:t>
                  </w:r>
                  <w:r>
                    <w:rPr>
                      <w:color w:val="000000"/>
                      <w:sz w:val="22"/>
                    </w:rPr>
                    <w:t>èvements,</w:t>
                  </w:r>
                  <w:r>
                    <w:rPr>
                      <w:color w:val="000000"/>
                      <w:sz w:val="22"/>
                    </w:rPr>
                    <w:t xml:space="preserve">  </w:t>
                  </w:r>
                  <w:r>
                    <w:rPr>
                      <w:color w:val="000000"/>
                      <w:sz w:val="22"/>
                    </w:rPr>
                    <w:t>milieux de transport des LCR Trans Isolate (TI))</w:t>
                  </w:r>
                  <w:r>
                    <w:rPr>
                      <w:color w:val="000000"/>
                      <w:sz w:val="22"/>
                    </w:rPr>
                    <w:t xml:space="preserve">  </w:t>
                  </w:r>
                  <w:r>
                    <w:rPr>
                      <w:color w:val="000000"/>
                      <w:sz w:val="22"/>
                    </w:rPr>
                    <w:t>pour faciliter le transport des échantillons des sites vers le laboratoire national dans les conditions requises.</w:t>
                  </w:r>
                </w:p>
                <w:p w:rsidR="00000000" w:rsidRDefault="000D2E85">
                  <w:pPr>
                    <w:spacing w:after="200"/>
                  </w:pPr>
                  <w:r>
                    <w:rPr>
                      <w:color w:val="000000"/>
                      <w:sz w:val="22"/>
                    </w:rPr>
                    <w:t>Des mesures seront prises</w:t>
                  </w:r>
                  <w:r>
                    <w:rPr>
                      <w:color w:val="000000"/>
                      <w:sz w:val="22"/>
                    </w:rPr>
                    <w:t xml:space="preserve">  </w:t>
                  </w:r>
                  <w:r>
                    <w:rPr>
                      <w:color w:val="000000"/>
                      <w:sz w:val="22"/>
                    </w:rPr>
                    <w:t>pour les</w:t>
                  </w:r>
                  <w:r>
                    <w:rPr>
                      <w:color w:val="000000"/>
                      <w:sz w:val="22"/>
                    </w:rPr>
                    <w:t xml:space="preserve">  </w:t>
                  </w:r>
                  <w:r>
                    <w:rPr>
                      <w:color w:val="000000"/>
                      <w:sz w:val="22"/>
                    </w:rPr>
                    <w:t>districts sanitaires afin d’assurer le trans</w:t>
                  </w:r>
                  <w:r>
                    <w:rPr>
                      <w:color w:val="000000"/>
                      <w:sz w:val="22"/>
                    </w:rPr>
                    <w:t>port des échantillons</w:t>
                  </w:r>
                  <w:r>
                    <w:rPr>
                      <w:color w:val="000000"/>
                      <w:sz w:val="22"/>
                    </w:rPr>
                    <w:t xml:space="preserve">  </w:t>
                  </w:r>
                  <w:r>
                    <w:rPr>
                      <w:color w:val="000000"/>
                      <w:sz w:val="22"/>
                    </w:rPr>
                    <w:t>vers le laboratoire national de référence.</w:t>
                  </w:r>
                  <w:r>
                    <w:rPr>
                      <w:color w:val="000000"/>
                      <w:sz w:val="22"/>
                    </w:rPr>
                    <w:t xml:space="preserve">  </w:t>
                  </w:r>
                  <w:r>
                    <w:rPr>
                      <w:color w:val="000000"/>
                      <w:sz w:val="22"/>
                    </w:rPr>
                    <w:t xml:space="preserve">Des outils de collecte des données seront mis à la disposition de tous les sites de collecte. </w:t>
                  </w:r>
                </w:p>
                <w:p w:rsidR="00000000" w:rsidRDefault="000D2E85">
                  <w:pPr>
                    <w:spacing w:after="200"/>
                  </w:pPr>
                  <w:r>
                    <w:rPr>
                      <w:color w:val="000000"/>
                      <w:sz w:val="22"/>
                    </w:rPr>
                    <w:t>Sur le plan de la gestion des données, le niveau central poursuivra la saisie des données de m</w:t>
                  </w:r>
                  <w:r>
                    <w:rPr>
                      <w:color w:val="000000"/>
                      <w:sz w:val="22"/>
                    </w:rPr>
                    <w:t>éningite bactériennes pédiatrique et de diarrhées à rotavirus suivant les fiches de notification« cas par cas ».</w:t>
                  </w:r>
                </w:p>
                <w:p w:rsidR="00000000" w:rsidRDefault="000D2E85">
                  <w:pPr>
                    <w:spacing w:after="200"/>
                  </w:pPr>
                  <w:r>
                    <w:rPr>
                      <w:color w:val="000000"/>
                      <w:sz w:val="22"/>
                    </w:rPr>
                    <w:t>Dans le PEV de routine, la notification des cas de MAPI ne concerne que le nombre de cas. Cependant durant les campagnes de masse un accent par</w:t>
                  </w:r>
                  <w:r>
                    <w:rPr>
                      <w:color w:val="000000"/>
                      <w:sz w:val="22"/>
                    </w:rPr>
                    <w:t>ticulier est mis sur la notification et la prise en charge des cas de MAPI. Il existe un comité de gestion des cas de MAPI.</w:t>
                  </w:r>
                </w:p>
                <w:p w:rsidR="00000000" w:rsidRDefault="000D2E85">
                  <w:pPr>
                    <w:spacing w:after="200"/>
                  </w:pPr>
                  <w:r>
                    <w:rPr>
                      <w:color w:val="000000"/>
                      <w:sz w:val="22"/>
                    </w:rPr>
                    <w:t>Dans le cadre de l’introduction du vaccin contre le pneumocoque et les diarrhées à rotavirus, la surveillance des MAPI sera renforcé</w:t>
                  </w:r>
                  <w:r>
                    <w:rPr>
                      <w:color w:val="000000"/>
                      <w:sz w:val="22"/>
                    </w:rPr>
                    <w:t>e avec la mise en place de directives de surveillance, des outils de notification et de prise en charge des cas.</w:t>
                  </w:r>
                </w:p>
              </w:tc>
              <w:tc>
                <w:tcPr>
                  <w:hMerge/>
                  <w:shd w:val="clear" w:color="auto" w:fill="BDDCFF"/>
                  <w:tcMar>
                    <w:top w:w="40" w:type="dxa"/>
                    <w:left w:w="40" w:type="dxa"/>
                    <w:bottom w:w="40" w:type="dxa"/>
                    <w:right w:w="40" w:type="dxa"/>
                  </w:tcMar>
                </w:tcPr>
                <w:p w:rsidR="00000000" w:rsidRDefault="000D2E85"/>
              </w:tc>
              <w:tc>
                <w:tcPr>
                  <w:gridSpan w:val="3"/>
                  <w:hMerge/>
                  <w:shd w:val="clear" w:color="auto" w:fill="BDDCFF"/>
                  <w:tcMar>
                    <w:top w:w="40" w:type="dxa"/>
                    <w:left w:w="40" w:type="dxa"/>
                    <w:bottom w:w="40" w:type="dxa"/>
                    <w:right w:w="40" w:type="dxa"/>
                  </w:tcMar>
                </w:tcPr>
                <w:p w:rsidR="00000000" w:rsidRDefault="000D2E85"/>
              </w:tc>
            </w:tr>
          </w:tbl>
          <w:p w:rsidR="00000000" w:rsidRDefault="000D2E85"/>
        </w:tc>
      </w:tr>
      <w:tr w:rsidR="00000000">
        <w:tblPrEx>
          <w:tblCellMar>
            <w:top w:w="0" w:type="dxa"/>
            <w:left w:w="0" w:type="dxa"/>
            <w:bottom w:w="0" w:type="dxa"/>
            <w:right w:w="0" w:type="dxa"/>
          </w:tblCellMar>
        </w:tblPrEx>
        <w:trPr>
          <w:trHeight w:val="20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6" w:name="ProcurementandManagement2"/>
                  <w:bookmarkEnd w:id="26"/>
                  <w:r>
                    <w:rPr>
                      <w:rFonts w:ascii="Arial" w:eastAsia="Arial" w:hAnsi="Arial"/>
                      <w:b/>
                      <w:color w:val="365F91"/>
                      <w:sz w:val="24"/>
                    </w:rPr>
                    <w:t>8.2. Approvisionnement et gestion pour les campagnes de prévention SNV</w:t>
                  </w:r>
                </w:p>
              </w:tc>
            </w:tr>
          </w:tbl>
          <w:p w:rsidR="00000000" w:rsidRDefault="000D2E85"/>
        </w:tc>
      </w:tr>
      <w:tr w:rsidR="00000000">
        <w:tblPrEx>
          <w:tblCellMar>
            <w:top w:w="0" w:type="dxa"/>
            <w:left w:w="0" w:type="dxa"/>
            <w:bottom w:w="0" w:type="dxa"/>
            <w:right w:w="0" w:type="dxa"/>
          </w:tblCellMar>
        </w:tblPrEx>
        <w:trPr>
          <w:trHeight w:val="6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r>
                    <w:rPr>
                      <w:rFonts w:ascii="Arial" w:eastAsia="Arial" w:hAnsi="Arial"/>
                      <w:color w:val="000000"/>
                      <w:sz w:val="22"/>
                    </w:rPr>
                    <w:t>Pas de soutien aux campagnes de prévention cette année</w:t>
                  </w:r>
                </w:p>
              </w:tc>
            </w:tr>
          </w:tbl>
          <w:p w:rsidR="00000000" w:rsidRDefault="000D2E85"/>
        </w:tc>
      </w:tr>
      <w:tr w:rsidR="00000000">
        <w:tblPrEx>
          <w:tblCellMar>
            <w:top w:w="0" w:type="dxa"/>
            <w:left w:w="0" w:type="dxa"/>
            <w:bottom w:w="0" w:type="dxa"/>
            <w:right w:w="0" w:type="dxa"/>
          </w:tblCellMar>
        </w:tblPrEx>
        <w:trPr>
          <w:trHeight w:val="235"/>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7" w:name="ProcurementandManagement3"/>
                  <w:bookmarkEnd w:id="27"/>
                  <w:r>
                    <w:rPr>
                      <w:rFonts w:ascii="Arial" w:eastAsia="Arial" w:hAnsi="Arial"/>
                      <w:b/>
                      <w:color w:val="365F91"/>
                      <w:sz w:val="24"/>
                    </w:rPr>
                    <w:t>8.3. Gestion vaccinale (GEEV/GEV/EGV)</w:t>
                  </w:r>
                </w:p>
              </w:tc>
            </w:tr>
          </w:tbl>
          <w:p w:rsidR="00000000" w:rsidRDefault="000D2E85"/>
        </w:tc>
      </w:tr>
      <w:tr w:rsidR="00000000">
        <w:tblPrEx>
          <w:tblCellMar>
            <w:top w:w="0" w:type="dxa"/>
            <w:left w:w="0" w:type="dxa"/>
            <w:bottom w:w="0" w:type="dxa"/>
            <w:right w:w="0" w:type="dxa"/>
          </w:tblCellMar>
        </w:tblPrEx>
        <w:trPr>
          <w:trHeight w:val="126"/>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pays a-t-il eu une évaluation de la gestion des vaccins (EGV) par le passé? </w:t>
                  </w:r>
                  <w:r>
                    <w:rPr>
                      <w:rFonts w:ascii="Arial" w:eastAsia="Arial" w:hAnsi="Arial"/>
                      <w:b/>
                      <w:color w:val="0000FF"/>
                      <w:sz w:val="22"/>
                    </w:rPr>
                    <w:t>Oui</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Quand la dernière EGV a-t-elle été réalisée? </w:t>
                  </w:r>
                  <w:r>
                    <w:rPr>
                      <w:rFonts w:ascii="Arial" w:eastAsia="Arial" w:hAnsi="Arial"/>
                      <w:b/>
                      <w:color w:val="0000FF"/>
                      <w:sz w:val="22"/>
                    </w:rPr>
                    <w:t>juin 2012</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pays a-t-il eu une évaluation de la gestion efficace des entrepôts de </w:t>
                  </w:r>
                  <w:r>
                    <w:rPr>
                      <w:rFonts w:ascii="Arial" w:eastAsia="Arial" w:hAnsi="Arial"/>
                      <w:color w:val="000000"/>
                      <w:sz w:val="22"/>
                    </w:rPr>
                    <w:t xml:space="preserve">vaccins (GEEV) par le passé? </w:t>
                  </w:r>
                  <w:r>
                    <w:rPr>
                      <w:rFonts w:ascii="Arial" w:eastAsia="Arial" w:hAnsi="Arial"/>
                      <w:b/>
                      <w:color w:val="0000FF"/>
                      <w:sz w:val="22"/>
                    </w:rPr>
                    <w:t>Oui</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Quand la dernière GEEV a-t-elle été réalisée? </w:t>
                  </w:r>
                  <w:r>
                    <w:rPr>
                      <w:rFonts w:ascii="Arial" w:eastAsia="Arial" w:hAnsi="Arial"/>
                      <w:b/>
                      <w:color w:val="0000FF"/>
                      <w:sz w:val="22"/>
                    </w:rPr>
                    <w:t>juin 2012</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pays a-t-il eu une Evaluation de l’efficacité de la gestion des vaccins (EVM) par le passé? </w:t>
                  </w:r>
                  <w:r>
                    <w:rPr>
                      <w:rFonts w:ascii="Arial" w:eastAsia="Arial" w:hAnsi="Arial"/>
                      <w:b/>
                      <w:color w:val="0000FF"/>
                      <w:sz w:val="22"/>
                    </w:rPr>
                    <w:t>Oui</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Quand l'EVM a-t-elle été réalisée? </w:t>
                  </w:r>
                  <w:r>
                    <w:rPr>
                      <w:rFonts w:ascii="Arial" w:eastAsia="Arial" w:hAnsi="Arial"/>
                      <w:b/>
                      <w:color w:val="0000FF"/>
                      <w:sz w:val="22"/>
                    </w:rPr>
                    <w:t>juin 2012</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Si votre pays a réa</w:t>
                  </w:r>
                  <w:r>
                    <w:rPr>
                      <w:rFonts w:ascii="Arial" w:eastAsia="Arial" w:hAnsi="Arial"/>
                      <w:color w:val="000000"/>
                      <w:sz w:val="22"/>
                    </w:rPr>
                    <w:t>lisé une GEEV ou une EGV au cours des deux dernières années, veuillez joindre les rapports correspondants. (Document N°13)</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Un rapport d'EGV doit être joint par les pays qui ont introduit un vaccin nouveau et sous-utilisé avec le soutien de GAVI avant 2008</w:t>
                  </w:r>
                  <w:r>
                    <w:rPr>
                      <w:rFonts w:ascii="Arial" w:eastAsia="Arial" w:hAnsi="Arial"/>
                      <w:color w:val="000000"/>
                      <w:sz w:val="22"/>
                    </w:rPr>
                    <w:t>.</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Veuillez noter que les outils de gestion efficace des entrepôts de vaccins (GEEV) et d'évaluation de la gestion des vaccins (EGV) ont été remplacés par un outil d'évaluation intégrée de l’efficacité de la gestion des vaccins (EVM). L'information sur l'o</w:t>
                  </w:r>
                  <w:r>
                    <w:rPr>
                      <w:rFonts w:ascii="Arial" w:eastAsia="Arial" w:hAnsi="Arial"/>
                      <w:color w:val="000000"/>
                      <w:sz w:val="22"/>
                    </w:rPr>
                    <w:t xml:space="preserve">util EVM peut être trouvée sous </w:t>
                  </w:r>
                  <w:hyperlink r:id="rId10" w:history="1">
                    <w:r>
                      <w:rPr>
                        <w:rFonts w:ascii="Arial" w:eastAsia="Arial" w:hAnsi="Arial"/>
                        <w:color w:val="0000FF"/>
                        <w:sz w:val="22"/>
                        <w:u w:val="single"/>
                      </w:rPr>
                      <w:t>http://www.who.int/immunization_delivery/systems_policy/logistics/en/index6.html</w:t>
                    </w:r>
                  </w:hyperlink>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Pour les pays ayant réalisé des GEEV, des EG</w:t>
                  </w:r>
                  <w:r>
                    <w:rPr>
                      <w:rFonts w:ascii="Arial" w:eastAsia="Arial" w:hAnsi="Arial"/>
                      <w:color w:val="000000"/>
                      <w:sz w:val="22"/>
                    </w:rPr>
                    <w:t>V et des EVM par le passé, veuillez rendre compte des activités menées dans le cadre du plan d'action correspondant ou du plan d'amélioration élaboré après la GEEV/EGV/EVM.</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Le pays prévoit-il de réaliser une Evaluation de l’efficacité de la gestion des </w:t>
                  </w:r>
                  <w:r>
                    <w:rPr>
                      <w:rFonts w:ascii="Arial" w:eastAsia="Arial" w:hAnsi="Arial"/>
                      <w:color w:val="000000"/>
                      <w:sz w:val="22"/>
                    </w:rPr>
                    <w:t xml:space="preserve">vaccins (EVM) à l'avenir? </w:t>
                  </w:r>
                  <w:r>
                    <w:rPr>
                      <w:rFonts w:ascii="Arial" w:eastAsia="Arial" w:hAnsi="Arial"/>
                      <w:b/>
                      <w:color w:val="0000FF"/>
                      <w:sz w:val="22"/>
                    </w:rPr>
                    <w:t>Oui</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 xml:space="preserve">Quand la prochaine Evaluation de l’efficacité de la gestion des vaccins (EVM) est-elle prévue? </w:t>
                  </w:r>
                  <w:r>
                    <w:rPr>
                      <w:rFonts w:ascii="Arial" w:eastAsia="Arial" w:hAnsi="Arial"/>
                      <w:b/>
                      <w:color w:val="0000FF"/>
                      <w:sz w:val="22"/>
                    </w:rPr>
                    <w:t>mars 2014</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i/>
                      <w:color w:val="000000"/>
                      <w:sz w:val="22"/>
                    </w:rPr>
                    <w:t>Conformément aux nouvelles directives, il sera obligatoire pour les pays de réaliser une EVM avant de soumettre une dem</w:t>
                  </w:r>
                  <w:r>
                    <w:rPr>
                      <w:rFonts w:ascii="Arial" w:eastAsia="Arial" w:hAnsi="Arial"/>
                      <w:i/>
                      <w:color w:val="000000"/>
                      <w:sz w:val="22"/>
                    </w:rPr>
                    <w:t>ande d'introduction d'un nouveau vaccin.</w:t>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8" w:name="AdditionalCommentsandRecommendations"/>
                  <w:bookmarkEnd w:id="28"/>
                  <w:r>
                    <w:rPr>
                      <w:rFonts w:ascii="Arial" w:eastAsia="Arial" w:hAnsi="Arial"/>
                      <w:b/>
                      <w:color w:val="365F91"/>
                      <w:sz w:val="28"/>
                    </w:rPr>
                    <w:t>9. Recommandations et commentaires supplémentaires de l'Organe national de coordination (CCIA/CCSS)</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Recommandations et commentaires de l'Organe national de coordination (CCIA/CCSS)</w:t>
                  </w:r>
                </w:p>
              </w:tc>
            </w:tr>
          </w:tbl>
          <w:p w:rsidR="00000000" w:rsidRDefault="000D2E85"/>
        </w:tc>
      </w:tr>
      <w:tr w:rsidR="00000000">
        <w:tblPrEx>
          <w:tblCellMar>
            <w:top w:w="0" w:type="dxa"/>
            <w:left w:w="0" w:type="dxa"/>
            <w:bottom w:w="0" w:type="dxa"/>
            <w:right w:w="0" w:type="dxa"/>
          </w:tblCellMar>
        </w:tblPrEx>
        <w:trPr>
          <w:trHeight w:val="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0D2E85">
                  <w:r>
                    <w:rPr>
                      <w:rFonts w:ascii="Arial" w:eastAsia="Arial" w:hAnsi="Arial"/>
                      <w:color w:val="000000"/>
                      <w:sz w:val="22"/>
                    </w:rPr>
                    <w:t>La collaboration en</w:t>
                  </w:r>
                  <w:r>
                    <w:rPr>
                      <w:rFonts w:ascii="Arial" w:eastAsia="Arial" w:hAnsi="Arial"/>
                      <w:color w:val="000000"/>
                      <w:sz w:val="22"/>
                    </w:rPr>
                    <w:t>tre l’Alliance Mondiale pour les Vaccins et la Vaccination et la République de Côte d’Ivoire, commencée en 2001, a été jusque-là fructueuse. Le PEV a en effet reçu un appui pour le renforcement des services de vaccination, pour la securite des injections e</w:t>
                  </w:r>
                  <w:r>
                    <w:rPr>
                      <w:rFonts w:ascii="Arial" w:eastAsia="Arial" w:hAnsi="Arial"/>
                      <w:color w:val="000000"/>
                      <w:sz w:val="22"/>
                    </w:rPr>
                    <w:t>t a introduit avec succès les vaccins tétravalent et pentavalent dans le programme de vaccination de routine grâce au soutien de GAVI. Ces introductions ont permis de renforcer les activités de vaccination en réveillant notamment l’intérêt que la communaut</w:t>
                  </w:r>
                  <w:r>
                    <w:rPr>
                      <w:rFonts w:ascii="Arial" w:eastAsia="Arial" w:hAnsi="Arial"/>
                      <w:color w:val="000000"/>
                      <w:sz w:val="22"/>
                    </w:rPr>
                    <w:t>é porte à la vaccination en ajoutant de nouveaux antigènes au calendrier vaccinal traditionnel.</w:t>
                  </w:r>
                </w:p>
                <w:p w:rsidR="00000000" w:rsidRDefault="000D2E85">
                  <w:r>
                    <w:rPr>
                      <w:rFonts w:ascii="Arial" w:eastAsia="Arial" w:hAnsi="Arial"/>
                      <w:color w:val="000000"/>
                      <w:sz w:val="22"/>
                    </w:rPr>
                    <w:t>Le CCIA note avec satisfaction les progrès accomplis ces cinq dernières années par l’amélioration des performances des districts. Cependant, la situation socio-</w:t>
                  </w:r>
                  <w:r>
                    <w:rPr>
                      <w:rFonts w:ascii="Arial" w:eastAsia="Arial" w:hAnsi="Arial"/>
                      <w:color w:val="000000"/>
                      <w:sz w:val="22"/>
                    </w:rPr>
                    <w:t>politique marquée par la crise post-électorale qu'à traversé le pays a eu un impact négatif sur les efforts qui ont ete consentis.</w:t>
                  </w:r>
                </w:p>
                <w:p w:rsidR="00000000" w:rsidRDefault="000D2E85">
                  <w:r>
                    <w:rPr>
                      <w:rFonts w:ascii="Arial" w:eastAsia="Arial" w:hAnsi="Arial"/>
                      <w:color w:val="000000"/>
                      <w:sz w:val="22"/>
                    </w:rPr>
                    <w:t>En effet, la couverture vaccinale DTC-HépB-Hib 3 est passée de 87% à 62% entre 2010 et 2011 ; les performances de la surveill</w:t>
                  </w:r>
                  <w:r>
                    <w:rPr>
                      <w:rFonts w:ascii="Arial" w:eastAsia="Arial" w:hAnsi="Arial"/>
                      <w:color w:val="000000"/>
                      <w:sz w:val="22"/>
                    </w:rPr>
                    <w:t>ance des maladies ont été satisfaisantes et les épidémies récurrentes de rougeole et de polio ont pu être maîtrisées.</w:t>
                  </w:r>
                </w:p>
                <w:p w:rsidR="00000000" w:rsidRDefault="000D2E85">
                  <w:r>
                    <w:rPr>
                      <w:rFonts w:ascii="Arial" w:eastAsia="Arial" w:hAnsi="Arial"/>
                      <w:color w:val="000000"/>
                      <w:sz w:val="22"/>
                    </w:rPr>
                    <w:t>Dans le souci de consolider ces acquis, d’étendre le bénéfice de la vaccination à plus d’enfants et de contribuer à l’atteinte des objecti</w:t>
                  </w:r>
                  <w:r>
                    <w:rPr>
                      <w:rFonts w:ascii="Arial" w:eastAsia="Arial" w:hAnsi="Arial"/>
                      <w:color w:val="000000"/>
                      <w:sz w:val="22"/>
                    </w:rPr>
                    <w:t>fs du millénaire pour le développement (particulièrement l’objectif N°4), considérant le fardeau élevé des infections à pneumocoque au niveau régional et dans le pays, le CCIA, réuni en date du 21 Août 2012 a examiné et approuvé la présente proposition fai</w:t>
                  </w:r>
                  <w:r>
                    <w:rPr>
                      <w:rFonts w:ascii="Arial" w:eastAsia="Arial" w:hAnsi="Arial"/>
                      <w:color w:val="000000"/>
                      <w:sz w:val="22"/>
                    </w:rPr>
                    <w:t>te à GAVI et recommande fortement la demande d’appui pour l’introduction du vaccin antipneumococcique dans le programme de vaccination de routine en Côte d’Ivoire.</w:t>
                  </w:r>
                </w:p>
                <w:p w:rsidR="00000000" w:rsidRDefault="000D2E85">
                  <w:r>
                    <w:rPr>
                      <w:rFonts w:ascii="Arial" w:eastAsia="Arial" w:hAnsi="Arial"/>
                      <w:color w:val="000000"/>
                      <w:sz w:val="22"/>
                    </w:rPr>
                    <w:br/>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29" w:name="Listofdocumentsattached"/>
                  <w:bookmarkEnd w:id="29"/>
                  <w:r>
                    <w:rPr>
                      <w:rFonts w:ascii="Arial" w:eastAsia="Arial" w:hAnsi="Arial"/>
                      <w:b/>
                      <w:color w:val="365F91"/>
                      <w:sz w:val="28"/>
                    </w:rPr>
                    <w:t>10. Pièces jointes</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10.1. Liste de documents joints à la présente demande</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133"/>
              <w:gridCol w:w="3672"/>
              <w:gridCol w:w="1131"/>
              <w:gridCol w:w="1136"/>
              <w:gridCol w:w="3679"/>
            </w:tblGrid>
            <w:tr w:rsidR="00000000">
              <w:tblPrEx>
                <w:tblCellMar>
                  <w:top w:w="0" w:type="dxa"/>
                  <w:left w:w="0" w:type="dxa"/>
                  <w:bottom w:w="0" w:type="dxa"/>
                  <w:right w:w="0" w:type="dxa"/>
                </w:tblCellMar>
              </w:tblPrEx>
              <w:trPr>
                <w:trHeight w:val="26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w:t>
                  </w:r>
                  <w:r>
                    <w:rPr>
                      <w:rFonts w:ascii="Arial" w:eastAsia="Arial" w:hAnsi="Arial"/>
                      <w:b/>
                      <w:color w:val="000000"/>
                    </w:rPr>
                    <w:t>cument numéro</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Document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Section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Obligatoire</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Fichier</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Signature des autorités.docx</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1</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Signature du Ministre de la Santé (ou de l’Autorité déléguée) de la Proposition</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30/08/2012 08:30:39</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442511</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Signature des </w:t>
                  </w:r>
                  <w:r>
                    <w:rPr>
                      <w:rFonts w:ascii="Arial" w:eastAsia="Arial" w:hAnsi="Arial"/>
                      <w:color w:val="000000"/>
                      <w:sz w:val="18"/>
                    </w:rPr>
                    <w:t>autorités.docx</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2</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Signature du Ministre des Finances (ou de l’Autorité déléguée) de la Proposition</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3" name="Picture 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30/08/2012 08:31:13</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442511</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Signature des participants au CCIA 21 août 2012.docx</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3</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Signatures du CCIA ou du CC</w:t>
                  </w:r>
                  <w:r>
                    <w:rPr>
                      <w:rFonts w:ascii="Arial" w:eastAsia="Arial" w:hAnsi="Arial"/>
                      <w:color w:val="000000"/>
                    </w:rPr>
                    <w:t>SS ou l’équivalent dans la Proposition</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4" name="Picture 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30/08/2012 08:32:45</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447553</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Rapport CCIA extra ordinaire du 21 août 2012.pdf</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4</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Compte-rendu réunion du CCIA/CCSS avalisant la Proposition</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5" name="Picture 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w:t>
                  </w:r>
                  <w:r>
                    <w:rPr>
                      <w:rFonts w:ascii="Arial" w:eastAsia="Arial" w:hAnsi="Arial"/>
                      <w:color w:val="000000"/>
                      <w:sz w:val="18"/>
                    </w:rPr>
                    <w:t>0/08/2012 11:56:57</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2278066</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PPAC 2011-2015.pdf</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5</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Plan Pluriannuel Complet - PPAC</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6" name="Picture 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10/08/2012 05:22:58</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2577494</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cMYP_Costing_Tool_Vs.2.5_FR (2) version Aout 2012 VF.xls</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6</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Outil d’analyse financiè</w:t>
                  </w:r>
                  <w:r>
                    <w:rPr>
                      <w:rFonts w:ascii="Arial" w:eastAsia="Arial" w:hAnsi="Arial"/>
                      <w:color w:val="000000"/>
                    </w:rPr>
                    <w:t>re du PPAC</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7" name="Picture 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31/08/2012 05:58:32</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3270144</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Pneumoccoque 31 08 12.pdf</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7</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Plan d'introduction d'un nouveau vaccin (si non inclus dans le PPAC)</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color w:val="000000"/>
                      <w:sz w:val="18"/>
                    </w:rPr>
                    <w:t>5.1</w:t>
                  </w:r>
                </w:p>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8" name="Picture 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31/08/2012 09:27:11</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1155849</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Rapport_Evaluation_Gev_CIV_ 2012.pdf</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8</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Un plan d’amélioration basé sur le GEV</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9" name="Picture 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30/08/2012 09:07:31</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1122661</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Synthèse des clarifications apportées.doc</w:t>
                  </w:r>
                </w:p>
              </w:tc>
            </w:tr>
            <w:tr w:rsidR="00000000">
              <w:tblPrEx>
                <w:tblCellMar>
                  <w:top w:w="0" w:type="dxa"/>
                  <w:left w:w="0" w:type="dxa"/>
                  <w:bottom w:w="0" w:type="dxa"/>
                  <w:right w:w="0" w:type="dxa"/>
                </w:tblCellMar>
              </w:tblPrEx>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14</w:t>
                  </w:r>
                </w:p>
              </w:tc>
              <w:tc>
                <w:tcPr>
                  <w:tcW w:w="3685" w:type="dxa"/>
                  <w:tcMar>
                    <w:top w:w="40" w:type="dxa"/>
                    <w:left w:w="40" w:type="dxa"/>
                    <w:bottom w:w="40" w:type="dxa"/>
                    <w:right w:w="40" w:type="dxa"/>
                  </w:tcMar>
                  <w:vAlign w:val="center"/>
                </w:tcPr>
                <w:p w:rsidR="00000000" w:rsidRDefault="000D2E85">
                  <w:r>
                    <w:rPr>
                      <w:rFonts w:ascii="Arial" w:eastAsia="Arial" w:hAnsi="Arial"/>
                      <w:color w:val="000000"/>
                    </w:rPr>
                    <w:t>Summary of response to conditions</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color w:val="000000"/>
                      <w:sz w:val="18"/>
                    </w:rPr>
                    <w:t>3</w:t>
                  </w:r>
                </w:p>
              </w:tc>
              <w:tc>
                <w:tcPr>
                  <w:tcW w:w="1133" w:type="dxa"/>
                  <w:tcBorders>
                    <w:left w:val="single" w:sz="8" w:space="0" w:color="000000"/>
                    <w:right w:val="single" w:sz="8" w:space="0" w:color="000000"/>
                  </w:tcBorders>
                  <w:tcMar>
                    <w:top w:w="0" w:type="dxa"/>
                    <w:left w:w="481" w:type="dxa"/>
                    <w:bottom w:w="0" w:type="dxa"/>
                    <w:right w:w="0" w:type="dxa"/>
                  </w:tcMar>
                </w:tcPr>
                <w:p w:rsidR="00000000" w:rsidRDefault="000D2E85">
                  <w:r>
                    <w:rPr>
                      <w:noProof/>
                      <w:lang w:val="en-GB" w:eastAsia="en-GB"/>
                    </w:rPr>
                    <w:drawing>
                      <wp:inline distT="0" distB="0" distL="0" distR="0">
                        <wp:extent cx="153670" cy="153670"/>
                        <wp:effectExtent l="19050" t="19050" r="17780" b="17780"/>
                        <wp:docPr id="10" name="Picture 1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 xml:space="preserve">File desc: </w:t>
                  </w:r>
                </w:p>
              </w:tc>
            </w:tr>
            <w:tr w:rsidR="00000000">
              <w:tblPrEx>
                <w:tblCellMar>
                  <w:top w:w="0" w:type="dxa"/>
                  <w:left w:w="0" w:type="dxa"/>
                  <w:bottom w:w="0" w:type="dxa"/>
                  <w:right w:w="0" w:type="dxa"/>
                </w:tblCellMar>
              </w:tblPrEx>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right w:val="single" w:sz="8" w:space="0" w:color="000000"/>
                  </w:tcBorders>
                  <w:tcMar>
                    <w:top w:w="40" w:type="dxa"/>
                    <w:left w:w="40" w:type="dxa"/>
                    <w:bottom w:w="40" w:type="dxa"/>
                    <w:right w:w="40" w:type="dxa"/>
                  </w:tcMar>
                </w:tcPr>
                <w:p w:rsidR="00000000" w:rsidRDefault="000D2E85"/>
              </w:tc>
              <w:tc>
                <w:tcPr>
                  <w:tcW w:w="3685" w:type="dxa"/>
                  <w:tcBorders>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Date/time: 31/01/2013 12:50:55</w:t>
                  </w:r>
                </w:p>
              </w:tc>
            </w:tr>
            <w:tr w:rsidR="00000000">
              <w:tblPrEx>
                <w:tblCellMar>
                  <w:top w:w="0" w:type="dxa"/>
                  <w:left w:w="0" w:type="dxa"/>
                  <w:bottom w:w="0" w:type="dxa"/>
                  <w:right w:w="0" w:type="dxa"/>
                </w:tblCellMar>
              </w:tblPrEx>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685" w:type="dxa"/>
                  <w:tcBorders>
                    <w:bottom w:val="single" w:sz="8" w:space="0" w:color="000000"/>
                  </w:tcBorders>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color w:val="000000"/>
                      <w:sz w:val="18"/>
                    </w:rPr>
                    <w:t>Size: 39424</w:t>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0" w:name="Annexes"/>
                  <w:bookmarkEnd w:id="30"/>
                  <w:r>
                    <w:rPr>
                      <w:rFonts w:ascii="Arial" w:eastAsia="Arial" w:hAnsi="Arial"/>
                      <w:b/>
                      <w:color w:val="365F91"/>
                      <w:sz w:val="28"/>
                    </w:rPr>
                    <w:t>11. Annexes</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1" w:name="Annex1"/>
                  <w:bookmarkEnd w:id="31"/>
                  <w:r>
                    <w:rPr>
                      <w:rFonts w:ascii="Arial" w:eastAsia="Arial" w:hAnsi="Arial"/>
                      <w:b/>
                      <w:color w:val="365F91"/>
                      <w:sz w:val="24"/>
                    </w:rPr>
                    <w:t>Annexe 1 - Soutien systématique aux VNS</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28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353"/>
                    <w:gridCol w:w="1417"/>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32" w:name="Annex11"/>
                              <w:bookmarkEnd w:id="32"/>
                              <w:r>
                                <w:rPr>
                                  <w:rFonts w:ascii="Arial" w:eastAsia="Arial" w:hAnsi="Arial"/>
                                  <w:b/>
                                  <w:color w:val="365F91"/>
                                  <w:sz w:val="24"/>
                                </w:rPr>
                                <w:t>Annexe 1.1 - Soutien systématique aux VNS (Antipneumococcique (VPC13), 1 dose(s) par flacon, LIQUIDE)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33" w:name="Annex11A"/>
                              <w:bookmarkEnd w:id="33"/>
                              <w:r>
                                <w:rPr>
                                  <w:rFonts w:ascii="Arial" w:eastAsia="Arial" w:hAnsi="Arial"/>
                                  <w:b/>
                                  <w:color w:val="365F91"/>
                                  <w:sz w:val="24"/>
                                </w:rPr>
                                <w:t>Tableau Annexe 1.1 A: Part arrond</w:t>
                              </w:r>
                              <w:r>
                                <w:rPr>
                                  <w:rFonts w:ascii="Arial" w:eastAsia="Arial" w:hAnsi="Arial"/>
                                  <w:b/>
                                  <w:color w:val="365F91"/>
                                  <w:sz w:val="24"/>
                                </w:rPr>
                                <w:t>ie de matériel fourni par le pays et estimation des coûts afférents en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77"/>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157 000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147 400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168 900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167 500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155 700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178 400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1 875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1 750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2 000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Valeur totale du cofinancement par le pays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591 500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555 000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636 000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r w:rsidR="00000000">
                    <w:tblPrEx>
                      <w:tblCellMar>
                        <w:top w:w="0" w:type="dxa"/>
                        <w:left w:w="0" w:type="dxa"/>
                        <w:bottom w:w="0" w:type="dxa"/>
                        <w:right w:w="0" w:type="dxa"/>
                      </w:tblCellMar>
                    </w:tblPrEx>
                    <w:trPr>
                      <w:trHeight w:val="103"/>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4" w:name="Annex11B"/>
                              <w:bookmarkEnd w:id="34"/>
                              <w:r>
                                <w:rPr>
                                  <w:rFonts w:ascii="Arial" w:eastAsia="Arial" w:hAnsi="Arial"/>
                                  <w:b/>
                                  <w:color w:val="365F91"/>
                                  <w:sz w:val="24"/>
                                </w:rPr>
                                <w:t>Tableau Annexe 1.1 B: Part arrondie de matériel fourni par GAVI et estimation des coûts afférents en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26"/>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2 799 000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2 265 500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2 276 500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2 986 700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2 393 700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2 405 200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33 175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26 575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26 700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w:t>
                                    </w:r>
                                    <w:r>
                                      <w:rPr>
                                        <w:rFonts w:ascii="Arial" w:eastAsia="Arial" w:hAnsi="Arial"/>
                                        <w:b/>
                                        <w:color w:val="000000"/>
                                      </w:rPr>
                                      <w:t>r totale du cofinancement par GAVI by country</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10 542 500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8 532 000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8 573 000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717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466"/>
                    <w:gridCol w:w="1303"/>
                  </w:tblGrid>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5" w:name="Annex11C"/>
                              <w:bookmarkEnd w:id="35"/>
                              <w:r>
                                <w:rPr>
                                  <w:rFonts w:ascii="Arial" w:eastAsia="Arial" w:hAnsi="Arial"/>
                                  <w:b/>
                                  <w:color w:val="365F91"/>
                                  <w:sz w:val="24"/>
                                </w:rPr>
                                <w:t>Tableau Annexe 1.1 C: Tableau récapitulatif pour le vaccin Antipneumococcique (VPC13), 1 dose(s) par flacon, LIQUIDE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467" w:type="dxa"/>
                        <w:gridSpan w:val="2"/>
                      </w:tcPr>
                      <w:p w:rsidR="00000000" w:rsidRDefault="000D2E85">
                        <w:pPr>
                          <w:pStyle w:val="EmptyLayoutCell"/>
                        </w:pPr>
                      </w:p>
                    </w:tc>
                    <w:tc>
                      <w:tcPr>
                        <w:tcW w:w="1303" w:type="dxa"/>
                      </w:tcPr>
                      <w:p w:rsidR="00000000" w:rsidRDefault="000D2E85">
                        <w:pPr>
                          <w:pStyle w:val="EmptyLayoutCell"/>
                        </w:pPr>
                      </w:p>
                    </w:tc>
                  </w:tr>
                  <w:tr w:rsidR="00000000">
                    <w:tblPrEx>
                      <w:tblCellMar>
                        <w:top w:w="0" w:type="dxa"/>
                        <w:left w:w="0" w:type="dxa"/>
                        <w:bottom w:w="0" w:type="dxa"/>
                        <w:right w:w="0" w:type="dxa"/>
                      </w:tblCellMar>
                    </w:tblPrEx>
                    <w:tc>
                      <w:tcPr>
                        <w:tcW w:w="9467"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67"/>
                        </w:tblGrid>
                        <w:tr w:rsidR="00000000">
                          <w:tblPrEx>
                            <w:tblCellMar>
                              <w:top w:w="0" w:type="dxa"/>
                              <w:left w:w="0" w:type="dxa"/>
                              <w:bottom w:w="0" w:type="dxa"/>
                              <w:right w:w="0" w:type="dxa"/>
                            </w:tblCellMar>
                          </w:tblPrEx>
                          <w:tc>
                            <w:tcPr>
                              <w:tcW w:w="9467" w:type="dxa"/>
                            </w:tcPr>
                            <w:tbl>
                              <w:tblPr>
                                <w:tblW w:w="0" w:type="auto"/>
                                <w:tblCellMar>
                                  <w:left w:w="0" w:type="dxa"/>
                                  <w:right w:w="0" w:type="dxa"/>
                                </w:tblCellMar>
                                <w:tblLook w:val="0000" w:firstRow="0" w:lastRow="0" w:firstColumn="0" w:lastColumn="0" w:noHBand="0" w:noVBand="0"/>
                              </w:tblPr>
                              <w:tblGrid>
                                <w:gridCol w:w="282"/>
                                <w:gridCol w:w="3394"/>
                                <w:gridCol w:w="1585"/>
                                <w:gridCol w:w="283"/>
                                <w:gridCol w:w="1301"/>
                                <w:gridCol w:w="1301"/>
                                <w:gridCol w:w="1301"/>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ID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Données de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w:t>
                                    </w:r>
                                    <w:r>
                                      <w:rPr>
                                        <w:rFonts w:ascii="Arial" w:eastAsia="Arial" w:hAnsi="Arial"/>
                                        <w:b/>
                                        <w:color w:val="000000"/>
                                        <w:sz w:val="18"/>
                                      </w:rPr>
                                      <w:t xml:space="preserve"> de nourrissons survivants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troisième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705 688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731 882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757 575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Couverture vaccinale avec la troisième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94,00 %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96,00 %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98,00 %</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w:t>
                                    </w:r>
                                    <w:r>
                                      <w:rPr>
                                        <w:rFonts w:ascii="Arial" w:eastAsia="Arial" w:hAnsi="Arial"/>
                                        <w:b/>
                                        <w:color w:val="000000"/>
                                        <w:sz w:val="18"/>
                                      </w:rPr>
                                      <w:t>re de seringues autobloquantes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réceptacles de sécurité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par dose de vaccin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w:t>
                                    </w:r>
                                    <w:r>
                                      <w:rPr>
                                        <w:rFonts w:ascii="Arial" w:eastAsia="Arial" w:hAnsi="Arial"/>
                                        <w:color w:val="000000"/>
                                        <w:sz w:val="18"/>
                                      </w:rPr>
                                      <w:t>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cc</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 par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6.4.1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ca</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unitaire des seringues autobloquantes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unitaire des seringues de reconstitution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cs</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Prix </w:t>
                                    </w:r>
                                    <w:r>
                                      <w:rPr>
                                        <w:rFonts w:ascii="Arial" w:eastAsia="Arial" w:hAnsi="Arial"/>
                                        <w:b/>
                                        <w:color w:val="000000"/>
                                        <w:sz w:val="18"/>
                                      </w:rPr>
                                      <w:t>unitaire des réceptacles de sécurité</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fv</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en % de la valeur des vaccins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6,00 %</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en % de la valeur du matériel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bl>
                            <w:p w:rsidR="00000000" w:rsidRDefault="000D2E85"/>
                          </w:tc>
                        </w:tr>
                        <w:tr w:rsidR="00000000">
                          <w:tblPrEx>
                            <w:tblCellMar>
                              <w:top w:w="0" w:type="dxa"/>
                              <w:left w:w="0" w:type="dxa"/>
                              <w:bottom w:w="0" w:type="dxa"/>
                              <w:right w:w="0" w:type="dxa"/>
                            </w:tblCellMar>
                          </w:tblPrEx>
                          <w:trPr>
                            <w:trHeight w:val="438"/>
                          </w:trPr>
                          <w:tc>
                            <w:tcPr>
                              <w:tcW w:w="9467" w:type="dxa"/>
                            </w:tcPr>
                            <w:p w:rsidR="00000000" w:rsidRDefault="000D2E85">
                              <w:pPr>
                                <w:pStyle w:val="EmptyLayoutCell"/>
                              </w:pPr>
                            </w:p>
                          </w:tc>
                        </w:tr>
                      </w:tbl>
                      <w:p w:rsidR="00000000" w:rsidRDefault="000D2E85"/>
                    </w:tc>
                    <w:tc>
                      <w:tcPr>
                        <w:tcW w:w="1303" w:type="dxa"/>
                        <w:tcMar>
                          <w:top w:w="0" w:type="dxa"/>
                          <w:left w:w="0" w:type="dxa"/>
                          <w:bottom w:w="0" w:type="dxa"/>
                          <w:right w:w="0" w:type="dxa"/>
                        </w:tcMar>
                      </w:tcPr>
                      <w:p w:rsidR="00000000" w:rsidRDefault="000D2E85">
                        <w:pPr>
                          <w:pStyle w:val="EmptyLayoutCell"/>
                        </w:pPr>
                      </w:p>
                    </w:tc>
                  </w:tr>
                  <w:tr w:rsidR="00000000">
                    <w:tblPrEx>
                      <w:tblCellMar>
                        <w:top w:w="0" w:type="dxa"/>
                        <w:left w:w="0" w:type="dxa"/>
                        <w:bottom w:w="0" w:type="dxa"/>
                        <w:right w:w="0" w:type="dxa"/>
                      </w:tblCellMar>
                    </w:tblPrEx>
                    <w:trPr>
                      <w:trHeight w:val="170"/>
                    </w:trPr>
                    <w:tc>
                      <w:tcPr>
                        <w:tcW w:w="9467" w:type="dxa"/>
                        <w:gridSpan w:val="2"/>
                      </w:tcPr>
                      <w:p w:rsidR="00000000" w:rsidRDefault="000D2E85">
                        <w:pPr>
                          <w:pStyle w:val="EmptyLayoutCell"/>
                        </w:pPr>
                      </w:p>
                    </w:tc>
                    <w:tc>
                      <w:tcPr>
                        <w:tcW w:w="1303" w:type="dxa"/>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547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547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45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Tableau Annexe 1.1 D: Chiffres estimés pour Antipneumococcique (VPC13), 1 dose(s) par flacon, LIQUIDE, matériel de sécurité des injections 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29"/>
                                            <w:gridCol w:w="1834"/>
                                            <w:gridCol w:w="1"/>
                                            <w:gridCol w:w="1"/>
                                            <w:gridCol w:w="1405"/>
                                            <w:gridCol w:w="1492"/>
                                            <w:gridCol w:w="1407"/>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w:t>
                                                </w:r>
                                                <w:r>
                                                  <w:rPr>
                                                    <w:rFonts w:ascii="Arial" w:eastAsia="Arial" w:hAnsi="Arial"/>
                                                    <w:b/>
                                                    <w:color w:val="000000"/>
                                                    <w:sz w:val="18"/>
                                                  </w:rPr>
                                                  <w:t>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5,31 %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39 838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710 408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2 250 738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119 514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2 131 224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r>
                                                  <w:rPr>
                                                    <w:rFonts w:ascii="Arial" w:eastAsia="Arial" w:hAnsi="Arial"/>
                                                    <w:b/>
                                                    <w:color w:val="000000"/>
                                                    <w:sz w:val="18"/>
                                                  </w:rPr>
                                                  <w:t>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2 363 275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125 490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2 237 785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590 819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31 373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559 446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doses de v</w:t>
                                                </w:r>
                                                <w:r>
                                                  <w:rPr>
                                                    <w:rFonts w:ascii="Arial" w:eastAsia="Arial" w:hAnsi="Arial"/>
                                                    <w:b/>
                                                    <w:color w:val="000000"/>
                                                    <w:sz w:val="18"/>
                                                  </w:rPr>
                                                  <w:t>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2 955 894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156 958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2 798 936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 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r>
                                                  <w:rPr>
                                                    <w:rFonts w:ascii="Arial" w:eastAsia="Arial" w:hAnsi="Arial"/>
                                                    <w:color w:val="000000"/>
                                                    <w:sz w:val="18"/>
                                                  </w:rPr>
                                                  <w:t> 154 129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167 484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2 986 645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35 011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1 860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33 151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Coût des </w:t>
                                                </w:r>
                                                <w:r>
                                                  <w:rPr>
                                                    <w:rFonts w:ascii="Arial" w:eastAsia="Arial" w:hAnsi="Arial"/>
                                                    <w:b/>
                                                    <w:color w:val="000000"/>
                                                    <w:sz w:val="18"/>
                                                  </w:rPr>
                                                  <w:t>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10 345 629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549 352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9 796 277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146 667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7 788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138 879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20 </w:t>
                                                </w:r>
                                                <w:r>
                                                  <w:rPr>
                                                    <w:rFonts w:ascii="Arial" w:eastAsia="Arial" w:hAnsi="Arial"/>
                                                    <w:color w:val="000000"/>
                                                    <w:sz w:val="18"/>
                                                  </w:rPr>
                                                  <w:t>307,00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1 079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19 228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620 738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32 962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587 776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11 133 341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591 179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10 542 162</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tot</w:t>
                                                </w:r>
                                                <w:r>
                                                  <w:rPr>
                                                    <w:rFonts w:ascii="Arial" w:eastAsia="Arial" w:hAnsi="Arial"/>
                                                    <w:b/>
                                                    <w:color w:val="000000"/>
                                                    <w:sz w:val="18"/>
                                                  </w:rPr>
                                                  <w: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591 179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U / 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5,31 %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195"/>
                                      </w:trPr>
                                      <w:tc>
                                        <w:tcPr>
                                          <w:tcW w:w="10771" w:type="dxa"/>
                                        </w:tcPr>
                                        <w:p w:rsidR="00000000" w:rsidRDefault="000D2E85">
                                          <w:pPr>
                                            <w:pStyle w:val="EmptyLayoutCell"/>
                                          </w:pPr>
                                        </w:p>
                                      </w:tc>
                                    </w:tr>
                                  </w:tbl>
                                  <w:p w:rsidR="00000000" w:rsidRDefault="000D2E85"/>
                                </w:tc>
                              </w:tr>
                              <w:tr w:rsidR="00000000">
                                <w:tblPrEx>
                                  <w:tblCellMar>
                                    <w:top w:w="0" w:type="dxa"/>
                                    <w:left w:w="0" w:type="dxa"/>
                                    <w:bottom w:w="0" w:type="dxa"/>
                                    <w:right w:w="0" w:type="dxa"/>
                                  </w:tblCellMar>
                                </w:tblPrEx>
                                <w:trPr>
                                  <w:trHeight w:val="845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 xml:space="preserve">Tableau Annexe 1.1 D: Chiffres estimés pour Antipneumococcique (VPC13), 1 dose(s) par flacon, LIQUIDE, matériel de sécurité des injections </w:t>
                                                </w:r>
                                                <w:r>
                                                  <w:rPr>
                                                    <w:rFonts w:ascii="Arial" w:eastAsia="Arial" w:hAnsi="Arial"/>
                                                    <w:b/>
                                                    <w:color w:val="365F91"/>
                                                    <w:sz w:val="24"/>
                                                  </w:rPr>
                                                  <w:t>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32"/>
                                            <w:gridCol w:w="1835"/>
                                            <w:gridCol w:w="1"/>
                                            <w:gridCol w:w="1"/>
                                            <w:gridCol w:w="1403"/>
                                            <w:gridCol w:w="1492"/>
                                            <w:gridCol w:w="1405"/>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6,11 %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46 562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715 815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w:t>
                                                </w:r>
                                                <w:r>
                                                  <w:rPr>
                                                    <w:rFonts w:ascii="Arial" w:eastAsia="Arial" w:hAnsi="Arial"/>
                                                    <w:b/>
                                                    <w:color w:val="000000"/>
                                                    <w:sz w:val="18"/>
                                                  </w:rPr>
                                                  <w:t xml:space="preserve">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2 287 131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139 684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2 147 447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2 401 488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146 669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2 254 819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9 554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8 970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2 412 842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147 362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2 265 480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w:t>
                                                </w:r>
                                                <w:r>
                                                  <w:rPr>
                                                    <w:rFonts w:ascii="Arial" w:eastAsia="Arial" w:hAnsi="Arial"/>
                                                    <w:b/>
                                                    <w:color w:val="000000"/>
                                                    <w:sz w:val="18"/>
                                                  </w:rPr>
                                                  <w:t>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 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2 549 321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155 697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2 393 624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w:t>
                                                </w:r>
                                                <w:r>
                                                  <w:rPr>
                                                    <w:rFonts w:ascii="Arial" w:eastAsia="Arial" w:hAnsi="Arial"/>
                                                    <w:b/>
                                                    <w:color w:val="000000"/>
                                                    <w:sz w:val="18"/>
                                                  </w:rPr>
                                                  <w:t>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28 298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1 729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26 569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8 444 947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515 766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7 929 181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118 544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7 240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111 304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w:t>
                                                </w:r>
                                                <w:r>
                                                  <w:rPr>
                                                    <w:rFonts w:ascii="Arial" w:eastAsia="Arial" w:hAnsi="Arial"/>
                                                    <w:b/>
                                                    <w:color w:val="000000"/>
                                                    <w:sz w:val="18"/>
                                                  </w:rPr>
                                                  <w:t>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16 413,00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1 003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15 410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506 697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30 946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475 751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w:t>
                                                </w:r>
                                                <w:r>
                                                  <w:rPr>
                                                    <w:rFonts w:ascii="Arial" w:eastAsia="Arial" w:hAnsi="Arial"/>
                                                    <w:color w:val="000000"/>
                                                    <w:sz w:val="18"/>
                                                  </w:rPr>
                                                  <w:t>)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9 086 601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554 954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8 531 647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554 954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U / 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6,11 %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195"/>
                                      </w:trPr>
                                      <w:tc>
                                        <w:tcPr>
                                          <w:tcW w:w="10771" w:type="dxa"/>
                                        </w:tcPr>
                                        <w:p w:rsidR="00000000" w:rsidRDefault="000D2E85">
                                          <w:pPr>
                                            <w:pStyle w:val="EmptyLayoutCell"/>
                                          </w:pPr>
                                        </w:p>
                                      </w:tc>
                                    </w:tr>
                                  </w:tbl>
                                  <w:p w:rsidR="00000000" w:rsidRDefault="000D2E85"/>
                                </w:tc>
                              </w:tr>
                              <w:tr w:rsidR="00000000">
                                <w:tblPrEx>
                                  <w:tblCellMar>
                                    <w:top w:w="0" w:type="dxa"/>
                                    <w:left w:w="0" w:type="dxa"/>
                                    <w:bottom w:w="0" w:type="dxa"/>
                                    <w:right w:w="0" w:type="dxa"/>
                                  </w:tblCellMar>
                                </w:tblPrEx>
                                <w:trPr>
                                  <w:trHeight w:val="845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Tableau Annexe 1.1 D: Chiffres e</w:t>
                                                </w:r>
                                                <w:r>
                                                  <w:rPr>
                                                    <w:rFonts w:ascii="Arial" w:eastAsia="Arial" w:hAnsi="Arial"/>
                                                    <w:b/>
                                                    <w:color w:val="365F91"/>
                                                    <w:sz w:val="24"/>
                                                  </w:rPr>
                                                  <w:t>stimés pour Antipneumococcique (VPC13), 1 dose(s) par flacon, LIQUIDE, matériel de sécurité des injections 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32"/>
                                            <w:gridCol w:w="1835"/>
                                            <w:gridCol w:w="1"/>
                                            <w:gridCol w:w="1"/>
                                            <w:gridCol w:w="1403"/>
                                            <w:gridCol w:w="1492"/>
                                            <w:gridCol w:w="1405"/>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w:t>
                                                </w:r>
                                                <w:r>
                                                  <w:rPr>
                                                    <w:rFonts w:ascii="Arial" w:eastAsia="Arial" w:hAnsi="Arial"/>
                                                    <w:b/>
                                                    <w:color w:val="000000"/>
                                                    <w:sz w:val="18"/>
                                                  </w:rPr>
                                                  <w:t>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53 371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719 664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2 319 105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160 112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2 158 993</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w:t>
                                                </w:r>
                                                <w:r>
                                                  <w:rPr>
                                                    <w:rFonts w:ascii="Arial" w:eastAsia="Arial" w:hAnsi="Arial"/>
                                                    <w:b/>
                                                    <w:color w:val="000000"/>
                                                    <w:sz w:val="18"/>
                                                  </w:rPr>
                                                  <w:t>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2 435 061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168 117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2 266 944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8 394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7 814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w:t>
                                                </w:r>
                                                <w:r>
                                                  <w:rPr>
                                                    <w:rFonts w:ascii="Arial" w:eastAsia="Arial" w:hAnsi="Arial"/>
                                                    <w:color w:val="000000"/>
                                                    <w:sz w:val="18"/>
                                                  </w:rPr>
                                                  <w:t xml:space="preserve">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2 445 255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168 821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2 276 434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 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2 583 524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178 367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2 405 157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w:t>
                                                </w:r>
                                                <w:r>
                                                  <w:rPr>
                                                    <w:rFonts w:ascii="Arial" w:eastAsia="Arial" w:hAnsi="Arial"/>
                                                    <w:b/>
                                                    <w:color w:val="000000"/>
                                                    <w:sz w:val="18"/>
                                                  </w:rPr>
                                                  <w:t xml:space="preserv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28 678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1 980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26 698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8 558 393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590</w:t>
                                                </w:r>
                                                <w:r>
                                                  <w:rPr>
                                                    <w:rFonts w:ascii="Arial" w:eastAsia="Arial" w:hAnsi="Arial"/>
                                                    <w:color w:val="000000"/>
                                                    <w:sz w:val="18"/>
                                                  </w:rPr>
                                                  <w:t> 873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7 967 520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120 134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8 295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111 839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16 634,00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1 149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15 485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w:t>
                                                </w:r>
                                                <w:r>
                                                  <w:rPr>
                                                    <w:rFonts w:ascii="Arial" w:eastAsia="Arial" w:hAnsi="Arial"/>
                                                    <w:b/>
                                                    <w:color w:val="000000"/>
                                                    <w:sz w:val="18"/>
                                                  </w:rPr>
                                                  <w:t>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513 504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35 453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478 051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9 208 665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635 767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8 572 898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635 767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Proportion </w:t>
                                                </w:r>
                                                <w:r>
                                                  <w:rPr>
                                                    <w:rFonts w:ascii="Arial" w:eastAsia="Arial" w:hAnsi="Arial"/>
                                                    <w:b/>
                                                    <w:color w:val="000000"/>
                                                    <w:sz w:val="18"/>
                                                  </w:rPr>
                                                  <w:t>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U / 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195"/>
                                      </w:trPr>
                                      <w:tc>
                                        <w:tcPr>
                                          <w:tcW w:w="10771" w:type="dxa"/>
                                        </w:tcPr>
                                        <w:p w:rsidR="00000000" w:rsidRDefault="000D2E85">
                                          <w:pPr>
                                            <w:pStyle w:val="EmptyLayoutCell"/>
                                          </w:pPr>
                                        </w:p>
                                      </w:tc>
                                    </w:tr>
                                  </w:tbl>
                                  <w:p w:rsidR="00000000" w:rsidRDefault="000D2E85"/>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bl>
                      <w:p w:rsidR="00000000" w:rsidRDefault="000D2E85"/>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6" w:name="Annex2"/>
                  <w:bookmarkEnd w:id="36"/>
                  <w:r>
                    <w:rPr>
                      <w:rFonts w:ascii="Arial" w:eastAsia="Arial" w:hAnsi="Arial"/>
                      <w:b/>
                      <w:color w:val="365F91"/>
                      <w:sz w:val="24"/>
                    </w:rPr>
                    <w:t>Annexe 2 - Soutien systématique aux VNS - Deuxième présentation préférée</w:t>
                  </w:r>
                </w:p>
              </w:tc>
            </w:tr>
          </w:tbl>
          <w:p w:rsidR="00000000" w:rsidRDefault="000D2E85"/>
        </w:tc>
      </w:tr>
      <w:tr w:rsidR="00000000">
        <w:tblPrEx>
          <w:tblCellMar>
            <w:top w:w="0" w:type="dxa"/>
            <w:left w:w="0" w:type="dxa"/>
            <w:bottom w:w="0" w:type="dxa"/>
            <w:right w:w="0" w:type="dxa"/>
          </w:tblCellMar>
        </w:tblPrEx>
        <w:trPr>
          <w:trHeight w:val="18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26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353"/>
                    <w:gridCol w:w="1417"/>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37" w:name="Annex21"/>
                              <w:bookmarkEnd w:id="37"/>
                              <w:r>
                                <w:rPr>
                                  <w:rFonts w:ascii="Arial" w:eastAsia="Arial" w:hAnsi="Arial"/>
                                  <w:b/>
                                  <w:color w:val="365F91"/>
                                  <w:sz w:val="24"/>
                                </w:rPr>
                                <w:t>Annexe 2.1 - Soutien systématique aux VNS (Antipneumococcique (VPC10), 2 dose(s) par flacon</w:t>
                              </w:r>
                              <w:r>
                                <w:rPr>
                                  <w:rFonts w:ascii="Arial" w:eastAsia="Arial" w:hAnsi="Arial"/>
                                  <w:b/>
                                  <w:color w:val="365F91"/>
                                  <w:sz w:val="24"/>
                                </w:rPr>
                                <w:t>, LIQUIDE)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0D2E85">
                              <w:bookmarkStart w:id="38" w:name="Annex21A"/>
                              <w:bookmarkEnd w:id="38"/>
                              <w:r>
                                <w:rPr>
                                  <w:rFonts w:ascii="Arial" w:eastAsia="Arial" w:hAnsi="Arial"/>
                                  <w:b/>
                                  <w:color w:val="365F91"/>
                                  <w:sz w:val="24"/>
                                </w:rPr>
                                <w:t>Tableau Annexe 2.1 A: Part arrondie de matériel fourni par le pays et estimation des coûts afférents en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157 000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147 400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168 900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167 500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155 700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178 4</w:t>
                                    </w:r>
                                    <w:r>
                                      <w:rPr>
                                        <w:rFonts w:ascii="Arial" w:eastAsia="Arial" w:hAnsi="Arial"/>
                                        <w:color w:val="000000"/>
                                      </w:rPr>
                                      <w:t>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1 875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1 750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2 000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Valeur totale du cofinancement par le pays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591 500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555 000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636 000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9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353"/>
                    <w:gridCol w:w="1417"/>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39" w:name="Annex21B"/>
                              <w:bookmarkEnd w:id="39"/>
                              <w:r>
                                <w:rPr>
                                  <w:rFonts w:ascii="Arial" w:eastAsia="Arial" w:hAnsi="Arial"/>
                                  <w:b/>
                                  <w:color w:val="365F91"/>
                                  <w:sz w:val="24"/>
                                </w:rPr>
                                <w:t>Tableau Annexe 2.1 B: Part arrondie de matériel fourni par GAVI e</w:t>
                              </w:r>
                              <w:r>
                                <w:rPr>
                                  <w:rFonts w:ascii="Arial" w:eastAsia="Arial" w:hAnsi="Arial"/>
                                  <w:b/>
                                  <w:color w:val="365F91"/>
                                  <w:sz w:val="24"/>
                                </w:rPr>
                                <w:t>t estimation des coûts afférents en US$</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354" w:type="dxa"/>
                        <w:gridSpan w:val="2"/>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4"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4813"/>
                                <w:gridCol w:w="283"/>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0D2E85"/>
                                </w:tc>
                                <w:tc>
                                  <w:tcPr>
                                    <w:tcW w:w="283" w:type="dxa"/>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2 799 000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2 265 500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2 276 500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2 986 700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2 393 700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2 405 200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Nombre de récepta</w:t>
                                    </w:r>
                                    <w:r>
                                      <w:rPr>
                                        <w:rFonts w:ascii="Arial" w:eastAsia="Arial" w:hAnsi="Arial"/>
                                        <w:b/>
                                        <w:color w:val="000000"/>
                                      </w:rPr>
                                      <w:t xml:space="preserve">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33 175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26 575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26 700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Valeur totale du cofinancement par GAVI by country</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10 542 500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8 532 000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8 573 000</w:t>
                                    </w:r>
                                  </w:p>
                                </w:tc>
                              </w:tr>
                            </w:tbl>
                            <w:p w:rsidR="00000000" w:rsidRDefault="000D2E85"/>
                          </w:tc>
                        </w:tr>
                        <w:tr w:rsidR="00000000">
                          <w:tblPrEx>
                            <w:tblCellMar>
                              <w:top w:w="0" w:type="dxa"/>
                              <w:left w:w="0" w:type="dxa"/>
                              <w:bottom w:w="0" w:type="dxa"/>
                              <w:right w:w="0" w:type="dxa"/>
                            </w:tblCellMar>
                          </w:tblPrEx>
                          <w:trPr>
                            <w:trHeight w:val="440"/>
                          </w:trPr>
                          <w:tc>
                            <w:tcPr>
                              <w:tcW w:w="9354" w:type="dxa"/>
                            </w:tcPr>
                            <w:p w:rsidR="00000000" w:rsidRDefault="000D2E85">
                              <w:pPr>
                                <w:pStyle w:val="EmptyLayoutCell"/>
                              </w:pPr>
                            </w:p>
                          </w:tc>
                        </w:tr>
                      </w:tbl>
                      <w:p w:rsidR="00000000" w:rsidRDefault="000D2E85"/>
                    </w:tc>
                    <w:tc>
                      <w:tcPr>
                        <w:tcW w:w="1417" w:type="dxa"/>
                        <w:tcMar>
                          <w:top w:w="0" w:type="dxa"/>
                          <w:left w:w="0" w:type="dxa"/>
                          <w:bottom w:w="0" w:type="dxa"/>
                          <w:right w:w="0" w:type="dxa"/>
                        </w:tcMar>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718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9466"/>
                    <w:gridCol w:w="1303"/>
                  </w:tblGrid>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0" w:name="Annex21C"/>
                              <w:bookmarkEnd w:id="40"/>
                              <w:r>
                                <w:rPr>
                                  <w:rFonts w:ascii="Arial" w:eastAsia="Arial" w:hAnsi="Arial"/>
                                  <w:b/>
                                  <w:color w:val="365F91"/>
                                  <w:sz w:val="24"/>
                                </w:rPr>
                                <w:t>Tableau Annexe 2.1 C: Tableau récapitulatif pour le vaccin Antipneumococcique (VPC10), 2 dose(s) par flacon, LIQUID</w:t>
                              </w:r>
                              <w:r>
                                <w:rPr>
                                  <w:rFonts w:ascii="Arial" w:eastAsia="Arial" w:hAnsi="Arial"/>
                                  <w:b/>
                                  <w:color w:val="365F91"/>
                                  <w:sz w:val="24"/>
                                </w:rPr>
                                <w:t>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00"/>
                    </w:trPr>
                    <w:tc>
                      <w:tcPr>
                        <w:tcW w:w="9467" w:type="dxa"/>
                        <w:gridSpan w:val="2"/>
                      </w:tcPr>
                      <w:p w:rsidR="00000000" w:rsidRDefault="000D2E85">
                        <w:pPr>
                          <w:pStyle w:val="EmptyLayoutCell"/>
                        </w:pPr>
                      </w:p>
                    </w:tc>
                    <w:tc>
                      <w:tcPr>
                        <w:tcW w:w="1303" w:type="dxa"/>
                      </w:tcPr>
                      <w:p w:rsidR="00000000" w:rsidRDefault="000D2E85">
                        <w:pPr>
                          <w:pStyle w:val="EmptyLayoutCell"/>
                        </w:pPr>
                      </w:p>
                    </w:tc>
                  </w:tr>
                  <w:tr w:rsidR="00000000">
                    <w:tblPrEx>
                      <w:tblCellMar>
                        <w:top w:w="0" w:type="dxa"/>
                        <w:left w:w="0" w:type="dxa"/>
                        <w:bottom w:w="0" w:type="dxa"/>
                        <w:right w:w="0" w:type="dxa"/>
                      </w:tblCellMar>
                    </w:tblPrEx>
                    <w:tc>
                      <w:tcPr>
                        <w:tcW w:w="9467"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67"/>
                        </w:tblGrid>
                        <w:tr w:rsidR="00000000">
                          <w:tblPrEx>
                            <w:tblCellMar>
                              <w:top w:w="0" w:type="dxa"/>
                              <w:left w:w="0" w:type="dxa"/>
                              <w:bottom w:w="0" w:type="dxa"/>
                              <w:right w:w="0" w:type="dxa"/>
                            </w:tblCellMar>
                          </w:tblPrEx>
                          <w:trPr>
                            <w:trHeight w:val="269"/>
                          </w:trPr>
                          <w:tc>
                            <w:tcPr>
                              <w:tcW w:w="9467" w:type="dxa"/>
                            </w:tcPr>
                            <w:p w:rsidR="00000000" w:rsidRDefault="000D2E85">
                              <w:pPr>
                                <w:pStyle w:val="EmptyLayoutCell"/>
                              </w:pPr>
                            </w:p>
                          </w:tc>
                        </w:tr>
                        <w:tr w:rsidR="00000000">
                          <w:tblPrEx>
                            <w:tblCellMar>
                              <w:top w:w="0" w:type="dxa"/>
                              <w:left w:w="0" w:type="dxa"/>
                              <w:bottom w:w="0" w:type="dxa"/>
                              <w:right w:w="0" w:type="dxa"/>
                            </w:tblCellMar>
                          </w:tblPrEx>
                          <w:tc>
                            <w:tcPr>
                              <w:tcW w:w="9467" w:type="dxa"/>
                            </w:tcPr>
                            <w:tbl>
                              <w:tblPr>
                                <w:tblW w:w="0" w:type="auto"/>
                                <w:tblCellMar>
                                  <w:left w:w="0" w:type="dxa"/>
                                  <w:right w:w="0" w:type="dxa"/>
                                </w:tblCellMar>
                                <w:tblLook w:val="0000" w:firstRow="0" w:lastRow="0" w:firstColumn="0" w:lastColumn="0" w:noHBand="0" w:noVBand="0"/>
                              </w:tblPr>
                              <w:tblGrid>
                                <w:gridCol w:w="282"/>
                                <w:gridCol w:w="3394"/>
                                <w:gridCol w:w="1585"/>
                                <w:gridCol w:w="283"/>
                                <w:gridCol w:w="1301"/>
                                <w:gridCol w:w="1301"/>
                                <w:gridCol w:w="1301"/>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ID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Données de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nourrissons survivants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tro</w:t>
                                    </w:r>
                                    <w:r>
                                      <w:rPr>
                                        <w:rFonts w:ascii="Arial" w:eastAsia="Arial" w:hAnsi="Arial"/>
                                        <w:b/>
                                        <w:color w:val="000000"/>
                                        <w:sz w:val="18"/>
                                      </w:rPr>
                                      <w:t>isième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705 688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731 882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757 575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Couverture vaccinale avec la troisième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94,00 %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96,00 %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98,00 %</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r>
                                      <w:rPr>
                                        <w:rFonts w:ascii="Arial" w:eastAsia="Arial" w:hAnsi="Arial"/>
                                        <w:b/>
                                        <w:color w:val="000000"/>
                                        <w:sz w:val="18"/>
                                      </w:rPr>
                                      <w:t>ombre de doses par flacon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No</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réceptacles de sécurité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w:t>
                                    </w:r>
                                    <w:r>
                                      <w:rPr>
                                        <w:rFonts w:ascii="Arial" w:eastAsia="Arial" w:hAnsi="Arial"/>
                                        <w:color w:val="000000"/>
                                        <w:sz w:val="18"/>
                                      </w:rPr>
                                      <w:t>s</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par dose de vaccin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cc</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 par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6.4.1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0,26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ca</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unitaire des seringues autobloquantes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0,0465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unitaire des seringues de r</w:t>
                                    </w:r>
                                    <w:r>
                                      <w:rPr>
                                        <w:rFonts w:ascii="Arial" w:eastAsia="Arial" w:hAnsi="Arial"/>
                                        <w:b/>
                                        <w:color w:val="000000"/>
                                        <w:sz w:val="18"/>
                                      </w:rPr>
                                      <w:t>econstitution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cs</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Prix unitaire des réceptacles de sécurité</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0,58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fv</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en % de la valeur des vaccins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Tableau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3,00 %</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en % de la vale</w:t>
                                    </w:r>
                                    <w:r>
                                      <w:rPr>
                                        <w:rFonts w:ascii="Arial" w:eastAsia="Arial" w:hAnsi="Arial"/>
                                        <w:b/>
                                        <w:color w:val="000000"/>
                                        <w:sz w:val="18"/>
                                      </w:rPr>
                                      <w:t>ur du matériel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bl>
                            <w:p w:rsidR="00000000" w:rsidRDefault="000D2E85"/>
                          </w:tc>
                        </w:tr>
                        <w:tr w:rsidR="00000000">
                          <w:tblPrEx>
                            <w:tblCellMar>
                              <w:top w:w="0" w:type="dxa"/>
                              <w:left w:w="0" w:type="dxa"/>
                              <w:bottom w:w="0" w:type="dxa"/>
                              <w:right w:w="0" w:type="dxa"/>
                            </w:tblCellMar>
                          </w:tblPrEx>
                          <w:trPr>
                            <w:trHeight w:val="169"/>
                          </w:trPr>
                          <w:tc>
                            <w:tcPr>
                              <w:tcW w:w="9467" w:type="dxa"/>
                            </w:tcPr>
                            <w:p w:rsidR="00000000" w:rsidRDefault="000D2E85">
                              <w:pPr>
                                <w:pStyle w:val="EmptyLayoutCell"/>
                              </w:pPr>
                            </w:p>
                          </w:tc>
                        </w:tr>
                      </w:tbl>
                      <w:p w:rsidR="00000000" w:rsidRDefault="000D2E85"/>
                    </w:tc>
                    <w:tc>
                      <w:tcPr>
                        <w:tcW w:w="1303" w:type="dxa"/>
                        <w:tcMar>
                          <w:top w:w="0" w:type="dxa"/>
                          <w:left w:w="0" w:type="dxa"/>
                          <w:bottom w:w="0" w:type="dxa"/>
                          <w:right w:w="0" w:type="dxa"/>
                        </w:tcMar>
                      </w:tcPr>
                      <w:p w:rsidR="00000000" w:rsidRDefault="000D2E85">
                        <w:pPr>
                          <w:pStyle w:val="EmptyLayoutCell"/>
                        </w:pPr>
                      </w:p>
                    </w:tc>
                  </w:tr>
                  <w:tr w:rsidR="00000000">
                    <w:tblPrEx>
                      <w:tblCellMar>
                        <w:top w:w="0" w:type="dxa"/>
                        <w:left w:w="0" w:type="dxa"/>
                        <w:bottom w:w="0" w:type="dxa"/>
                        <w:right w:w="0" w:type="dxa"/>
                      </w:tblCellMar>
                    </w:tblPrEx>
                    <w:trPr>
                      <w:trHeight w:val="185"/>
                    </w:trPr>
                    <w:tc>
                      <w:tcPr>
                        <w:tcW w:w="9467" w:type="dxa"/>
                        <w:gridSpan w:val="2"/>
                      </w:tcPr>
                      <w:p w:rsidR="00000000" w:rsidRDefault="000D2E85">
                        <w:pPr>
                          <w:pStyle w:val="EmptyLayoutCell"/>
                        </w:pPr>
                      </w:p>
                    </w:tc>
                    <w:tc>
                      <w:tcPr>
                        <w:tcW w:w="1303" w:type="dxa"/>
                      </w:tcPr>
                      <w:p w:rsidR="00000000" w:rsidRDefault="000D2E85">
                        <w:pPr>
                          <w:pStyle w:val="EmptyLayoutCell"/>
                        </w:pPr>
                      </w:p>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54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54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5421"/>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47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Tableau Annexe 2.1 D: Chiffres estimés pour Antipneumococcique (VPC10), 2 dose(s) par flacon, LIQUIDE, matériel de sécurité des injections 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29"/>
                                            <w:gridCol w:w="1834"/>
                                            <w:gridCol w:w="1"/>
                                            <w:gridCol w:w="1"/>
                                            <w:gridCol w:w="1405"/>
                                            <w:gridCol w:w="1492"/>
                                            <w:gridCol w:w="1407"/>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w:t>
                                                </w:r>
                                                <w:r>
                                                  <w:rPr>
                                                    <w:rFonts w:ascii="Arial" w:eastAsia="Arial" w:hAnsi="Arial"/>
                                                    <w:b/>
                                                    <w:color w:val="000000"/>
                                                  </w:rPr>
                                                  <w:t>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5,31 %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750 246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39 838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710 408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Nombre de doses </w:t>
                                                </w:r>
                                                <w:r>
                                                  <w:rPr>
                                                    <w:rFonts w:ascii="Arial" w:eastAsia="Arial" w:hAnsi="Arial"/>
                                                    <w:b/>
                                                    <w:color w:val="000000"/>
                                                    <w:sz w:val="18"/>
                                                  </w:rPr>
                                                  <w:t>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2 250 738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119 514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2 131 224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2 363 275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125 490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2 237 785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w:t>
                                                </w:r>
                                                <w:r>
                                                  <w:rPr>
                                                    <w:rFonts w:ascii="Arial" w:eastAsia="Arial" w:hAnsi="Arial"/>
                                                    <w:color w:val="000000"/>
                                                    <w:sz w:val="18"/>
                                                  </w:rPr>
                                                  <w:t xml:space="preserve">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590 819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31 373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559 446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2 955 894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156 958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2 798 936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w:t>
                                                </w:r>
                                                <w:r>
                                                  <w:rPr>
                                                    <w:rFonts w:ascii="Arial" w:eastAsia="Arial" w:hAnsi="Arial"/>
                                                    <w:b/>
                                                    <w:color w:val="000000"/>
                                                    <w:sz w:val="18"/>
                                                  </w:rPr>
                                                  <w:t>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 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3 154 129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167 484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2 986 645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w:t>
                                                </w:r>
                                                <w:r>
                                                  <w:rPr>
                                                    <w:rFonts w:ascii="Arial" w:eastAsia="Arial" w:hAnsi="Arial"/>
                                                    <w:color w:val="000000"/>
                                                    <w:sz w:val="18"/>
                                                  </w:rPr>
                                                  <w:t xml:space="preserve">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35 011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1 860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33 151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10 345 629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549 352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9 796 277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146 667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7 788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138 879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 xml:space="preserve">Coût </w:t>
                                                </w:r>
                                                <w:r>
                                                  <w:rPr>
                                                    <w:rFonts w:ascii="Arial" w:eastAsia="Arial" w:hAnsi="Arial"/>
                                                    <w:b/>
                                                    <w:color w:val="000000"/>
                                                    <w:sz w:val="18"/>
                                                  </w:rPr>
                                                  <w:t>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20 307,00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1 079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19 228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620 738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32 962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587 776</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11 133 341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591 179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10 542 162</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591 179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U / 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5,31 %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210"/>
                                      </w:trPr>
                                      <w:tc>
                                        <w:tcPr>
                                          <w:tcW w:w="10771" w:type="dxa"/>
                                        </w:tcPr>
                                        <w:p w:rsidR="00000000" w:rsidRDefault="000D2E85">
                                          <w:pPr>
                                            <w:pStyle w:val="EmptyLayoutCell"/>
                                          </w:pPr>
                                        </w:p>
                                      </w:tc>
                                    </w:tr>
                                  </w:tbl>
                                  <w:p w:rsidR="00000000" w:rsidRDefault="000D2E85"/>
                                </w:tc>
                              </w:tr>
                              <w:tr w:rsidR="00000000">
                                <w:tblPrEx>
                                  <w:tblCellMar>
                                    <w:top w:w="0" w:type="dxa"/>
                                    <w:left w:w="0" w:type="dxa"/>
                                    <w:bottom w:w="0" w:type="dxa"/>
                                    <w:right w:w="0" w:type="dxa"/>
                                  </w:tblCellMar>
                                </w:tblPrEx>
                                <w:trPr>
                                  <w:trHeight w:val="847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Tableau Annexe 2.1 D: Chiffres estimés pour Antipneumococcique (VPC10), 2 dose(s) par fla</w:t>
                                                </w:r>
                                                <w:r>
                                                  <w:rPr>
                                                    <w:rFonts w:ascii="Arial" w:eastAsia="Arial" w:hAnsi="Arial"/>
                                                    <w:b/>
                                                    <w:color w:val="365F91"/>
                                                    <w:sz w:val="24"/>
                                                  </w:rPr>
                                                  <w:t>con, LIQUIDE, matériel de sécurité des injections 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32"/>
                                            <w:gridCol w:w="1835"/>
                                            <w:gridCol w:w="1"/>
                                            <w:gridCol w:w="1"/>
                                            <w:gridCol w:w="1403"/>
                                            <w:gridCol w:w="1492"/>
                                            <w:gridCol w:w="1405"/>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6,11 %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762 377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46 562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715 815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2 287 131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139 684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2 147 447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w:t>
                                                </w:r>
                                                <w:r>
                                                  <w:rPr>
                                                    <w:rFonts w:ascii="Arial" w:eastAsia="Arial" w:hAnsi="Arial"/>
                                                    <w:b/>
                                                    <w:color w:val="000000"/>
                                                    <w:sz w:val="18"/>
                                                  </w:rPr>
                                                  <w:t>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2 401 488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146 669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2 254 819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9 554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8 970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2 41</w:t>
                                                </w:r>
                                                <w:r>
                                                  <w:rPr>
                                                    <w:rFonts w:ascii="Arial" w:eastAsia="Arial" w:hAnsi="Arial"/>
                                                    <w:color w:val="000000"/>
                                                    <w:sz w:val="18"/>
                                                  </w:rPr>
                                                  <w:t>2 842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147 362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2 265 480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 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2 549 321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155 697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2 393 624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w:t>
                                                </w:r>
                                                <w:r>
                                                  <w:rPr>
                                                    <w:rFonts w:ascii="Arial" w:eastAsia="Arial" w:hAnsi="Arial"/>
                                                    <w:color w:val="000000"/>
                                                    <w:sz w:val="18"/>
                                                  </w:rPr>
                                                  <w:t xml:space="preserve">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28 298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1 729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26 569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8 444 947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515 766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7 929 181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w:t>
                                                </w:r>
                                                <w:r>
                                                  <w:rPr>
                                                    <w:rFonts w:ascii="Arial" w:eastAsia="Arial" w:hAnsi="Arial"/>
                                                    <w:b/>
                                                    <w:color w:val="000000"/>
                                                    <w:sz w:val="18"/>
                                                  </w:rPr>
                                                  <w:t>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118 544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7 240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111 304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16 413,00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1 003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15 410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506 697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30 946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475 751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9 086 601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554 954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8 531 647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554 954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U / </w:t>
                                                </w:r>
                                                <w:r>
                                                  <w:rPr>
                                                    <w:rFonts w:ascii="Arial" w:eastAsia="Arial" w:hAnsi="Arial"/>
                                                    <w:color w:val="000000"/>
                                                    <w:sz w:val="18"/>
                                                  </w:rPr>
                                                  <w:t>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6,11 %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210"/>
                                      </w:trPr>
                                      <w:tc>
                                        <w:tcPr>
                                          <w:tcW w:w="10771" w:type="dxa"/>
                                        </w:tcPr>
                                        <w:p w:rsidR="00000000" w:rsidRDefault="000D2E85">
                                          <w:pPr>
                                            <w:pStyle w:val="EmptyLayoutCell"/>
                                          </w:pPr>
                                        </w:p>
                                      </w:tc>
                                    </w:tr>
                                  </w:tbl>
                                  <w:p w:rsidR="00000000" w:rsidRDefault="000D2E85"/>
                                </w:tc>
                              </w:tr>
                              <w:tr w:rsidR="00000000">
                                <w:tblPrEx>
                                  <w:tblCellMar>
                                    <w:top w:w="0" w:type="dxa"/>
                                    <w:left w:w="0" w:type="dxa"/>
                                    <w:bottom w:w="0" w:type="dxa"/>
                                    <w:right w:w="0" w:type="dxa"/>
                                  </w:tblCellMar>
                                </w:tblPrEx>
                                <w:trPr>
                                  <w:trHeight w:val="847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365F91"/>
                                                    <w:sz w:val="24"/>
                                                  </w:rPr>
                                                  <w:t>Tableau Annexe 2.1 D: Chiffres estimés pour Antipneumococcique (VPC10), 2 dose(s) par flacon, LIQUIDE, matériel de sécurité des injections associé et budget de co-financement correspondant (page 1)</w:t>
                                                </w:r>
                                              </w:p>
                                            </w:tc>
                                          </w:tr>
                                        </w:tbl>
                                        <w:p w:rsidR="00000000" w:rsidRDefault="000D2E85"/>
                                      </w:tc>
                                    </w:tr>
                                    <w:tr w:rsidR="00000000">
                                      <w:tblPrEx>
                                        <w:tblCellMar>
                                          <w:top w:w="0" w:type="dxa"/>
                                          <w:left w:w="0" w:type="dxa"/>
                                          <w:bottom w:w="0" w:type="dxa"/>
                                          <w:right w:w="0" w:type="dxa"/>
                                        </w:tblCellMar>
                                      </w:tblPrEx>
                                      <w:trPr>
                                        <w:trHeight w:val="100"/>
                                      </w:trPr>
                                      <w:tc>
                                        <w:tcPr>
                                          <w:tcW w:w="10771" w:type="dxa"/>
                                        </w:tcPr>
                                        <w:p w:rsidR="00000000" w:rsidRDefault="000D2E8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2"/>
                                            <w:gridCol w:w="4332"/>
                                            <w:gridCol w:w="1835"/>
                                            <w:gridCol w:w="1"/>
                                            <w:gridCol w:w="1"/>
                                            <w:gridCol w:w="1403"/>
                                            <w:gridCol w:w="1492"/>
                                            <w:gridCol w:w="1405"/>
                                          </w:tblGrid>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Formule</w:t>
                                                </w:r>
                                              </w:p>
                                            </w:tc>
                                            <w:tc>
                                              <w:tcPr>
                                                <w:tcW w:w="425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Gouverne</w:t>
                                                </w:r>
                                                <w:r>
                                                  <w:rPr>
                                                    <w:rFonts w:ascii="Arial" w:eastAsia="Arial" w:hAnsi="Arial"/>
                                                    <w:b/>
                                                    <w:color w:val="000000"/>
                                                  </w:rPr>
                                                  <w:t>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Table 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773 035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53 371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719 664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 (schedule)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 x 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2 319 105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160 </w:t>
                                                </w:r>
                                                <w:r>
                                                  <w:rPr>
                                                    <w:rFonts w:ascii="Arial" w:eastAsia="Arial" w:hAnsi="Arial"/>
                                                    <w:color w:val="000000"/>
                                                    <w:sz w:val="18"/>
                                                  </w:rPr>
                                                  <w:t>112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2 158 993</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Wastage factor table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 x E</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2 435 061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168 117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2 266 944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F of previous year) * 0.25</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8 394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7 814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w:t>
                                                </w:r>
                                                <w:r>
                                                  <w:rPr>
                                                    <w:rFonts w:ascii="Arial" w:eastAsia="Arial" w:hAnsi="Arial"/>
                                                    <w:b/>
                                                    <w:color w:val="000000"/>
                                                    <w:sz w:val="18"/>
                                                  </w:rPr>
                                                  <w:t xml:space="preserve">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(((F + G) / Taille du paquet du vaccin) + 1) * Taille du paquet du vaccin</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2 445 255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168 821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2 276 434</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Vaccine parameter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(D + </w:t>
                                                </w:r>
                                                <w:r>
                                                  <w:rPr>
                                                    <w:rFonts w:ascii="Arial" w:eastAsia="Arial" w:hAnsi="Arial"/>
                                                    <w:color w:val="000000"/>
                                                    <w:sz w:val="18"/>
                                                  </w:rPr>
                                                  <w:t>G) x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2 583 524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178 367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2 405 157</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 J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 L) /100 * 1.11</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28 678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1 980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26 698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x g</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8 558 393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590 873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7 967 520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K x ca</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120 134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8 295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111 839</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L x cr</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 x cs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16 634,00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1 149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15 485</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 x fv</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513 504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35 453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478 051</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(O+P+Q) x fd</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(N+O+P+Q+R+S)</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9 208 665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635 767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right"/>
                                                </w:pPr>
                                                <w:r>
                                                  <w:rPr>
                                                    <w:rFonts w:ascii="Arial" w:eastAsia="Arial" w:hAnsi="Arial"/>
                                                    <w:color w:val="000000"/>
                                                    <w:sz w:val="18"/>
                                                  </w:rPr>
                                                  <w:t>8 572 898</w:t>
                                                </w:r>
                                              </w:p>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Cofinance</w:t>
                                                </w:r>
                                                <w:r>
                                                  <w:rPr>
                                                    <w:rFonts w:ascii="Arial" w:eastAsia="Arial" w:hAnsi="Arial"/>
                                                    <w:b/>
                                                    <w:color w:val="000000"/>
                                                    <w:sz w:val="18"/>
                                                  </w:rPr>
                                                  <w:t>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I 3 cc</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635 767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U / T</w:t>
                                                </w:r>
                                              </w:p>
                                            </w:tc>
                                            <w:tc>
                                              <w:tcPr>
                                                <w:tcW w:w="141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sz w:val="18"/>
                                                  </w:rPr>
                                                  <w:t>6,90 %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r>
                                    <w:tr w:rsidR="00000000">
                                      <w:tblPrEx>
                                        <w:tblCellMar>
                                          <w:top w:w="0" w:type="dxa"/>
                                          <w:left w:w="0" w:type="dxa"/>
                                          <w:bottom w:w="0" w:type="dxa"/>
                                          <w:right w:w="0" w:type="dxa"/>
                                        </w:tblCellMar>
                                      </w:tblPrEx>
                                      <w:trPr>
                                        <w:trHeight w:val="210"/>
                                      </w:trPr>
                                      <w:tc>
                                        <w:tcPr>
                                          <w:tcW w:w="10771" w:type="dxa"/>
                                        </w:tcPr>
                                        <w:p w:rsidR="00000000" w:rsidRDefault="000D2E85">
                                          <w:pPr>
                                            <w:pStyle w:val="EmptyLayoutCell"/>
                                          </w:pPr>
                                        </w:p>
                                      </w:tc>
                                    </w:tr>
                                  </w:tbl>
                                  <w:p w:rsidR="00000000" w:rsidRDefault="000D2E85"/>
                                </w:tc>
                              </w:tr>
                            </w:tbl>
                            <w:p w:rsidR="00000000" w:rsidRDefault="000D2E85"/>
                          </w:tc>
                        </w:tr>
                      </w:tbl>
                      <w:p w:rsidR="00000000" w:rsidRDefault="000D2E85"/>
                    </w:tc>
                  </w:tr>
                </w:tbl>
                <w:p w:rsidR="00000000" w:rsidRDefault="000D2E85"/>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1" w:name="Annex3"/>
                  <w:bookmarkEnd w:id="41"/>
                  <w:r>
                    <w:rPr>
                      <w:rFonts w:ascii="Arial" w:eastAsia="Arial" w:hAnsi="Arial"/>
                      <w:b/>
                      <w:color w:val="365F91"/>
                      <w:sz w:val="24"/>
                    </w:rPr>
                    <w:t>Annexe 3 - Campagne(s) préventive(s) SNV</w:t>
                  </w:r>
                </w:p>
              </w:tc>
            </w:tr>
          </w:tbl>
          <w:p w:rsidR="00000000" w:rsidRDefault="000D2E85"/>
        </w:tc>
      </w:tr>
      <w:tr w:rsidR="00000000">
        <w:tblPrEx>
          <w:tblCellMar>
            <w:top w:w="0" w:type="dxa"/>
            <w:left w:w="0" w:type="dxa"/>
            <w:bottom w:w="0" w:type="dxa"/>
            <w:right w:w="0" w:type="dxa"/>
          </w:tblCellMar>
        </w:tblPrEx>
        <w:trPr>
          <w:trHeight w:val="179"/>
        </w:trPr>
        <w:tc>
          <w:tcPr>
            <w:tcW w:w="10771" w:type="dxa"/>
          </w:tcPr>
          <w:p w:rsidR="00000000" w:rsidRDefault="000D2E85">
            <w:pPr>
              <w:pStyle w:val="EmptyLayoutCell"/>
            </w:pPr>
          </w:p>
        </w:tc>
      </w:tr>
      <w:tr w:rsidR="00000000">
        <w:tblPrEx>
          <w:tblCellMar>
            <w:top w:w="0" w:type="dxa"/>
            <w:left w:w="0" w:type="dxa"/>
            <w:bottom w:w="0" w:type="dxa"/>
            <w:right w:w="0" w:type="dxa"/>
          </w:tblCellMar>
        </w:tblPrEx>
        <w:trPr>
          <w:trHeight w:val="5238"/>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hRule="exact" w:val="5238"/>
              </w:trPr>
              <w:tc>
                <w:tcPr>
                  <w:tcW w:w="10771" w:type="dxa"/>
                  <w:tcMar>
                    <w:top w:w="0" w:type="dxa"/>
                    <w:left w:w="0" w:type="dxa"/>
                    <w:bottom w:w="0" w:type="dxa"/>
                    <w:right w:w="0" w:type="dxa"/>
                  </w:tcMar>
                </w:tcPr>
                <w:p w:rsidR="00000000" w:rsidRDefault="000D2E85">
                  <w:r>
                    <w:rPr>
                      <w:rFonts w:ascii="Arial" w:eastAsia="Arial" w:hAnsi="Arial"/>
                      <w:color w:val="000000"/>
                    </w:rPr>
                    <w:t>Pas de soutien aux campagnes de prévention cette année</w:t>
                  </w:r>
                </w:p>
              </w:tc>
            </w:tr>
          </w:tbl>
          <w:p w:rsidR="00000000" w:rsidRDefault="000D2E85"/>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
        <w:gridCol w:w="1"/>
        <w:gridCol w:w="7084"/>
        <w:gridCol w:w="2267"/>
        <w:gridCol w:w="1417"/>
      </w:tblGrid>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2" w:name="Annex4"/>
                  <w:bookmarkEnd w:id="42"/>
                  <w:r>
                    <w:rPr>
                      <w:rFonts w:ascii="Arial" w:eastAsia="Arial" w:hAnsi="Arial"/>
                      <w:b/>
                      <w:color w:val="365F91"/>
                      <w:sz w:val="24"/>
                    </w:rPr>
                    <w:t>Annexe 4</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3" w:name="Annex4A"/>
                  <w:bookmarkEnd w:id="43"/>
                  <w:r>
                    <w:rPr>
                      <w:rFonts w:ascii="Arial" w:eastAsia="Arial" w:hAnsi="Arial"/>
                      <w:b/>
                      <w:color w:val="365F91"/>
                      <w:sz w:val="24"/>
                    </w:rPr>
                    <w:t>Tableau Annexe 4A:Coûts des fournitures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2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3677"/>
              <w:gridCol w:w="1417"/>
              <w:gridCol w:w="1414"/>
              <w:gridCol w:w="1414"/>
              <w:gridCol w:w="1414"/>
              <w:gridCol w:w="1414"/>
            </w:tblGrid>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Présentation</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2016</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Antiamaril, 10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Antiamaril, 5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0,900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Antiméningococciq</w:t>
                  </w:r>
                  <w:r>
                    <w:rPr>
                      <w:rFonts w:ascii="Arial" w:eastAsia="Arial" w:hAnsi="Arial"/>
                      <w:b/>
                      <w:color w:val="000000"/>
                      <w:sz w:val="18"/>
                    </w:rPr>
                    <w:t>ue, 10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0,520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0,520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0,520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0,520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Antipneumococcique (VPC10), 2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Antipneumococcique (VPC13), 1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Antirotavirus, 2calendr</w:t>
                  </w:r>
                  <w:r>
                    <w:rPr>
                      <w:rFonts w:ascii="Arial" w:eastAsia="Arial" w:hAnsi="Arial"/>
                      <w:b/>
                      <w:color w:val="000000"/>
                      <w:sz w:val="18"/>
                    </w:rPr>
                    <w:t>ier -doses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2,550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Antirotavirus, 3calendrier -doses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Antirougeoleux, 10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0,242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0,242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0,242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0,242</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DTC-HepB-Hib, 1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1,933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1,927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DTC-HepB</w:t>
                  </w:r>
                  <w:r>
                    <w:rPr>
                      <w:rFonts w:ascii="Arial" w:eastAsia="Arial" w:hAnsi="Arial"/>
                      <w:b/>
                      <w:color w:val="000000"/>
                      <w:sz w:val="18"/>
                    </w:rPr>
                    <w:t>-Hib, 10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1,933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1,927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DTC-HepB-Hib, 2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1,933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1,927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HPV bivalent, 2 dose(s) par flacon, LIQUIDE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HPV quadrivalent, 1 dose(s) par flacon, LIQUID</w:t>
                  </w:r>
                  <w:r>
                    <w:rPr>
                      <w:rFonts w:ascii="Arial" w:eastAsia="Arial" w:hAnsi="Arial"/>
                      <w:b/>
                      <w:color w:val="000000"/>
                      <w:sz w:val="18"/>
                    </w:rPr>
                    <w:t>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5,000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RR, 10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0,524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0,555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0,578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0,606</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222"/>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rPr>
                    <w:t>Note pour PVH et RR:</w:t>
                  </w:r>
                  <w:r>
                    <w:rPr>
                      <w:rFonts w:ascii="Arial" w:eastAsia="Arial" w:hAnsi="Arial"/>
                      <w:color w:val="000000"/>
                    </w:rPr>
                    <w:t xml:space="preserve"> Ces prix sont uniquement indicatifs étant donné que GAVI n'a pas encore fourni de vaccins PVH et RR aux pays GAVI. Les prix seront f</w:t>
                  </w:r>
                  <w:r>
                    <w:rPr>
                      <w:rFonts w:ascii="Arial" w:eastAsia="Arial" w:hAnsi="Arial"/>
                      <w:color w:val="000000"/>
                    </w:rPr>
                    <w:t>inalisés par appel d'offres au T3. GAVI ne financera les vaccins PVH que si une réduction de prix acceptable est opérée sur le prix courant indiqué. Le prix du RR est fondé sur le prix courant pratiqué pour l'UNICEF.</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201"/>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3678"/>
              <w:gridCol w:w="1416"/>
              <w:gridCol w:w="1414"/>
              <w:gridCol w:w="1414"/>
              <w:gridCol w:w="1414"/>
              <w:gridCol w:w="1414"/>
            </w:tblGrid>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Approvisionnement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Formulaire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w:t>
                  </w:r>
                  <w:r>
                    <w:rPr>
                      <w:rFonts w:ascii="Arial" w:eastAsia="Arial" w:hAnsi="Arial"/>
                      <w:b/>
                      <w:color w:val="000000"/>
                    </w:rPr>
                    <w:t>013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center"/>
                  </w:pPr>
                  <w:r>
                    <w:rPr>
                      <w:rFonts w:ascii="Arial" w:eastAsia="Arial" w:hAnsi="Arial"/>
                      <w:b/>
                      <w:color w:val="000000"/>
                    </w:rPr>
                    <w:t>2016</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AD-SYRINGE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0,047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RECONSTIT-SYRINGE-PENTAVAL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RECONSTIT-SYRINGE-YF</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0,037</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SAFETY-BOX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SAFETYBOX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0,580</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212"/>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b/>
                      <w:color w:val="000000"/>
                    </w:rPr>
                    <w:t>Note:</w:t>
                  </w:r>
                  <w:r>
                    <w:rPr>
                      <w:rFonts w:ascii="Arial" w:eastAsia="Arial" w:hAnsi="Arial"/>
                      <w:color w:val="000000"/>
                    </w:rPr>
                    <w:t xml:space="preserve"> PMP - prix moyen p</w:t>
                  </w:r>
                  <w:r>
                    <w:rPr>
                      <w:rFonts w:ascii="Arial" w:eastAsia="Arial" w:hAnsi="Arial"/>
                      <w:color w:val="000000"/>
                    </w:rPr>
                    <w:t>ondéré (à utiliser pour toutes les présentations: pour DTP-HepB-Hib, il s'applique à 1 dose liquide, 2 dose lyophilisées et 10 dose liquides. Pour la fièvre jaune, il s'applique à 5 dose lyophilisées et 10 doses lyophilisées)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4" w:name="Annex4B"/>
                  <w:bookmarkEnd w:id="44"/>
                  <w:r>
                    <w:rPr>
                      <w:rFonts w:ascii="Arial" w:eastAsia="Arial" w:hAnsi="Arial"/>
                      <w:b/>
                      <w:color w:val="365F91"/>
                      <w:sz w:val="24"/>
                    </w:rPr>
                    <w:t>Tableau Annexe 4B: Fr</w:t>
                  </w:r>
                  <w:r>
                    <w:rPr>
                      <w:rFonts w:ascii="Arial" w:eastAsia="Arial" w:hAnsi="Arial"/>
                      <w:b/>
                      <w:color w:val="365F91"/>
                      <w:sz w:val="24"/>
                    </w:rPr>
                    <w:t>ais de transport comme pourcentage de la valeur</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55"/>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7086" w:type="dxa"/>
            <w:gridSpan w:val="3"/>
          </w:tcPr>
          <w:tbl>
            <w:tblPr>
              <w:tblW w:w="0" w:type="auto"/>
              <w:tblCellMar>
                <w:left w:w="0" w:type="dxa"/>
                <w:right w:w="0" w:type="dxa"/>
              </w:tblCellMar>
              <w:tblLook w:val="0000" w:firstRow="0" w:lastRow="0" w:firstColumn="0" w:lastColumn="0" w:noHBand="0" w:noVBand="0"/>
            </w:tblPr>
            <w:tblGrid>
              <w:gridCol w:w="2317"/>
              <w:gridCol w:w="2092"/>
              <w:gridCol w:w="1158"/>
              <w:gridCol w:w="1"/>
              <w:gridCol w:w="766"/>
              <w:gridCol w:w="732"/>
            </w:tblGrid>
            <w:tr w:rsidR="00000000">
              <w:tblPrEx>
                <w:tblCellMar>
                  <w:top w:w="0" w:type="dxa"/>
                  <w:left w:w="0" w:type="dxa"/>
                  <w:bottom w:w="0" w:type="dxa"/>
                  <w:right w:w="0" w:type="dxa"/>
                </w:tblCellMar>
              </w:tblPrEx>
              <w:trPr>
                <w:trHeight w:val="260"/>
              </w:trPr>
              <w:tc>
                <w:tcPr>
                  <w:tcW w:w="255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Antigène vaccinal</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Type de vaccin</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Pas de seuil</w:t>
                  </w:r>
                </w:p>
              </w:tc>
              <w:tc>
                <w:tcPr>
                  <w:tcW w:w="170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500 000$</w:t>
                  </w:r>
                </w:p>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85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&lt;=</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&gt;</w:t>
                  </w:r>
                </w:p>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Antiamaril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FJ</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7,80 %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Antiméningococcique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MENINACONJUGATE</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10,20 %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Antipneumococcique (VPC10)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PNEUMO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3,00 %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Antipneumococcique</w:t>
                  </w:r>
                  <w:r>
                    <w:rPr>
                      <w:rFonts w:ascii="Arial" w:eastAsia="Arial" w:hAnsi="Arial"/>
                      <w:color w:val="000000"/>
                      <w:sz w:val="18"/>
                    </w:rPr>
                    <w:t xml:space="preserve"> (VPC13)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PNEUMO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6,00 %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Antirotavirus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ROTA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5,00 %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Antirougeoleux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ROUGEOLE</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14,00 %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DTC-HepB-Hib</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HEPBHIB</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23,80 %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6,00 %</w:t>
                  </w:r>
                </w:p>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HPV bivalent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VPH2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3,50 %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HPV quadrivalent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VPH2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3,50 %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RR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OR</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pPr>
                    <w:jc w:val="center"/>
                  </w:pPr>
                  <w:r>
                    <w:rPr>
                      <w:rFonts w:ascii="Arial" w:eastAsia="Arial" w:hAnsi="Arial"/>
                      <w:color w:val="000000"/>
                    </w:rPr>
                    <w:t>13,20 %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tc>
            </w:tr>
          </w:tbl>
          <w:p w:rsidR="00000000" w:rsidRDefault="000D2E85"/>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167"/>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5" w:name="Annex4C"/>
                  <w:bookmarkEnd w:id="45"/>
                  <w:r>
                    <w:rPr>
                      <w:rFonts w:ascii="Arial" w:eastAsia="Arial" w:hAnsi="Arial"/>
                      <w:b/>
                      <w:color w:val="365F91"/>
                      <w:sz w:val="24"/>
                    </w:rPr>
                    <w:t>Tableau Annexe 4C: Intermédiaire - Co-paiem</w:t>
                  </w:r>
                  <w:r>
                    <w:rPr>
                      <w:rFonts w:ascii="Arial" w:eastAsia="Arial" w:hAnsi="Arial"/>
                      <w:b/>
                      <w:color w:val="365F91"/>
                      <w:sz w:val="24"/>
                    </w:rPr>
                    <w:t>ent minimum du pays par dose de vaccin co-financé</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9353" w:type="dxa"/>
            <w:hMerge w:val="restart"/>
          </w:tcPr>
          <w:tbl>
            <w:tblPr>
              <w:tblW w:w="0" w:type="auto"/>
              <w:tblCellMar>
                <w:left w:w="0" w:type="dxa"/>
                <w:right w:w="0" w:type="dxa"/>
              </w:tblCellMar>
              <w:tblLook w:val="0000" w:firstRow="0" w:lastRow="0" w:firstColumn="0" w:lastColumn="0" w:noHBand="0" w:noVBand="0"/>
            </w:tblPr>
            <w:tblGrid>
              <w:gridCol w:w="5091"/>
              <w:gridCol w:w="1414"/>
              <w:gridCol w:w="1414"/>
              <w:gridCol w:w="1414"/>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2013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pPr>
                    <w:jc w:val="center"/>
                  </w:pPr>
                  <w:r>
                    <w:rPr>
                      <w:rFonts w:ascii="Arial" w:eastAsia="Arial" w:hAnsi="Arial"/>
                      <w:b/>
                      <w:color w:val="000000"/>
                    </w:rPr>
                    <w:t>2015</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0D2E85">
                  <w:r>
                    <w:rPr>
                      <w:rFonts w:ascii="Arial" w:eastAsia="Arial" w:hAnsi="Arial"/>
                      <w:b/>
                      <w:color w:val="000000"/>
                    </w:rPr>
                    <w:t>Antipneumococcique (VPC13), 1 dose(s) par flacon, LIQUIDE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0D2E85">
                  <w:pPr>
                    <w:jc w:val="right"/>
                  </w:pPr>
                  <w:r>
                    <w:rPr>
                      <w:rFonts w:ascii="Arial" w:eastAsia="Arial" w:hAnsi="Arial"/>
                      <w:color w:val="000000"/>
                    </w:rPr>
                    <w:t>0,26</w:t>
                  </w:r>
                </w:p>
              </w:tc>
            </w:tr>
          </w:tbl>
          <w:p w:rsidR="00000000" w:rsidRDefault="000D2E85"/>
        </w:tc>
        <w:tc>
          <w:tcPr>
            <w:gridSpan w:val="3"/>
            <w:hMerge/>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203"/>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6" w:name="Annex4D"/>
                  <w:bookmarkEnd w:id="46"/>
                  <w:r>
                    <w:rPr>
                      <w:rFonts w:ascii="Arial" w:eastAsia="Arial" w:hAnsi="Arial"/>
                      <w:b/>
                      <w:color w:val="365F91"/>
                      <w:sz w:val="24"/>
                    </w:rPr>
                    <w:t>Tableau Annexe 4D: Taux et facteurs de pertes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 xml:space="preserve">L'on prévoit que les pays tablent sur </w:t>
                  </w:r>
                  <w:r>
                    <w:rPr>
                      <w:rFonts w:ascii="Arial" w:eastAsia="Arial" w:hAnsi="Arial"/>
                      <w:color w:val="000000"/>
                    </w:rPr>
                    <w:t>un taux de perte maximum de:</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 50% - pour un vaccin lyophilisé vaccine en flacon de 10 ou 20 doses,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 25% - pour un vaccin liquide en flacon de 10 ou 20 doses ou un vaccin lyophilisé en flacon de 5 doses,</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 10% -pour un vaccin lyophilisé</w:t>
                  </w:r>
                  <w:r>
                    <w:rPr>
                      <w:rFonts w:ascii="Arial" w:eastAsia="Arial" w:hAnsi="Arial"/>
                      <w:color w:val="000000"/>
                    </w:rPr>
                    <w:t>/liquide en flacon de 2 doses, et</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rPr>
                    <w:t>• 5% - pour un vaccin liquide en flacon d'1 dose</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3960"/>
              <w:gridCol w:w="565"/>
              <w:gridCol w:w="565"/>
              <w:gridCol w:w="566"/>
              <w:gridCol w:w="566"/>
              <w:gridCol w:w="566"/>
              <w:gridCol w:w="566"/>
              <w:gridCol w:w="566"/>
              <w:gridCol w:w="566"/>
              <w:gridCol w:w="566"/>
              <w:gridCol w:w="566"/>
              <w:gridCol w:w="566"/>
              <w:gridCol w:w="566"/>
            </w:tblGrid>
            <w:tr w:rsidR="00000000">
              <w:tblPrEx>
                <w:tblCellMar>
                  <w:top w:w="0" w:type="dxa"/>
                  <w:left w:w="0" w:type="dxa"/>
                  <w:bottom w:w="0" w:type="dxa"/>
                  <w:right w:w="0" w:type="dxa"/>
                </w:tblCellMar>
              </w:tblPrEx>
              <w:trPr>
                <w:trHeight w:val="260"/>
              </w:trPr>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rPr>
                    <w:t>Taux de perte vaccinale</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10%</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20%</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30%</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40%</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45%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50%</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55%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60%</w:t>
                  </w:r>
                </w:p>
              </w:tc>
            </w:tr>
            <w:tr w:rsidR="00000000">
              <w:tblPrEx>
                <w:tblCellMar>
                  <w:top w:w="0" w:type="dxa"/>
                  <w:left w:w="0" w:type="dxa"/>
                  <w:bottom w:w="0" w:type="dxa"/>
                  <w:right w:w="0" w:type="dxa"/>
                </w:tblCellMar>
              </w:tblPrEx>
              <w:trPr>
                <w:trHeight w:val="260"/>
              </w:trPr>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r>
                    <w:rPr>
                      <w:rFonts w:ascii="Arial" w:eastAsia="Arial" w:hAnsi="Arial"/>
                      <w:b/>
                      <w:color w:val="000000"/>
                    </w:rPr>
                    <w:t>Facteur de perte équivalent</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1.05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1.11</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1.18</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1.25</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1.33</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1.43</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1.54</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1.67</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1.82</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2.22</w:t>
                  </w:r>
                </w:p>
              </w:tc>
              <w:tc>
                <w:tcPr>
                  <w:tcW w:w="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4526"/>
              <w:gridCol w:w="2827"/>
              <w:gridCol w:w="3397"/>
            </w:tblGrid>
            <w:tr w:rsidR="00000000">
              <w:tblPrEx>
                <w:tblCellMar>
                  <w:top w:w="0" w:type="dxa"/>
                  <w:left w:w="0" w:type="dxa"/>
                  <w:bottom w:w="0" w:type="dxa"/>
                  <w:right w:w="0" w:type="dxa"/>
                </w:tblCellMar>
              </w:tblPrEx>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Vaccin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Taux de perte vaccinale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VaccineWastageFactor</w:t>
                  </w:r>
                </w:p>
              </w:tc>
            </w:tr>
            <w:tr w:rsidR="00000000">
              <w:tblPrEx>
                <w:tblCellMar>
                  <w:top w:w="0" w:type="dxa"/>
                  <w:left w:w="0" w:type="dxa"/>
                  <w:bottom w:w="0" w:type="dxa"/>
                  <w:right w:w="0" w:type="dxa"/>
                </w:tblCellMar>
              </w:tblPrEx>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Antipneumococcique (VPC10), 2 dose(s) par flacon, LIQUIDE</w:t>
                  </w:r>
                </w:p>
              </w:tc>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5 %</w:t>
                  </w:r>
                </w:p>
              </w:tc>
              <w:tc>
                <w:tcPr>
                  <w:tcW w:w="340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1,05</w:t>
                  </w:r>
                </w:p>
              </w:tc>
            </w:tr>
            <w:tr w:rsidR="00000000">
              <w:tblPrEx>
                <w:tblCellMar>
                  <w:top w:w="0" w:type="dxa"/>
                  <w:left w:w="0" w:type="dxa"/>
                  <w:bottom w:w="0" w:type="dxa"/>
                  <w:right w:w="0" w:type="dxa"/>
                </w:tblCellMar>
              </w:tblPrEx>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Antipneumococcique (VPC13), 1 dose(s) par flacon, LIQUIDE</w:t>
                  </w:r>
                </w:p>
              </w:tc>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5 %</w:t>
                  </w:r>
                </w:p>
              </w:tc>
              <w:tc>
                <w:tcPr>
                  <w:tcW w:w="340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1,05</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304"/>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7" w:name="Annex4E"/>
                  <w:bookmarkEnd w:id="47"/>
                  <w:r>
                    <w:rPr>
                      <w:rFonts w:ascii="Arial" w:eastAsia="Arial" w:hAnsi="Arial"/>
                      <w:b/>
                      <w:color w:val="365F91"/>
                      <w:sz w:val="24"/>
                    </w:rPr>
                    <w:t>Tableau Annexe 4E: Volume conditionné maximal du vacc</w:t>
                  </w:r>
                  <w:r>
                    <w:rPr>
                      <w:rFonts w:ascii="Arial" w:eastAsia="Arial" w:hAnsi="Arial"/>
                      <w:b/>
                      <w:color w:val="365F91"/>
                      <w:sz w:val="24"/>
                    </w:rPr>
                    <w:t>in</w:t>
                  </w:r>
                </w:p>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r w:rsidR="00000000">
        <w:tblPrEx>
          <w:tblCellMar>
            <w:top w:w="0" w:type="dxa"/>
            <w:left w:w="0" w:type="dxa"/>
            <w:bottom w:w="0" w:type="dxa"/>
            <w:right w:w="0" w:type="dxa"/>
          </w:tblCellMar>
        </w:tblPrEx>
        <w:trPr>
          <w:trHeight w:val="99"/>
        </w:trPr>
        <w:tc>
          <w:tcPr>
            <w:tcW w:w="7086" w:type="dxa"/>
            <w:gridSpan w:val="3"/>
          </w:tcPr>
          <w:p w:rsidR="00000000" w:rsidRDefault="000D2E85">
            <w:pPr>
              <w:pStyle w:val="EmptyLayoutCell"/>
            </w:pPr>
          </w:p>
        </w:tc>
        <w:tc>
          <w:tcPr>
            <w:tcW w:w="2267" w:type="dxa"/>
          </w:tcPr>
          <w:p w:rsidR="00000000" w:rsidRDefault="000D2E85">
            <w:pPr>
              <w:pStyle w:val="EmptyLayoutCell"/>
            </w:pPr>
          </w:p>
        </w:tc>
        <w:tc>
          <w:tcPr>
            <w:tcW w:w="1417" w:type="dxa"/>
          </w:tcPr>
          <w:p w:rsidR="00000000" w:rsidRDefault="000D2E85">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609"/>
              <w:gridCol w:w="1277"/>
              <w:gridCol w:w="1228"/>
              <w:gridCol w:w="1628"/>
              <w:gridCol w:w="1127"/>
              <w:gridCol w:w="1425"/>
              <w:gridCol w:w="1228"/>
              <w:gridCol w:w="1228"/>
            </w:tblGrid>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Produit de vaccination</w:t>
                  </w:r>
                </w:p>
              </w:tc>
              <w:tc>
                <w:tcPr>
                  <w:tcW w:w="1303"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Désignation</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Formule du vaccin</w:t>
                  </w:r>
                </w:p>
              </w:tc>
              <w:tc>
                <w:tcPr>
                  <w:tcW w:w="102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Mode d'administration</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Nbre de doses dans le calendrier</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Présentation (doses/flacon, prérempli)</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Vaccin en volume conditionné (cm3/dose)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000000" w:rsidRDefault="000D2E85">
                  <w:pPr>
                    <w:jc w:val="center"/>
                  </w:pPr>
                  <w:r>
                    <w:rPr>
                      <w:rFonts w:ascii="Arial" w:eastAsia="Arial" w:hAnsi="Arial"/>
                      <w:b/>
                      <w:color w:val="000000"/>
                    </w:rPr>
                    <w:t>Diluants en volume conditionné (cm3/dose)</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BCG</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BCG</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w:t>
                  </w:r>
                  <w:r>
                    <w:rPr>
                      <w:rFonts w:ascii="Arial" w:eastAsia="Arial" w:hAnsi="Arial"/>
                      <w:color w:val="000000"/>
                    </w:rPr>
                    <w:t>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ID</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0,7</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Diphtheria-Tetanus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Tetanus-Diphtheria</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Td</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Tetanus 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 xml:space="preserve">Tetanus </w:t>
                  </w:r>
                  <w:r>
                    <w:rPr>
                      <w:rFonts w:ascii="Arial" w:eastAsia="Arial" w:hAnsi="Arial"/>
                      <w:color w:val="000000"/>
                    </w:rPr>
                    <w:t>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Tetanus Toxoid UniJect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Uniject</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20</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Measles-Mumps-</w:t>
                  </w:r>
                  <w:r>
                    <w:rPr>
                      <w:rFonts w:ascii="Arial" w:eastAsia="Arial" w:hAnsi="Arial"/>
                      <w:color w:val="000000"/>
                    </w:rPr>
                    <w:t>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Pol</w:t>
                  </w:r>
                  <w:r>
                    <w:rPr>
                      <w:rFonts w:ascii="Arial" w:eastAsia="Arial" w:hAnsi="Arial"/>
                      <w:color w:val="000000"/>
                    </w:rPr>
                    <w:t>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Polio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7</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0,7</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9,7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Hepatitis B UniJect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Uniject</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35</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w:t>
                  </w:r>
                  <w:r>
                    <w:rPr>
                      <w:rFonts w:ascii="Arial" w:eastAsia="Arial" w:hAnsi="Arial"/>
                      <w:color w:val="000000"/>
                    </w:rPr>
                    <w:t>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w:t>
                  </w:r>
                  <w:r>
                    <w:rPr>
                      <w:rFonts w:ascii="Arial" w:eastAsia="Arial" w:hAnsi="Arial"/>
                      <w:color w:val="000000"/>
                    </w:rPr>
                    <w:t>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Meningococcal A/C/W/</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MV_A/C/W</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Meningococcal A/C/W/Y</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MV_A/C/W/Y</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Meningitis W135</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MV_W135</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Meningitis A conjugate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Men_A</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8,1</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w:t>
                  </w:r>
                  <w:r>
                    <w:rPr>
                      <w:rFonts w:ascii="Arial" w:eastAsia="Arial" w:hAnsi="Arial"/>
                      <w:color w:val="000000"/>
                    </w:rPr>
                    <w:t>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2,9</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11,5</w:t>
                  </w:r>
                </w:p>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JE_liq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3,4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17,1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Rota_liq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w:t>
                  </w:r>
                  <w:r>
                    <w:rPr>
                      <w:rFonts w:ascii="Arial" w:eastAsia="Arial" w:hAnsi="Arial"/>
                      <w:color w:val="000000"/>
                    </w:rPr>
                    <w:t>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Pneumo. conjugate vaccine 7-valent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PCV-7</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PFS</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Pneumo. conjugate vaccine 7-valent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PCV-7</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Pneumo.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Pneumo.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4,8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Pneumo. conjugate vaccine 13-valent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PCV-13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PFS</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107,4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Human Papilomavirus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Hu</w:t>
                  </w:r>
                  <w:r>
                    <w:rPr>
                      <w:rFonts w:ascii="Arial" w:eastAsia="Arial" w:hAnsi="Arial"/>
                      <w:color w:val="000000"/>
                    </w:rPr>
                    <w:t>man Papilomavirus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Monovalent OPV-1</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mOPV1</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Monovalent OPV-3</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mOPV3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00000" w:rsidRDefault="000D2E85">
                  <w:r>
                    <w:rPr>
                      <w:rFonts w:ascii="Arial" w:eastAsia="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0D2E85">
                  <w:pPr>
                    <w:jc w:val="right"/>
                  </w:pPr>
                  <w:r>
                    <w:rPr>
                      <w:rFonts w:ascii="Arial" w:eastAsia="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0D2E85"/>
              </w:tc>
            </w:tr>
          </w:tbl>
          <w:p w:rsidR="00000000" w:rsidRDefault="000D2E85"/>
        </w:tc>
        <w:tc>
          <w:tcPr>
            <w:hMerge/>
          </w:tcPr>
          <w:p w:rsidR="00000000" w:rsidRDefault="000D2E85">
            <w:pPr>
              <w:pStyle w:val="EmptyLayoutCell"/>
            </w:pPr>
          </w:p>
        </w:tc>
        <w:tc>
          <w:tcPr>
            <w:gridSpan w:val="3"/>
            <w:hMerge/>
          </w:tcPr>
          <w:p w:rsidR="00000000" w:rsidRDefault="000D2E85">
            <w:pPr>
              <w:pStyle w:val="EmptyLayoutCell"/>
            </w:pPr>
          </w:p>
        </w:tc>
      </w:tr>
    </w:tbl>
    <w:p w:rsidR="00000000" w:rsidRDefault="000D2E85">
      <w:r>
        <w:br w:type="page"/>
      </w:r>
    </w:p>
    <w:tbl>
      <w:tblPr>
        <w:tblW w:w="0" w:type="auto"/>
        <w:tblCellMar>
          <w:left w:w="0" w:type="dxa"/>
          <w:right w:w="0" w:type="dxa"/>
        </w:tblCellMar>
        <w:tblLook w:val="0000" w:firstRow="0" w:lastRow="0" w:firstColumn="0" w:lastColumn="0" w:noHBand="0" w:noVBand="0"/>
      </w:tblPr>
      <w:tblGrid>
        <w:gridCol w:w="1"/>
        <w:gridCol w:w="7085"/>
        <w:gridCol w:w="3685"/>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bookmarkStart w:id="48" w:name="BankingForm"/>
                  <w:bookmarkEnd w:id="48"/>
                  <w:r>
                    <w:rPr>
                      <w:rFonts w:ascii="Arial" w:eastAsia="Arial" w:hAnsi="Arial"/>
                      <w:b/>
                      <w:color w:val="365F91"/>
                      <w:sz w:val="28"/>
                    </w:rPr>
                    <w:t>12. Formulaire bancaire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
              <w:gridCol w:w="1"/>
              <w:gridCol w:w="1"/>
              <w:gridCol w:w="2501"/>
              <w:gridCol w:w="1"/>
              <w:gridCol w:w="1"/>
              <w:gridCol w:w="2498"/>
              <w:gridCol w:w="1247"/>
              <w:gridCol w:w="4216"/>
              <w:gridCol w:w="284"/>
            </w:tblGrid>
            <w:tr w:rsidR="00000000">
              <w:tblPrEx>
                <w:tblCellMar>
                  <w:top w:w="0" w:type="dxa"/>
                  <w:left w:w="0" w:type="dxa"/>
                  <w:bottom w:w="0" w:type="dxa"/>
                  <w:right w:w="0" w:type="dxa"/>
                </w:tblCellMar>
              </w:tblPrEx>
              <w:trPr>
                <w:trHeight w:val="260"/>
              </w:trPr>
              <w:tc>
                <w:tcPr>
                  <w:tcW w:w="10484"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22"/>
                    </w:rPr>
                    <w:t>Conformément à la décision sur le soutien financier prise par GAVI Alliance, le</w:t>
                  </w:r>
                  <w:r>
                    <w:rPr>
                      <w:rFonts w:ascii="Arial" w:eastAsia="Arial" w:hAnsi="Arial"/>
                      <w:color w:val="000000"/>
                      <w:sz w:val="22"/>
                    </w:rPr>
                    <w:t xml:space="preserve"> Gouvernement de Côte d'Ivoire demande par la présente qu'un paiement soit effectué par transfert bancaire électronique de la manière suivante:</w:t>
                  </w:r>
                </w:p>
              </w:tc>
              <w:tc>
                <w:tcPr>
                  <w:hMerge/>
                  <w:tcBorders>
                    <w:top w:val="single" w:sz="8" w:space="0" w:color="000000"/>
                    <w:left w:val="single" w:sz="8" w:space="0" w:color="000000"/>
                  </w:tcBorders>
                  <w:tcMar>
                    <w:top w:w="40" w:type="dxa"/>
                    <w:left w:w="40" w:type="dxa"/>
                    <w:bottom w:w="40" w:type="dxa"/>
                    <w:right w:w="40" w:type="dxa"/>
                  </w:tcMar>
                  <w:vAlign w:val="center"/>
                </w:tcPr>
                <w:p w:rsidR="00000000" w:rsidRDefault="000D2E85"/>
              </w:tc>
              <w:tc>
                <w:tcPr>
                  <w:hMerge/>
                  <w:tcBorders>
                    <w:top w:val="single" w:sz="8" w:space="0" w:color="000000"/>
                    <w:left w:val="single" w:sz="8" w:space="0" w:color="000000"/>
                  </w:tcBorders>
                  <w:tcMar>
                    <w:top w:w="40" w:type="dxa"/>
                    <w:left w:w="40" w:type="dxa"/>
                    <w:bottom w:w="40" w:type="dxa"/>
                    <w:right w:w="40" w:type="dxa"/>
                  </w:tcMar>
                  <w:vAlign w:val="center"/>
                </w:tcPr>
                <w:p w:rsidR="00000000" w:rsidRDefault="000D2E85"/>
              </w:tc>
              <w:tc>
                <w:tcPr>
                  <w:gridSpan w:val="6"/>
                  <w:hMerge/>
                  <w:tcBorders>
                    <w:top w:val="single" w:sz="8" w:space="0" w:color="000000"/>
                    <w:left w:val="single" w:sz="8" w:space="0" w:color="000000"/>
                  </w:tcBorders>
                  <w:tcMar>
                    <w:top w:w="40" w:type="dxa"/>
                    <w:left w:w="40" w:type="dxa"/>
                    <w:bottom w:w="40" w:type="dxa"/>
                    <w:right w:w="40" w:type="dxa"/>
                  </w:tcMar>
                  <w:vAlign w:val="center"/>
                </w:tcPr>
                <w:p w:rsidR="00000000" w:rsidRDefault="000D2E85"/>
              </w:tc>
              <w:tc>
                <w:tcPr>
                  <w:tcW w:w="285" w:type="dxa"/>
                  <w:tcBorders>
                    <w:top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tc>
              <w:tc>
                <w:tcPr>
                  <w:tcW w:w="2505" w:type="dxa"/>
                  <w:gridSpan w:val="3"/>
                  <w:tcMar>
                    <w:top w:w="40" w:type="dxa"/>
                    <w:left w:w="40" w:type="dxa"/>
                    <w:bottom w:w="40" w:type="dxa"/>
                    <w:right w:w="40" w:type="dxa"/>
                  </w:tcMar>
                  <w:vAlign w:val="center"/>
                </w:tcPr>
                <w:p w:rsidR="00000000" w:rsidRDefault="000D2E85"/>
              </w:tc>
              <w:tc>
                <w:tcPr>
                  <w:tcW w:w="1249" w:type="dxa"/>
                  <w:tcMar>
                    <w:top w:w="40" w:type="dxa"/>
                    <w:left w:w="40" w:type="dxa"/>
                    <w:bottom w:w="40" w:type="dxa"/>
                    <w:right w:w="40" w:type="dxa"/>
                  </w:tcMar>
                  <w:vAlign w:val="center"/>
                </w:tcPr>
                <w:p w:rsidR="00000000" w:rsidRDefault="000D2E85"/>
              </w:tc>
              <w:tc>
                <w:tcPr>
                  <w:tcW w:w="4225" w:type="dxa"/>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Nom de l'établissement (titulaire du compte):</w:t>
                  </w:r>
                </w:p>
              </w:tc>
              <w:tc>
                <w:tcPr>
                  <w:tcW w:w="7979"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Ministère de la santé et de la lutte contre le SIDA / R</w:t>
                  </w:r>
                  <w:r>
                    <w:rPr>
                      <w:rFonts w:ascii="Arial" w:eastAsia="Arial" w:hAnsi="Arial"/>
                      <w:color w:val="000000"/>
                      <w:sz w:val="18"/>
                    </w:rPr>
                    <w:t>EGIE FONDS GAVI</w:t>
                  </w:r>
                </w:p>
              </w:tc>
              <w:tc>
                <w:tcPr>
                  <w:hMerge/>
                  <w:tcBorders>
                    <w:top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tc>
              <w:tc>
                <w:tcPr>
                  <w:tcW w:w="7979"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0D2E85"/>
              </w:tc>
              <w:tc>
                <w:tcPr>
                  <w:hMerge/>
                  <w:tcBorders>
                    <w:bottom w:val="single" w:sz="8" w:space="0" w:color="000000"/>
                  </w:tcBorders>
                  <w:tcMar>
                    <w:top w:w="40" w:type="dxa"/>
                    <w:left w:w="40" w:type="dxa"/>
                    <w:bottom w:w="40" w:type="dxa"/>
                    <w:right w:w="40" w:type="dxa"/>
                  </w:tcMar>
                  <w:vAlign w:val="center"/>
                </w:tcPr>
                <w:p w:rsidR="00000000" w:rsidRDefault="000D2E85"/>
              </w:tc>
              <w:tc>
                <w:tcPr>
                  <w:gridSpan w:val="3"/>
                  <w:hMerge/>
                  <w:tcBorders>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tc>
              <w:tc>
                <w:tcPr>
                  <w:tcW w:w="2505" w:type="dxa"/>
                  <w:gridSpan w:val="3"/>
                  <w:tcMar>
                    <w:top w:w="40" w:type="dxa"/>
                    <w:left w:w="40" w:type="dxa"/>
                    <w:bottom w:w="40" w:type="dxa"/>
                    <w:right w:w="40" w:type="dxa"/>
                  </w:tcMar>
                  <w:vAlign w:val="center"/>
                </w:tcPr>
                <w:p w:rsidR="00000000" w:rsidRDefault="000D2E85"/>
              </w:tc>
              <w:tc>
                <w:tcPr>
                  <w:tcW w:w="1249" w:type="dxa"/>
                  <w:tcMar>
                    <w:top w:w="40" w:type="dxa"/>
                    <w:left w:w="40" w:type="dxa"/>
                    <w:bottom w:w="40" w:type="dxa"/>
                    <w:right w:w="40" w:type="dxa"/>
                  </w:tcMar>
                  <w:vAlign w:val="center"/>
                </w:tcPr>
                <w:p w:rsidR="00000000" w:rsidRDefault="000D2E85"/>
              </w:tc>
              <w:tc>
                <w:tcPr>
                  <w:tcW w:w="4225" w:type="dxa"/>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Adresse: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Cité Administrative, Tour C, 16ième étage,  BP V 16 Abidjan</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Ville, pays:</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Abidjan, Côte d'Ivoire</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N° de téléphone:</w:t>
                  </w:r>
                </w:p>
              </w:tc>
              <w:tc>
                <w:tcPr>
                  <w:tcW w:w="2505"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(00225) 20 21 08 71</w:t>
                  </w:r>
                </w:p>
              </w:tc>
              <w:tc>
                <w:tcPr>
                  <w:tcW w:w="1249" w:type="dxa"/>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N° de fax:</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(00225) 20 22 58 11</w:t>
                  </w:r>
                </w:p>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tc>
              <w:tc>
                <w:tcPr>
                  <w:tcW w:w="3754" w:type="dxa"/>
                  <w:hMerge w:val="restart"/>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Monnaie du compte bancaire:</w:t>
                  </w:r>
                </w:p>
              </w:tc>
              <w:tc>
                <w:tcPr>
                  <w:gridSpan w:val="3"/>
                  <w:hMerge/>
                  <w:tcMar>
                    <w:top w:w="40" w:type="dxa"/>
                    <w:left w:w="40" w:type="dxa"/>
                    <w:bottom w:w="40" w:type="dxa"/>
                    <w:right w:w="40" w:type="dxa"/>
                  </w:tcMar>
                  <w:vAlign w:val="center"/>
                </w:tcPr>
                <w:p w:rsidR="00000000" w:rsidRDefault="000D2E85"/>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 xml:space="preserve">Francs CFA </w:t>
                  </w:r>
                  <w:r>
                    <w:rPr>
                      <w:rFonts w:ascii="Arial" w:eastAsia="Arial" w:hAnsi="Arial"/>
                      <w:color w:val="000000"/>
                      <w:sz w:val="18"/>
                    </w:rPr>
                    <w:t>(BCEAO)</w:t>
                  </w:r>
                </w:p>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Au crédit de:</w:t>
                  </w:r>
                </w:p>
              </w:tc>
              <w:tc>
                <w:tcPr>
                  <w:tcW w:w="2505" w:type="dxa"/>
                  <w:gridSpan w:val="3"/>
                  <w:tcMar>
                    <w:top w:w="40" w:type="dxa"/>
                    <w:left w:w="40" w:type="dxa"/>
                    <w:bottom w:w="40" w:type="dxa"/>
                    <w:right w:w="40" w:type="dxa"/>
                  </w:tcMar>
                  <w:vAlign w:val="center"/>
                </w:tcPr>
                <w:p w:rsidR="00000000" w:rsidRDefault="000D2E85"/>
              </w:tc>
              <w:tc>
                <w:tcPr>
                  <w:tcW w:w="1249" w:type="dxa"/>
                  <w:tcMar>
                    <w:top w:w="40" w:type="dxa"/>
                    <w:left w:w="40" w:type="dxa"/>
                    <w:bottom w:w="40" w:type="dxa"/>
                    <w:right w:w="40" w:type="dxa"/>
                  </w:tcMar>
                  <w:vAlign w:val="center"/>
                </w:tcPr>
                <w:p w:rsidR="00000000" w:rsidRDefault="000D2E85"/>
              </w:tc>
              <w:tc>
                <w:tcPr>
                  <w:tcW w:w="4225" w:type="dxa"/>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Intitulé du compte bancaire: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ACCD  P/C (REGIE FONDS GAVI   N° CI650 01001 001001120010 54)</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N° du compte bancaire: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CI000  01001 000000060070 63</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505" w:type="dxa"/>
                  <w:gridSpan w:val="4"/>
                  <w:tcBorders>
                    <w:lef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22"/>
                    </w:rPr>
                    <w:t>Nom de la banque: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BCEAO-ABIDJAN</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85"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80"/>
              </w:trPr>
              <w:tc>
                <w:tcPr>
                  <w:tcW w:w="2505" w:type="dxa"/>
                  <w:gridSpan w:val="4"/>
                  <w:tcBorders>
                    <w:left w:val="single" w:sz="8" w:space="0" w:color="000000"/>
                    <w:bottom w:val="single" w:sz="8" w:space="0" w:color="000000"/>
                  </w:tcBorders>
                  <w:tcMar>
                    <w:top w:w="40" w:type="dxa"/>
                    <w:left w:w="40" w:type="dxa"/>
                    <w:bottom w:w="40" w:type="dxa"/>
                    <w:right w:w="40" w:type="dxa"/>
                  </w:tcMar>
                  <w:vAlign w:val="center"/>
                </w:tcPr>
                <w:p w:rsidR="00000000" w:rsidRDefault="000D2E85"/>
              </w:tc>
              <w:tc>
                <w:tcPr>
                  <w:tcW w:w="2505" w:type="dxa"/>
                  <w:gridSpan w:val="3"/>
                  <w:tcBorders>
                    <w:bottom w:val="single" w:sz="8" w:space="0" w:color="000000"/>
                  </w:tcBorders>
                  <w:tcMar>
                    <w:top w:w="40" w:type="dxa"/>
                    <w:left w:w="40" w:type="dxa"/>
                    <w:bottom w:w="40" w:type="dxa"/>
                    <w:right w:w="40" w:type="dxa"/>
                  </w:tcMar>
                  <w:vAlign w:val="center"/>
                </w:tcPr>
                <w:p w:rsidR="00000000" w:rsidRDefault="000D2E85"/>
              </w:tc>
              <w:tc>
                <w:tcPr>
                  <w:tcW w:w="1249" w:type="dxa"/>
                  <w:tcBorders>
                    <w:bottom w:val="single" w:sz="8" w:space="0" w:color="000000"/>
                  </w:tcBorders>
                  <w:tcMar>
                    <w:top w:w="40" w:type="dxa"/>
                    <w:left w:w="40" w:type="dxa"/>
                    <w:bottom w:w="40" w:type="dxa"/>
                    <w:right w:w="40" w:type="dxa"/>
                  </w:tcMar>
                  <w:vAlign w:val="center"/>
                </w:tcPr>
                <w:p w:rsidR="00000000" w:rsidRDefault="000D2E85"/>
              </w:tc>
              <w:tc>
                <w:tcPr>
                  <w:tcW w:w="4225" w:type="dxa"/>
                  <w:tcBorders>
                    <w:bottom w:val="single" w:sz="8" w:space="0" w:color="000000"/>
                  </w:tcBorders>
                  <w:tcMar>
                    <w:top w:w="40" w:type="dxa"/>
                    <w:left w:w="40" w:type="dxa"/>
                    <w:bottom w:w="40" w:type="dxa"/>
                    <w:right w:w="40" w:type="dxa"/>
                  </w:tcMar>
                  <w:vAlign w:val="center"/>
                </w:tcPr>
                <w:p w:rsidR="00000000" w:rsidRDefault="000D2E85"/>
              </w:tc>
              <w:tc>
                <w:tcPr>
                  <w:tcW w:w="285" w:type="dxa"/>
                  <w:tcBorders>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16"/>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Le compte bancaire va-t-il ê</w:t>
                  </w:r>
                  <w:r>
                    <w:rPr>
                      <w:rFonts w:ascii="Arial" w:eastAsia="Arial" w:hAnsi="Arial"/>
                      <w:color w:val="000000"/>
                      <w:sz w:val="22"/>
                    </w:rPr>
                    <w:t>tre utilisé exclusivement par ce programme? True</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Qui est l'auditeur du compte? Auditeurs Associés en Afrique - KPMG CI</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0D2E85">
                  <w:r>
                    <w:rPr>
                      <w:rFonts w:ascii="Arial" w:eastAsia="Arial" w:hAnsi="Arial"/>
                      <w:color w:val="000000"/>
                      <w:sz w:val="22"/>
                    </w:rPr>
                    <w:t>Signature du membre du gouvernement ordonnateur</w:t>
                  </w:r>
                </w:p>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79"/>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3584"/>
              <w:gridCol w:w="3584"/>
              <w:gridCol w:w="3583"/>
            </w:tblGrid>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sz w:val="22"/>
                    </w:rPr>
                    <w:t>Timbre</w:t>
                  </w:r>
                </w:p>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Nom:</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Professeur Thérèse A. N'DRI-YOMAN</w:t>
                  </w:r>
                </w:p>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Fonction:</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Min</w:t>
                  </w:r>
                  <w:r>
                    <w:rPr>
                      <w:rFonts w:ascii="Arial" w:eastAsia="Arial" w:hAnsi="Arial"/>
                      <w:color w:val="000000"/>
                      <w:sz w:val="18"/>
                    </w:rPr>
                    <w:t>istre de la Santé et de la Lutte contre le SIDA</w:t>
                  </w:r>
                </w:p>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590" w:type="dxa"/>
                  <w:tcBorders>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sz w:val="18"/>
                    </w:rPr>
                    <w:t>30/08/2012</w:t>
                  </w:r>
                </w:p>
              </w:tc>
              <w:tc>
                <w:tcPr>
                  <w:tcW w:w="3590" w:type="dxa"/>
                  <w:tcBorders>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80"/>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c>
          <w:tcPr>
            <w:tcW w:w="7086" w:type="dxa"/>
            <w:gridSpan w:val="2"/>
          </w:tcPr>
          <w:tbl>
            <w:tblPr>
              <w:tblW w:w="0" w:type="auto"/>
              <w:tblCellMar>
                <w:left w:w="0" w:type="dxa"/>
                <w:right w:w="0" w:type="dxa"/>
              </w:tblCellMar>
              <w:tblLook w:val="0000" w:firstRow="0" w:lastRow="0" w:firstColumn="0" w:lastColumn="0" w:noHBand="0" w:noVBand="0"/>
            </w:tblPr>
            <w:tblGrid>
              <w:gridCol w:w="1"/>
              <w:gridCol w:w="1828"/>
              <w:gridCol w:w="5237"/>
            </w:tblGrid>
            <w:tr w:rsidR="00000000">
              <w:tblPrEx>
                <w:tblCellMar>
                  <w:top w:w="0" w:type="dxa"/>
                  <w:left w:w="0" w:type="dxa"/>
                  <w:bottom w:w="0" w:type="dxa"/>
                  <w:right w:w="0" w:type="dxa"/>
                </w:tblCellMar>
              </w:tblPrEx>
              <w:trPr>
                <w:trHeight w:val="260"/>
              </w:trPr>
              <w:tc>
                <w:tcPr>
                  <w:tcW w:w="7086"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ÉTABLISSEMENT BANCAIRE</w:t>
                  </w:r>
                </w:p>
              </w:tc>
              <w:tc>
                <w:tcPr>
                  <w:gridSpan w:val="2"/>
                  <w:hMerge/>
                  <w:tcBorders>
                    <w:top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7086"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2"/>
                  <w:hMerge/>
                  <w:tcBorders>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 de la banque: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BCEAO-ABIDJAN</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Nom de la branche: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Agence Principale</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Adresse: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Avenue DELAFOSSE, 01 BP 1769 Abidjan 01</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Ville, pay</w:t>
                  </w:r>
                  <w:r>
                    <w:rPr>
                      <w:rFonts w:ascii="Arial" w:eastAsia="Arial" w:hAnsi="Arial"/>
                      <w:b/>
                      <w:color w:val="000000"/>
                      <w:sz w:val="18"/>
                    </w:rPr>
                    <w:t>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Abidjan, Côte d'Ivoire</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Code Swift:</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BCAOSNDP</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Code guichet:</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CI000 01001 000000060070 63</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 ABA:</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 téléphone: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(00225) 20 20 84 00/ 20 20 85 00 / 20 20 86 00</w:t>
                  </w:r>
                </w:p>
              </w:tc>
            </w:tr>
            <w:tr w:rsidR="00000000">
              <w:tblPrEx>
                <w:tblCellMar>
                  <w:top w:w="0" w:type="dxa"/>
                  <w:left w:w="0" w:type="dxa"/>
                  <w:bottom w:w="0" w:type="dxa"/>
                  <w:right w:w="0" w:type="dxa"/>
                </w:tblCellMar>
              </w:tblPrEx>
              <w:trPr>
                <w:trHeight w:val="260"/>
              </w:trPr>
              <w:tc>
                <w:tcPr>
                  <w:tcW w:w="18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sz w:val="18"/>
                    </w:rPr>
                    <w:t>N° fax:</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tcW w:w="3685" w:type="dxa"/>
          </w:tcPr>
          <w:tbl>
            <w:tblPr>
              <w:tblW w:w="0" w:type="auto"/>
              <w:tblCellMar>
                <w:left w:w="0" w:type="dxa"/>
                <w:right w:w="0" w:type="dxa"/>
              </w:tblCellMar>
              <w:tblLook w:val="0000" w:firstRow="0" w:lastRow="0" w:firstColumn="0" w:lastColumn="0" w:noHBand="0" w:noVBand="0"/>
            </w:tblPr>
            <w:tblGrid>
              <w:gridCol w:w="1"/>
              <w:gridCol w:w="234"/>
              <w:gridCol w:w="3430"/>
            </w:tblGrid>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BANQUE CORRESPONDANTE</w:t>
                  </w:r>
                </w:p>
              </w:tc>
              <w:tc>
                <w:tcPr>
                  <w:gridSpan w:val="2"/>
                  <w:hMerge/>
                  <w:tcBorders>
                    <w:top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3684"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0D2E85">
                  <w:pPr>
                    <w:jc w:val="center"/>
                  </w:pPr>
                  <w:r>
                    <w:rPr>
                      <w:rFonts w:ascii="Arial" w:eastAsia="Arial" w:hAnsi="Arial"/>
                      <w:b/>
                      <w:color w:val="000000"/>
                    </w:rPr>
                    <w:t>(aux États-Unis)</w:t>
                  </w:r>
                </w:p>
              </w:tc>
              <w:tc>
                <w:tcPr>
                  <w:gridSpan w:val="2"/>
                  <w:hMerge/>
                  <w:tcBorders>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Federal Reserve Bank of New York</w:t>
                  </w:r>
                </w:p>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33 Liberty Street (USA)</w:t>
                  </w:r>
                </w:p>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New York</w:t>
                  </w:r>
                </w:p>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FRNYUS33</w:t>
                  </w:r>
                </w:p>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N° compte 021085457</w:t>
                  </w:r>
                </w:p>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23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(00212) 720 63 31</w:t>
                  </w:r>
                </w:p>
              </w:tc>
            </w:tr>
          </w:tbl>
          <w:p w:rsidR="00000000" w:rsidRDefault="000D2E85"/>
        </w:tc>
      </w:tr>
      <w:tr w:rsidR="00000000">
        <w:tblPrEx>
          <w:tblCellMar>
            <w:top w:w="0" w:type="dxa"/>
            <w:left w:w="0" w:type="dxa"/>
            <w:bottom w:w="0" w:type="dxa"/>
            <w:right w:w="0" w:type="dxa"/>
          </w:tblCellMar>
        </w:tblPrEx>
        <w:trPr>
          <w:trHeight w:val="164"/>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
              <w:gridCol w:w="1"/>
              <w:gridCol w:w="1698"/>
              <w:gridCol w:w="1"/>
              <w:gridCol w:w="2266"/>
              <w:gridCol w:w="6803"/>
            </w:tblGrid>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vAlign w:val="center"/>
                </w:tcPr>
                <w:p w:rsidR="00000000" w:rsidRDefault="000D2E85">
                  <w:r>
                    <w:rPr>
                      <w:rFonts w:ascii="Arial" w:eastAsia="Arial" w:hAnsi="Arial"/>
                      <w:color w:val="000000"/>
                      <w:sz w:val="22"/>
                    </w:rPr>
                    <w:t>Je certifie que le compte N° ACCD P/C (REGIE FONDS GAVI N° CI650 01001 001001120010 54) est détenu par Mme LOAN Rachel auprès du présent établissement banc</w:t>
                  </w:r>
                  <w:r>
                    <w:rPr>
                      <w:rFonts w:ascii="Arial" w:eastAsia="Arial" w:hAnsi="Arial"/>
                      <w:color w:val="000000"/>
                      <w:sz w:val="22"/>
                    </w:rPr>
                    <w:t>aire</w:t>
                  </w:r>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vAlign w:val="center"/>
                </w:tcPr>
                <w:p w:rsidR="00000000" w:rsidRDefault="000D2E85">
                  <w:r>
                    <w:rPr>
                      <w:rFonts w:ascii="Arial" w:eastAsia="Arial" w:hAnsi="Arial"/>
                      <w:color w:val="000000"/>
                      <w:sz w:val="22"/>
                    </w:rPr>
                    <w:t>Le compte doit être signé conjointement par au moins 2 (nombre de signataires) des signataires autorisés suivants:</w:t>
                  </w:r>
                </w:p>
              </w:tc>
              <w:tc>
                <w:tcPr>
                  <w:hMerge/>
                  <w:tcMar>
                    <w:top w:w="40" w:type="dxa"/>
                    <w:left w:w="40" w:type="dxa"/>
                    <w:bottom w:w="40" w:type="dxa"/>
                    <w:right w:w="40" w:type="dxa"/>
                  </w:tcMar>
                  <w:vAlign w:val="center"/>
                </w:tcPr>
                <w:p w:rsidR="00000000" w:rsidRDefault="000D2E85"/>
              </w:tc>
              <w:tc>
                <w:tcPr>
                  <w:gridSpan w:val="4"/>
                  <w:hMerge/>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700"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1</w:t>
                  </w:r>
                </w:p>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ALI COULIBALY</w:t>
                  </w:r>
                </w:p>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Agent Comptable Central du Trésor</w:t>
                  </w:r>
                </w:p>
              </w:tc>
            </w:tr>
            <w:tr w:rsidR="00000000">
              <w:tblPrEx>
                <w:tblCellMar>
                  <w:top w:w="0" w:type="dxa"/>
                  <w:left w:w="0" w:type="dxa"/>
                  <w:bottom w:w="0" w:type="dxa"/>
                  <w:right w:w="0" w:type="dxa"/>
                </w:tblCellMar>
              </w:tblPrEx>
              <w:trPr>
                <w:trHeight w:val="260"/>
              </w:trPr>
              <w:tc>
                <w:tcPr>
                  <w:tcW w:w="1700"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2</w:t>
                  </w:r>
                </w:p>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Dr COULIBALY Adama</w:t>
                  </w:r>
                </w:p>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Medecin au Burea</w:t>
                  </w:r>
                  <w:r>
                    <w:rPr>
                      <w:rFonts w:ascii="Arial" w:eastAsia="Arial" w:hAnsi="Arial"/>
                      <w:color w:val="000000"/>
                    </w:rPr>
                    <w:t>u de l'OMS d'ABIDJAN</w:t>
                  </w:r>
                </w:p>
              </w:tc>
            </w:tr>
            <w:tr w:rsidR="00000000">
              <w:tblPrEx>
                <w:tblCellMar>
                  <w:top w:w="0" w:type="dxa"/>
                  <w:left w:w="0" w:type="dxa"/>
                  <w:bottom w:w="0" w:type="dxa"/>
                  <w:right w:w="0" w:type="dxa"/>
                </w:tblCellMar>
              </w:tblPrEx>
              <w:trPr>
                <w:trHeight w:val="260"/>
              </w:trPr>
              <w:tc>
                <w:tcPr>
                  <w:tcW w:w="1700"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0D2E85"/>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tc>
              <w:tc>
                <w:tcPr>
                  <w:gridSpan w:val="2"/>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3</w:t>
                  </w:r>
                </w:p>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700"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tcW w:w="2267"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195"/>
        </w:trPr>
        <w:tc>
          <w:tcPr>
            <w:tcW w:w="7086" w:type="dxa"/>
            <w:gridSpan w:val="2"/>
          </w:tcPr>
          <w:p w:rsidR="00000000" w:rsidRDefault="000D2E85">
            <w:pPr>
              <w:pStyle w:val="EmptyLayoutCell"/>
            </w:pPr>
          </w:p>
        </w:tc>
        <w:tc>
          <w:tcPr>
            <w:tcW w:w="3685" w:type="dxa"/>
          </w:tcPr>
          <w:p w:rsidR="00000000" w:rsidRDefault="000D2E8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
              <w:gridCol w:w="645"/>
              <w:gridCol w:w="10105"/>
            </w:tblGrid>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Nom du représentant de la banque ordonnateur</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color w:val="000000"/>
                    </w:rPr>
                    <w:t>YAO Golly (Fondé de Pouvoirs intérimaire)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Signature:</w:t>
                  </w:r>
                </w:p>
              </w:tc>
              <w:tc>
                <w:tcPr>
                  <w:gridSpan w:val="2"/>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646"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pPr>
                    <w:jc w:val="right"/>
                  </w:pPr>
                  <w:r>
                    <w:rPr>
                      <w:rFonts w:ascii="Arial" w:eastAsia="Arial" w:hAnsi="Arial"/>
                      <w:color w:val="000000"/>
                    </w:rPr>
                    <w:t>31/08/2012 00:00:00</w:t>
                  </w:r>
                </w:p>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r>
                    <w:rPr>
                      <w:rFonts w:ascii="Arial" w:eastAsia="Arial" w:hAnsi="Arial"/>
                      <w:b/>
                      <w:color w:val="000000"/>
                    </w:rPr>
                    <w:t>Timbre:</w:t>
                  </w:r>
                </w:p>
              </w:tc>
              <w:tc>
                <w:tcPr>
                  <w:gridSpan w:val="2"/>
                  <w:h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right w:val="single" w:sz="8" w:space="0" w:color="000000"/>
                  </w:tcBorders>
                  <w:tcMar>
                    <w:top w:w="40" w:type="dxa"/>
                    <w:left w:w="40" w:type="dxa"/>
                    <w:bottom w:w="40" w:type="dxa"/>
                    <w:right w:w="40" w:type="dxa"/>
                  </w:tcMar>
                  <w:vAlign w:val="center"/>
                </w:tcPr>
                <w:p w:rsidR="00000000" w:rsidRDefault="000D2E85"/>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c>
                <w:tcPr>
                  <w:gridSpan w:val="2"/>
                  <w:h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0D2E85"/>
              </w:tc>
            </w:tr>
          </w:tbl>
          <w:p w:rsidR="00000000" w:rsidRDefault="000D2E85"/>
        </w:tc>
        <w:tc>
          <w:tcPr>
            <w:gridSpan w:val="2"/>
            <w:hMerge/>
          </w:tcPr>
          <w:p w:rsidR="00000000" w:rsidRDefault="000D2E85">
            <w:pPr>
              <w:pStyle w:val="EmptyLayoutCell"/>
            </w:pPr>
          </w:p>
        </w:tc>
      </w:tr>
      <w:tr w:rsidR="00000000">
        <w:tblPrEx>
          <w:tblCellMar>
            <w:top w:w="0" w:type="dxa"/>
            <w:left w:w="0" w:type="dxa"/>
            <w:bottom w:w="0" w:type="dxa"/>
            <w:right w:w="0" w:type="dxa"/>
          </w:tblCellMar>
        </w:tblPrEx>
        <w:trPr>
          <w:trHeight w:val="212"/>
        </w:trPr>
        <w:tc>
          <w:tcPr>
            <w:tcW w:w="7086" w:type="dxa"/>
            <w:gridSpan w:val="2"/>
          </w:tcPr>
          <w:p w:rsidR="00000000" w:rsidRDefault="000D2E85">
            <w:pPr>
              <w:pStyle w:val="EmptyLayoutCell"/>
            </w:pPr>
          </w:p>
        </w:tc>
        <w:tc>
          <w:tcPr>
            <w:tcW w:w="3685" w:type="dxa"/>
          </w:tcPr>
          <w:p w:rsidR="00000000" w:rsidRDefault="000D2E85">
            <w:pPr>
              <w:pStyle w:val="EmptyLayoutCell"/>
            </w:pPr>
          </w:p>
        </w:tc>
      </w:tr>
    </w:tbl>
    <w:p w:rsidR="00000000" w:rsidRDefault="000D2E85"/>
    <w:sectPr w:rsidR="00000000">
      <w:headerReference w:type="default" r:id="rId12"/>
      <w:footerReference w:type="default" r:id="rId13"/>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2E85">
      <w:r>
        <w:separator/>
      </w:r>
    </w:p>
  </w:endnote>
  <w:endnote w:type="continuationSeparator" w:id="0">
    <w:p w:rsidR="00000000" w:rsidRDefault="000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charset w:val="00"/>
    <w:family w:val="swiss"/>
    <w:pitch w:val="variable"/>
    <w:sig w:usb0="00000000" w:usb1="80000000" w:usb2="00000008" w:usb3="00000000" w:csb0="000001FF" w:csb1="00000000"/>
  </w:font>
  <w:font w:name="'times new roman','serif'">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6750"/>
      <w:gridCol w:w="2646"/>
      <w:gridCol w:w="1151"/>
      <w:gridCol w:w="222"/>
    </w:tblGrid>
    <w:tr w:rsidR="00000000">
      <w:tblPrEx>
        <w:tblCellMar>
          <w:top w:w="0" w:type="dxa"/>
          <w:left w:w="0" w:type="dxa"/>
          <w:bottom w:w="0" w:type="dxa"/>
          <w:right w:w="0" w:type="dxa"/>
        </w:tblCellMar>
      </w:tblPrEx>
      <w:tc>
        <w:tcPr>
          <w:tcW w:w="6750" w:type="dxa"/>
        </w:tcPr>
        <w:p w:rsidR="00000000" w:rsidRDefault="000D2E85">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000000">
            <w:tblPrEx>
              <w:tblCellMar>
                <w:top w:w="0" w:type="dxa"/>
                <w:left w:w="0" w:type="dxa"/>
                <w:bottom w:w="0" w:type="dxa"/>
                <w:right w:w="0" w:type="dxa"/>
              </w:tblCellMar>
            </w:tblPrEx>
            <w:trPr>
              <w:trHeight w:val="260"/>
            </w:trPr>
            <w:tc>
              <w:tcPr>
                <w:tcW w:w="2646" w:type="dxa"/>
                <w:tcMar>
                  <w:top w:w="40" w:type="dxa"/>
                  <w:left w:w="40" w:type="dxa"/>
                  <w:bottom w:w="40" w:type="dxa"/>
                  <w:right w:w="40" w:type="dxa"/>
                </w:tcMar>
                <w:vAlign w:val="center"/>
              </w:tcPr>
              <w:p w:rsidR="00000000" w:rsidRDefault="000D2E85">
                <w:pPr>
                  <w:jc w:val="right"/>
                </w:pPr>
                <w:r>
                  <w:rPr>
                    <w:rFonts w:ascii="Arial" w:eastAsia="Arial" w:hAnsi="Arial"/>
                    <w:color w:val="000000"/>
                    <w:sz w:val="18"/>
                  </w:rPr>
                  <w:t>Page</w:t>
                </w:r>
              </w:p>
            </w:tc>
          </w:tr>
        </w:tbl>
        <w:p w:rsidR="00000000" w:rsidRDefault="000D2E85"/>
      </w:tc>
      <w:tc>
        <w:tcPr>
          <w:tcW w:w="1151" w:type="dxa"/>
        </w:tcPr>
        <w:tbl>
          <w:tblPr>
            <w:tblW w:w="0" w:type="auto"/>
            <w:tblCellMar>
              <w:left w:w="0" w:type="dxa"/>
              <w:right w:w="0" w:type="dxa"/>
            </w:tblCellMar>
            <w:tblLook w:val="0000" w:firstRow="0" w:lastRow="0" w:firstColumn="0" w:lastColumn="0" w:noHBand="0" w:noVBand="0"/>
          </w:tblPr>
          <w:tblGrid>
            <w:gridCol w:w="1151"/>
          </w:tblGrid>
          <w:tr w:rsidR="00000000">
            <w:tblPrEx>
              <w:tblCellMar>
                <w:top w:w="0" w:type="dxa"/>
                <w:left w:w="0" w:type="dxa"/>
                <w:bottom w:w="0" w:type="dxa"/>
                <w:right w:w="0" w:type="dxa"/>
              </w:tblCellMar>
            </w:tblPrEx>
            <w:trPr>
              <w:trHeight w:val="260"/>
            </w:trPr>
            <w:tc>
              <w:tcPr>
                <w:tcW w:w="1151" w:type="dxa"/>
                <w:tcMar>
                  <w:top w:w="40" w:type="dxa"/>
                  <w:left w:w="40" w:type="dxa"/>
                  <w:bottom w:w="40" w:type="dxa"/>
                  <w:right w:w="40" w:type="dxa"/>
                </w:tcMar>
                <w:vAlign w:val="center"/>
              </w:tcPr>
              <w:p w:rsidR="00000000" w:rsidRDefault="000D2E85">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Pr>
                    <w:rFonts w:ascii="Arial" w:eastAsia="Arial" w:hAnsi="Arial"/>
                    <w:b/>
                    <w:noProof/>
                    <w:color w:val="000000"/>
                    <w:sz w:val="18"/>
                  </w:rPr>
                  <w:t>1</w:t>
                </w:r>
                <w:r>
                  <w:rPr>
                    <w:rFonts w:ascii="Arial" w:eastAsia="Arial" w:hAnsi="Arial"/>
                    <w:b/>
                    <w:color w:val="000000"/>
                    <w:sz w:val="18"/>
                  </w:rPr>
                  <w:fldChar w:fldCharType="end"/>
                </w:r>
                <w:r>
                  <w:rPr>
                    <w:rFonts w:ascii="Arial" w:eastAsia="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Pr>
                    <w:rFonts w:ascii="Arial" w:eastAsia="Arial" w:hAnsi="Arial"/>
                    <w:b/>
                    <w:noProof/>
                    <w:color w:val="000000"/>
                    <w:sz w:val="18"/>
                  </w:rPr>
                  <w:t>6</w:t>
                </w:r>
                <w:r>
                  <w:rPr>
                    <w:rFonts w:ascii="Arial" w:eastAsia="Arial" w:hAnsi="Arial"/>
                    <w:b/>
                    <w:color w:val="000000"/>
                    <w:sz w:val="18"/>
                  </w:rPr>
                  <w:fldChar w:fldCharType="end"/>
                </w:r>
              </w:p>
            </w:tc>
          </w:tr>
        </w:tbl>
        <w:p w:rsidR="00000000" w:rsidRDefault="000D2E85"/>
      </w:tc>
      <w:tc>
        <w:tcPr>
          <w:tcW w:w="222" w:type="dxa"/>
        </w:tcPr>
        <w:p w:rsidR="00000000" w:rsidRDefault="000D2E85">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2E85">
      <w:r>
        <w:separator/>
      </w:r>
    </w:p>
  </w:footnote>
  <w:footnote w:type="continuationSeparator" w:id="0">
    <w:p w:rsidR="00000000" w:rsidRDefault="000D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5"/>
    <w:rsid w:val="000D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immunization_delivery/systems_policy/logistics/en/index6.html"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13275</Words>
  <Characters>75673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Gavi Alliance</Company>
  <LinksUpToDate>false</LinksUpToDate>
  <CharactersWithSpaces>88771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creator>Gavi Alliance</dc:creator>
  <cp:lastModifiedBy>Gavi Alliance</cp:lastModifiedBy>
  <cp:revision>2</cp:revision>
  <dcterms:created xsi:type="dcterms:W3CDTF">2013-02-01T09:02:00Z</dcterms:created>
  <dcterms:modified xsi:type="dcterms:W3CDTF">2013-02-01T09:02:00Z</dcterms:modified>
</cp:coreProperties>
</file>