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1F" w:rsidRDefault="00856F1F" w:rsidP="00856F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Approbation avec recommandations pour le soutien au</w:t>
      </w:r>
    </w:p>
    <w:p w:rsidR="00264C45" w:rsidRDefault="00856F1F" w:rsidP="00856F1F">
      <w:pPr>
        <w:jc w:val="center"/>
      </w:pPr>
      <w:r>
        <w:rPr>
          <w:rFonts w:ascii="Arial" w:hAnsi="Arial" w:cs="Arial"/>
          <w:b/>
          <w:bCs/>
          <w:i/>
          <w:iCs/>
          <w:sz w:val="24"/>
          <w:szCs w:val="24"/>
        </w:rPr>
        <w:t>Vaccin Antipoliomyélitique Inactivé (VPI)</w:t>
      </w:r>
    </w:p>
    <w:p w:rsidR="00264C45" w:rsidRDefault="00264C45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3C33E0" w:rsidTr="003C33E0">
        <w:tc>
          <w:tcPr>
            <w:tcW w:w="4531" w:type="dxa"/>
          </w:tcPr>
          <w:p w:rsidR="003C33E0" w:rsidRPr="00F030C5" w:rsidRDefault="003C33E0" w:rsidP="003C33E0">
            <w:pPr>
              <w:autoSpaceDE w:val="0"/>
              <w:autoSpaceDN w:val="0"/>
              <w:adjustRightInd w:val="0"/>
              <w:rPr>
                <w:b/>
              </w:rPr>
            </w:pPr>
            <w:r w:rsidRPr="00F030C5">
              <w:rPr>
                <w:rFonts w:ascii="Arial" w:hAnsi="Arial" w:cs="Arial"/>
                <w:b/>
                <w:color w:val="141414"/>
              </w:rPr>
              <w:t>Rubriques</w:t>
            </w:r>
          </w:p>
        </w:tc>
        <w:tc>
          <w:tcPr>
            <w:tcW w:w="5103" w:type="dxa"/>
          </w:tcPr>
          <w:p w:rsidR="003C33E0" w:rsidRPr="00F030C5" w:rsidRDefault="003C33E0" w:rsidP="003C33E0">
            <w:pPr>
              <w:jc w:val="both"/>
              <w:rPr>
                <w:b/>
              </w:rPr>
            </w:pPr>
            <w:r w:rsidRPr="00F030C5">
              <w:rPr>
                <w:rFonts w:ascii="Arial" w:hAnsi="Arial" w:cs="Arial"/>
                <w:b/>
                <w:color w:val="141414"/>
              </w:rPr>
              <w:t>Eléments de réponse</w:t>
            </w:r>
          </w:p>
        </w:tc>
      </w:tr>
      <w:tr w:rsidR="00F030C5" w:rsidTr="003C33E0">
        <w:tc>
          <w:tcPr>
            <w:tcW w:w="4531" w:type="dxa"/>
          </w:tcPr>
          <w:p w:rsidR="00F030C5" w:rsidRDefault="00F030C5" w:rsidP="00F030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21212"/>
              </w:rPr>
            </w:pPr>
            <w:r>
              <w:rPr>
                <w:rFonts w:ascii="Arial" w:hAnsi="Arial" w:cs="Arial"/>
                <w:color w:val="121212"/>
              </w:rPr>
              <w:t>1) Clarif</w:t>
            </w:r>
            <w:r>
              <w:rPr>
                <w:rFonts w:ascii="Arial" w:hAnsi="Arial" w:cs="Arial"/>
                <w:color w:val="010101"/>
              </w:rPr>
              <w:t>i</w:t>
            </w:r>
            <w:r>
              <w:rPr>
                <w:rFonts w:ascii="Arial" w:hAnsi="Arial" w:cs="Arial"/>
                <w:color w:val="121212"/>
              </w:rPr>
              <w:t>er le site d'injection du VPI et</w:t>
            </w:r>
          </w:p>
          <w:p w:rsidR="00F030C5" w:rsidRDefault="00F030C5" w:rsidP="00F030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21212"/>
              </w:rPr>
            </w:pPr>
            <w:r>
              <w:rPr>
                <w:rFonts w:ascii="Arial" w:hAnsi="Arial" w:cs="Arial"/>
                <w:color w:val="121212"/>
              </w:rPr>
              <w:t>s</w:t>
            </w:r>
            <w:r>
              <w:rPr>
                <w:rFonts w:ascii="Arial" w:hAnsi="Arial" w:cs="Arial"/>
                <w:color w:val="272727"/>
              </w:rPr>
              <w:t>'</w:t>
            </w:r>
            <w:r>
              <w:rPr>
                <w:rFonts w:ascii="Arial" w:hAnsi="Arial" w:cs="Arial"/>
                <w:color w:val="121212"/>
              </w:rPr>
              <w:t>assurer qu</w:t>
            </w:r>
            <w:r>
              <w:rPr>
                <w:rFonts w:ascii="Arial" w:hAnsi="Arial" w:cs="Arial"/>
                <w:color w:val="272727"/>
              </w:rPr>
              <w:t>'</w:t>
            </w:r>
            <w:r>
              <w:rPr>
                <w:rFonts w:ascii="Arial" w:hAnsi="Arial" w:cs="Arial"/>
                <w:color w:val="121212"/>
              </w:rPr>
              <w:t>il est conforme aux</w:t>
            </w:r>
          </w:p>
          <w:p w:rsidR="00F030C5" w:rsidRDefault="00F030C5" w:rsidP="00F030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21212"/>
              </w:rPr>
            </w:pPr>
            <w:r>
              <w:rPr>
                <w:rFonts w:ascii="Arial" w:hAnsi="Arial" w:cs="Arial"/>
                <w:color w:val="121212"/>
              </w:rPr>
              <w:t>recommandati</w:t>
            </w:r>
            <w:r>
              <w:rPr>
                <w:rFonts w:ascii="Arial" w:hAnsi="Arial" w:cs="Arial"/>
                <w:color w:val="010101"/>
              </w:rPr>
              <w:t>o</w:t>
            </w:r>
            <w:r>
              <w:rPr>
                <w:rFonts w:ascii="Arial" w:hAnsi="Arial" w:cs="Arial"/>
                <w:color w:val="121212"/>
              </w:rPr>
              <w:t>ns du groupe SAGE de l</w:t>
            </w:r>
            <w:r>
              <w:rPr>
                <w:rFonts w:ascii="Arial" w:hAnsi="Arial" w:cs="Arial"/>
                <w:color w:val="272727"/>
              </w:rPr>
              <w:t>'</w:t>
            </w:r>
            <w:r>
              <w:rPr>
                <w:rFonts w:ascii="Arial" w:hAnsi="Arial" w:cs="Arial"/>
                <w:color w:val="121212"/>
              </w:rPr>
              <w:t>OMS (dans une cu</w:t>
            </w:r>
            <w:r>
              <w:rPr>
                <w:rFonts w:ascii="Arial" w:hAnsi="Arial" w:cs="Arial"/>
                <w:color w:val="010101"/>
              </w:rPr>
              <w:t>i</w:t>
            </w:r>
            <w:r>
              <w:rPr>
                <w:rFonts w:ascii="Arial" w:hAnsi="Arial" w:cs="Arial"/>
                <w:color w:val="121212"/>
              </w:rPr>
              <w:t>sse différente du vaccin pentavalent)</w:t>
            </w:r>
            <w:r>
              <w:rPr>
                <w:rFonts w:ascii="Arial" w:hAnsi="Arial" w:cs="Arial"/>
                <w:color w:val="010101"/>
              </w:rPr>
              <w:t>.</w:t>
            </w:r>
          </w:p>
        </w:tc>
        <w:tc>
          <w:tcPr>
            <w:tcW w:w="5103" w:type="dxa"/>
          </w:tcPr>
          <w:p w:rsidR="00F030C5" w:rsidRPr="0022051A" w:rsidRDefault="00F030C5" w:rsidP="00F030C5">
            <w:pPr>
              <w:jc w:val="both"/>
              <w:rPr>
                <w:rFonts w:ascii="Arial" w:hAnsi="Arial" w:cs="Arial"/>
                <w:color w:val="121212"/>
              </w:rPr>
            </w:pPr>
            <w:r w:rsidRPr="0022051A">
              <w:rPr>
                <w:rFonts w:ascii="Arial" w:hAnsi="Arial" w:cs="Arial"/>
                <w:color w:val="121212"/>
              </w:rPr>
              <w:t>Le VPI sera administré au tiers moyen externe d’une cuisse autre que la cuisse qui a reçu le vaccin Pentavalent.</w:t>
            </w:r>
          </w:p>
          <w:p w:rsidR="00F030C5" w:rsidRPr="0022051A" w:rsidRDefault="00F030C5" w:rsidP="0022051A">
            <w:pPr>
              <w:jc w:val="both"/>
              <w:rPr>
                <w:rFonts w:ascii="Arial" w:hAnsi="Arial" w:cs="Arial"/>
                <w:color w:val="121212"/>
              </w:rPr>
            </w:pPr>
          </w:p>
        </w:tc>
      </w:tr>
      <w:tr w:rsidR="00856F1F" w:rsidTr="003C33E0">
        <w:tc>
          <w:tcPr>
            <w:tcW w:w="4531" w:type="dxa"/>
          </w:tcPr>
          <w:p w:rsidR="00856F1F" w:rsidRDefault="00856F1F" w:rsidP="0022051A">
            <w:pPr>
              <w:autoSpaceDE w:val="0"/>
              <w:autoSpaceDN w:val="0"/>
              <w:adjustRightInd w:val="0"/>
              <w:rPr>
                <w:rFonts w:ascii="Arial" w:hAnsi="Arial" w:cs="Arial"/>
                <w:color w:val="121212"/>
              </w:rPr>
            </w:pPr>
            <w:r>
              <w:rPr>
                <w:rFonts w:ascii="Arial" w:hAnsi="Arial" w:cs="Arial"/>
                <w:color w:val="121212"/>
              </w:rPr>
              <w:t>2) Décrire le rô</w:t>
            </w:r>
            <w:r>
              <w:rPr>
                <w:rFonts w:ascii="Arial" w:hAnsi="Arial" w:cs="Arial"/>
                <w:color w:val="010101"/>
              </w:rPr>
              <w:t>l</w:t>
            </w:r>
            <w:r>
              <w:rPr>
                <w:rFonts w:ascii="Arial" w:hAnsi="Arial" w:cs="Arial"/>
                <w:color w:val="121212"/>
              </w:rPr>
              <w:t>e des OSC et des</w:t>
            </w:r>
          </w:p>
          <w:p w:rsidR="00856F1F" w:rsidRDefault="00856F1F" w:rsidP="0022051A">
            <w:pPr>
              <w:autoSpaceDE w:val="0"/>
              <w:autoSpaceDN w:val="0"/>
              <w:adjustRightInd w:val="0"/>
              <w:rPr>
                <w:rFonts w:ascii="Arial" w:hAnsi="Arial" w:cs="Arial"/>
                <w:color w:val="121212"/>
              </w:rPr>
            </w:pPr>
            <w:r>
              <w:rPr>
                <w:rFonts w:ascii="Arial" w:hAnsi="Arial" w:cs="Arial"/>
                <w:color w:val="121212"/>
              </w:rPr>
              <w:t>communautés au cours des activités</w:t>
            </w:r>
          </w:p>
          <w:p w:rsidR="00856F1F" w:rsidRDefault="00856F1F" w:rsidP="0022051A">
            <w:r>
              <w:rPr>
                <w:rFonts w:ascii="Arial" w:hAnsi="Arial" w:cs="Arial"/>
                <w:color w:val="121212"/>
              </w:rPr>
              <w:t>d</w:t>
            </w:r>
            <w:r>
              <w:rPr>
                <w:rFonts w:ascii="Arial" w:hAnsi="Arial" w:cs="Arial"/>
                <w:color w:val="272727"/>
              </w:rPr>
              <w:t>'</w:t>
            </w:r>
            <w:r>
              <w:rPr>
                <w:rFonts w:ascii="Arial" w:hAnsi="Arial" w:cs="Arial"/>
                <w:color w:val="121212"/>
              </w:rPr>
              <w:t>introduction des nouveaux vaccins</w:t>
            </w:r>
            <w:r>
              <w:rPr>
                <w:rFonts w:ascii="Arial" w:hAnsi="Arial" w:cs="Arial"/>
                <w:color w:val="010101"/>
              </w:rPr>
              <w:t>.</w:t>
            </w:r>
          </w:p>
        </w:tc>
        <w:tc>
          <w:tcPr>
            <w:tcW w:w="5103" w:type="dxa"/>
          </w:tcPr>
          <w:p w:rsidR="00856F1F" w:rsidRDefault="00856F1F" w:rsidP="0022051A">
            <w:pPr>
              <w:jc w:val="both"/>
            </w:pPr>
            <w:r w:rsidRPr="0022051A">
              <w:rPr>
                <w:rFonts w:ascii="Arial" w:hAnsi="Arial" w:cs="Arial"/>
                <w:color w:val="121212"/>
              </w:rPr>
              <w:t>C’est des rôles d’information et de sensibilisation des familles, des ménages, des institutions et de l’individu. Cette sensibilisation va concerner essentiellement les avantages de l’introduction du VPI, l’adhésion des populations</w:t>
            </w:r>
            <w:r>
              <w:t xml:space="preserve"> </w:t>
            </w:r>
          </w:p>
        </w:tc>
      </w:tr>
      <w:tr w:rsidR="00856F1F" w:rsidTr="003C33E0">
        <w:tc>
          <w:tcPr>
            <w:tcW w:w="4531" w:type="dxa"/>
          </w:tcPr>
          <w:p w:rsidR="00856F1F" w:rsidRDefault="00856F1F" w:rsidP="00856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21212"/>
              </w:rPr>
            </w:pPr>
            <w:r>
              <w:rPr>
                <w:rFonts w:ascii="Arial" w:hAnsi="Arial" w:cs="Arial"/>
                <w:color w:val="121212"/>
              </w:rPr>
              <w:t>3) La d</w:t>
            </w:r>
            <w:r>
              <w:rPr>
                <w:rFonts w:ascii="Arial" w:hAnsi="Arial" w:cs="Arial"/>
                <w:color w:val="010101"/>
              </w:rPr>
              <w:t>e</w:t>
            </w:r>
            <w:r>
              <w:rPr>
                <w:rFonts w:ascii="Arial" w:hAnsi="Arial" w:cs="Arial"/>
                <w:color w:val="121212"/>
              </w:rPr>
              <w:t>mande de soutien au RSS devrait inclure des moyens pour l</w:t>
            </w:r>
            <w:r>
              <w:rPr>
                <w:rFonts w:ascii="Arial" w:hAnsi="Arial" w:cs="Arial"/>
                <w:color w:val="272727"/>
              </w:rPr>
              <w:t>'</w:t>
            </w:r>
            <w:r>
              <w:rPr>
                <w:rFonts w:ascii="Arial" w:hAnsi="Arial" w:cs="Arial"/>
                <w:color w:val="121212"/>
              </w:rPr>
              <w:t>achat d</w:t>
            </w:r>
            <w:r>
              <w:rPr>
                <w:rFonts w:ascii="Arial" w:hAnsi="Arial" w:cs="Arial"/>
                <w:color w:val="272727"/>
              </w:rPr>
              <w:t>'</w:t>
            </w:r>
            <w:r>
              <w:rPr>
                <w:rFonts w:ascii="Arial" w:hAnsi="Arial" w:cs="Arial"/>
                <w:color w:val="121212"/>
              </w:rPr>
              <w:t>équipement de la chaîne du fro</w:t>
            </w:r>
            <w:r>
              <w:rPr>
                <w:rFonts w:ascii="Arial" w:hAnsi="Arial" w:cs="Arial"/>
                <w:color w:val="010101"/>
              </w:rPr>
              <w:t>i</w:t>
            </w:r>
            <w:r>
              <w:rPr>
                <w:rFonts w:ascii="Arial" w:hAnsi="Arial" w:cs="Arial"/>
                <w:color w:val="121212"/>
              </w:rPr>
              <w:t>d pour les magasins centraux e</w:t>
            </w:r>
            <w:r>
              <w:rPr>
                <w:rFonts w:ascii="Arial" w:hAnsi="Arial" w:cs="Arial"/>
                <w:color w:val="272727"/>
              </w:rPr>
              <w:t xml:space="preserve">t </w:t>
            </w:r>
            <w:r>
              <w:rPr>
                <w:rFonts w:ascii="Arial" w:hAnsi="Arial" w:cs="Arial"/>
                <w:color w:val="121212"/>
              </w:rPr>
              <w:t>de district af</w:t>
            </w:r>
            <w:r>
              <w:rPr>
                <w:rFonts w:ascii="Arial" w:hAnsi="Arial" w:cs="Arial"/>
                <w:color w:val="010101"/>
              </w:rPr>
              <w:t>i</w:t>
            </w:r>
            <w:r>
              <w:rPr>
                <w:rFonts w:ascii="Arial" w:hAnsi="Arial" w:cs="Arial"/>
                <w:color w:val="121212"/>
              </w:rPr>
              <w:t>n d'éviter un manque de capac</w:t>
            </w:r>
            <w:r>
              <w:rPr>
                <w:rFonts w:ascii="Arial" w:hAnsi="Arial" w:cs="Arial"/>
                <w:color w:val="010101"/>
              </w:rPr>
              <w:t>i</w:t>
            </w:r>
            <w:r>
              <w:rPr>
                <w:rFonts w:ascii="Arial" w:hAnsi="Arial" w:cs="Arial"/>
                <w:color w:val="121212"/>
              </w:rPr>
              <w:t>té de stockage</w:t>
            </w:r>
            <w:r>
              <w:rPr>
                <w:rFonts w:ascii="Arial" w:hAnsi="Arial" w:cs="Arial"/>
                <w:color w:val="272727"/>
              </w:rPr>
              <w:t xml:space="preserve">. </w:t>
            </w:r>
            <w:r>
              <w:rPr>
                <w:rFonts w:ascii="Arial" w:hAnsi="Arial" w:cs="Arial"/>
                <w:color w:val="121212"/>
              </w:rPr>
              <w:t>Une</w:t>
            </w:r>
          </w:p>
          <w:p w:rsidR="00856F1F" w:rsidRDefault="00856F1F" w:rsidP="00856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21212"/>
              </w:rPr>
            </w:pPr>
            <w:r>
              <w:rPr>
                <w:rFonts w:ascii="Arial" w:hAnsi="Arial" w:cs="Arial"/>
                <w:color w:val="121212"/>
              </w:rPr>
              <w:t>poss</w:t>
            </w:r>
            <w:r>
              <w:rPr>
                <w:rFonts w:ascii="Arial" w:hAnsi="Arial" w:cs="Arial"/>
                <w:color w:val="010101"/>
              </w:rPr>
              <w:t>i</w:t>
            </w:r>
            <w:r>
              <w:rPr>
                <w:rFonts w:ascii="Arial" w:hAnsi="Arial" w:cs="Arial"/>
                <w:color w:val="121212"/>
              </w:rPr>
              <w:t>bilité de loca</w:t>
            </w:r>
            <w:r>
              <w:rPr>
                <w:rFonts w:ascii="Arial" w:hAnsi="Arial" w:cs="Arial"/>
                <w:color w:val="272727"/>
              </w:rPr>
              <w:t>t</w:t>
            </w:r>
            <w:r>
              <w:rPr>
                <w:rFonts w:ascii="Arial" w:hAnsi="Arial" w:cs="Arial"/>
                <w:color w:val="121212"/>
              </w:rPr>
              <w:t>ion d</w:t>
            </w:r>
            <w:r>
              <w:rPr>
                <w:rFonts w:ascii="Arial" w:hAnsi="Arial" w:cs="Arial"/>
                <w:color w:val="272727"/>
              </w:rPr>
              <w:t>'</w:t>
            </w:r>
            <w:r>
              <w:rPr>
                <w:rFonts w:ascii="Arial" w:hAnsi="Arial" w:cs="Arial"/>
                <w:color w:val="121212"/>
              </w:rPr>
              <w:t>espace pourra</w:t>
            </w:r>
            <w:r>
              <w:rPr>
                <w:rFonts w:ascii="Arial" w:hAnsi="Arial" w:cs="Arial"/>
                <w:color w:val="010101"/>
              </w:rPr>
              <w:t>i</w:t>
            </w:r>
            <w:r>
              <w:rPr>
                <w:rFonts w:ascii="Arial" w:hAnsi="Arial" w:cs="Arial"/>
                <w:color w:val="121212"/>
              </w:rPr>
              <w:t>t égalem</w:t>
            </w:r>
            <w:r>
              <w:rPr>
                <w:rFonts w:ascii="Arial" w:hAnsi="Arial" w:cs="Arial"/>
                <w:color w:val="010101"/>
              </w:rPr>
              <w:t>e</w:t>
            </w:r>
            <w:r>
              <w:rPr>
                <w:rFonts w:ascii="Arial" w:hAnsi="Arial" w:cs="Arial"/>
                <w:color w:val="121212"/>
              </w:rPr>
              <w:t>nt être envisagée</w:t>
            </w:r>
            <w:r>
              <w:rPr>
                <w:rFonts w:ascii="Arial" w:hAnsi="Arial" w:cs="Arial"/>
                <w:color w:val="272727"/>
              </w:rPr>
              <w:t xml:space="preserve">, </w:t>
            </w:r>
            <w:r>
              <w:rPr>
                <w:rFonts w:ascii="Arial" w:hAnsi="Arial" w:cs="Arial"/>
                <w:color w:val="121212"/>
              </w:rPr>
              <w:t>si des normes de qualité de stockage et un suivi adéquat</w:t>
            </w:r>
          </w:p>
          <w:p w:rsidR="00856F1F" w:rsidRDefault="00856F1F" w:rsidP="00856F1F">
            <w:pPr>
              <w:jc w:val="both"/>
            </w:pPr>
            <w:r>
              <w:rPr>
                <w:rFonts w:ascii="Arial" w:hAnsi="Arial" w:cs="Arial"/>
                <w:color w:val="121212"/>
              </w:rPr>
              <w:t>peuvent être mis en place</w:t>
            </w:r>
            <w:r>
              <w:rPr>
                <w:rFonts w:ascii="Arial" w:hAnsi="Arial" w:cs="Arial"/>
                <w:color w:val="272727"/>
              </w:rPr>
              <w:t>.</w:t>
            </w:r>
          </w:p>
        </w:tc>
        <w:tc>
          <w:tcPr>
            <w:tcW w:w="5103" w:type="dxa"/>
          </w:tcPr>
          <w:p w:rsidR="00856F1F" w:rsidRDefault="004749AB">
            <w:r w:rsidRPr="00182735">
              <w:rPr>
                <w:rFonts w:ascii="Arial" w:hAnsi="Arial" w:cs="Arial"/>
                <w:color w:val="121212"/>
              </w:rPr>
              <w:t>Il est prévu l’achat 33 réfrigérateurs d’un montant de 55407 $ sur financement de GAVI RSS</w:t>
            </w:r>
          </w:p>
        </w:tc>
      </w:tr>
      <w:tr w:rsidR="00856F1F" w:rsidTr="003C33E0">
        <w:tc>
          <w:tcPr>
            <w:tcW w:w="4531" w:type="dxa"/>
          </w:tcPr>
          <w:p w:rsidR="00856F1F" w:rsidRDefault="00856F1F" w:rsidP="0022051A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Arial" w:hAnsi="Arial" w:cs="Arial"/>
                <w:color w:val="121212"/>
              </w:rPr>
              <w:t>4) Le coût de l</w:t>
            </w:r>
            <w:r>
              <w:rPr>
                <w:rFonts w:ascii="Arial" w:hAnsi="Arial" w:cs="Arial"/>
                <w:color w:val="272727"/>
              </w:rPr>
              <w:t>'</w:t>
            </w:r>
            <w:r>
              <w:rPr>
                <w:rFonts w:ascii="Arial" w:hAnsi="Arial" w:cs="Arial"/>
                <w:color w:val="121212"/>
              </w:rPr>
              <w:t>audit devra</w:t>
            </w:r>
            <w:r>
              <w:rPr>
                <w:rFonts w:ascii="Arial" w:hAnsi="Arial" w:cs="Arial"/>
                <w:color w:val="010101"/>
              </w:rPr>
              <w:t>i</w:t>
            </w:r>
            <w:r>
              <w:rPr>
                <w:rFonts w:ascii="Arial" w:hAnsi="Arial" w:cs="Arial"/>
                <w:color w:val="121212"/>
              </w:rPr>
              <w:t>t être in</w:t>
            </w:r>
            <w:r>
              <w:rPr>
                <w:rFonts w:ascii="Arial" w:hAnsi="Arial" w:cs="Arial"/>
                <w:color w:val="010101"/>
              </w:rPr>
              <w:t>cl</w:t>
            </w:r>
            <w:r>
              <w:rPr>
                <w:rFonts w:ascii="Arial" w:hAnsi="Arial" w:cs="Arial"/>
                <w:color w:val="121212"/>
              </w:rPr>
              <w:t>us</w:t>
            </w:r>
            <w:r w:rsidR="0022051A">
              <w:rPr>
                <w:rFonts w:ascii="Arial" w:hAnsi="Arial" w:cs="Arial"/>
                <w:color w:val="121212"/>
              </w:rPr>
              <w:t xml:space="preserve"> </w:t>
            </w:r>
            <w:r>
              <w:rPr>
                <w:rFonts w:ascii="Arial" w:hAnsi="Arial" w:cs="Arial"/>
                <w:color w:val="121212"/>
              </w:rPr>
              <w:t>dans le budget général de</w:t>
            </w:r>
            <w:r w:rsidR="0022051A">
              <w:rPr>
                <w:rFonts w:ascii="Arial" w:hAnsi="Arial" w:cs="Arial"/>
                <w:color w:val="121212"/>
              </w:rPr>
              <w:t xml:space="preserve"> </w:t>
            </w:r>
            <w:r>
              <w:rPr>
                <w:rFonts w:ascii="Arial" w:hAnsi="Arial" w:cs="Arial"/>
                <w:color w:val="010101"/>
              </w:rPr>
              <w:t>l</w:t>
            </w:r>
            <w:r>
              <w:rPr>
                <w:rFonts w:ascii="Arial" w:hAnsi="Arial" w:cs="Arial"/>
                <w:color w:val="272727"/>
              </w:rPr>
              <w:t>'</w:t>
            </w:r>
            <w:r>
              <w:rPr>
                <w:rFonts w:ascii="Arial" w:hAnsi="Arial" w:cs="Arial"/>
                <w:color w:val="121212"/>
              </w:rPr>
              <w:t>Allocation d'Introduct</w:t>
            </w:r>
            <w:r>
              <w:rPr>
                <w:rFonts w:ascii="Arial" w:hAnsi="Arial" w:cs="Arial"/>
                <w:color w:val="010101"/>
              </w:rPr>
              <w:t>i</w:t>
            </w:r>
            <w:r>
              <w:rPr>
                <w:rFonts w:ascii="Arial" w:hAnsi="Arial" w:cs="Arial"/>
                <w:color w:val="121212"/>
              </w:rPr>
              <w:t>on de Vaccin</w:t>
            </w:r>
            <w:r w:rsidR="0022051A">
              <w:rPr>
                <w:rFonts w:ascii="Arial" w:hAnsi="Arial" w:cs="Arial"/>
                <w:color w:val="121212"/>
              </w:rPr>
              <w:t xml:space="preserve"> </w:t>
            </w:r>
            <w:r>
              <w:rPr>
                <w:rFonts w:ascii="Arial" w:hAnsi="Arial" w:cs="Arial"/>
                <w:color w:val="121212"/>
              </w:rPr>
              <w:t>(AIV)</w:t>
            </w:r>
            <w:r>
              <w:rPr>
                <w:rFonts w:ascii="Arial" w:hAnsi="Arial" w:cs="Arial"/>
                <w:color w:val="272727"/>
              </w:rPr>
              <w:t>.</w:t>
            </w:r>
          </w:p>
        </w:tc>
        <w:tc>
          <w:tcPr>
            <w:tcW w:w="5103" w:type="dxa"/>
          </w:tcPr>
          <w:p w:rsidR="0022051A" w:rsidRDefault="0022051A" w:rsidP="0022051A">
            <w:pPr>
              <w:jc w:val="both"/>
              <w:rPr>
                <w:rFonts w:ascii="Arial" w:hAnsi="Arial" w:cs="Arial"/>
                <w:color w:val="121212"/>
              </w:rPr>
            </w:pPr>
            <w:r>
              <w:rPr>
                <w:rFonts w:ascii="Arial" w:hAnsi="Arial" w:cs="Arial"/>
                <w:color w:val="121212"/>
              </w:rPr>
              <w:t>Le coût global de l</w:t>
            </w:r>
            <w:r w:rsidRPr="0022051A">
              <w:rPr>
                <w:rFonts w:ascii="Arial" w:hAnsi="Arial" w:cs="Arial"/>
                <w:color w:val="121212"/>
              </w:rPr>
              <w:t>'</w:t>
            </w:r>
            <w:r>
              <w:rPr>
                <w:rFonts w:ascii="Arial" w:hAnsi="Arial" w:cs="Arial"/>
                <w:color w:val="121212"/>
              </w:rPr>
              <w:t>audit est in</w:t>
            </w:r>
            <w:r w:rsidRPr="0022051A">
              <w:rPr>
                <w:rFonts w:ascii="Arial" w:hAnsi="Arial" w:cs="Arial"/>
                <w:color w:val="121212"/>
              </w:rPr>
              <w:t>cl</w:t>
            </w:r>
            <w:r>
              <w:rPr>
                <w:rFonts w:ascii="Arial" w:hAnsi="Arial" w:cs="Arial"/>
                <w:color w:val="121212"/>
              </w:rPr>
              <w:t xml:space="preserve">us dans le budget général de </w:t>
            </w:r>
            <w:r w:rsidRPr="0022051A">
              <w:rPr>
                <w:rFonts w:ascii="Arial" w:hAnsi="Arial" w:cs="Arial"/>
                <w:color w:val="121212"/>
              </w:rPr>
              <w:t>l'</w:t>
            </w:r>
            <w:r>
              <w:rPr>
                <w:rFonts w:ascii="Arial" w:hAnsi="Arial" w:cs="Arial"/>
                <w:color w:val="121212"/>
              </w:rPr>
              <w:t>Allocation d'Introduct</w:t>
            </w:r>
            <w:r w:rsidRPr="0022051A">
              <w:rPr>
                <w:rFonts w:ascii="Arial" w:hAnsi="Arial" w:cs="Arial"/>
                <w:color w:val="121212"/>
              </w:rPr>
              <w:t>i</w:t>
            </w:r>
            <w:r>
              <w:rPr>
                <w:rFonts w:ascii="Arial" w:hAnsi="Arial" w:cs="Arial"/>
                <w:color w:val="121212"/>
              </w:rPr>
              <w:t>on de VPI à 131 400$</w:t>
            </w:r>
          </w:p>
          <w:p w:rsidR="00856F1F" w:rsidRDefault="00856F1F" w:rsidP="0022051A"/>
        </w:tc>
      </w:tr>
    </w:tbl>
    <w:p w:rsidR="003C7E48" w:rsidRDefault="003C7E48"/>
    <w:p w:rsidR="003C7E48" w:rsidRDefault="003C7E48"/>
    <w:p w:rsidR="00AF2A8C" w:rsidRDefault="00AF2A8C">
      <w:bookmarkStart w:id="0" w:name="_GoBack"/>
      <w:bookmarkEnd w:id="0"/>
    </w:p>
    <w:sectPr w:rsidR="00AF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3BE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DDC1859"/>
    <w:multiLevelType w:val="hybridMultilevel"/>
    <w:tmpl w:val="7C52CA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45"/>
    <w:rsid w:val="00182735"/>
    <w:rsid w:val="001C3717"/>
    <w:rsid w:val="0022051A"/>
    <w:rsid w:val="00264C45"/>
    <w:rsid w:val="00266C5A"/>
    <w:rsid w:val="003214B1"/>
    <w:rsid w:val="003C33E0"/>
    <w:rsid w:val="003C7E48"/>
    <w:rsid w:val="0045796E"/>
    <w:rsid w:val="004749AB"/>
    <w:rsid w:val="00532F0D"/>
    <w:rsid w:val="0056191B"/>
    <w:rsid w:val="005D1525"/>
    <w:rsid w:val="00856F1F"/>
    <w:rsid w:val="008B2CA4"/>
    <w:rsid w:val="00AD03B0"/>
    <w:rsid w:val="00AF2A8C"/>
    <w:rsid w:val="00BD3B03"/>
    <w:rsid w:val="00C13539"/>
    <w:rsid w:val="00C85097"/>
    <w:rsid w:val="00CD1383"/>
    <w:rsid w:val="00D97B15"/>
    <w:rsid w:val="00E66C2F"/>
    <w:rsid w:val="00E9002C"/>
    <w:rsid w:val="00F0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5796E"/>
    <w:pPr>
      <w:numPr>
        <w:numId w:val="1"/>
      </w:numPr>
    </w:pPr>
  </w:style>
  <w:style w:type="table" w:styleId="TableGrid">
    <w:name w:val="Table Grid"/>
    <w:basedOn w:val="TableNormal"/>
    <w:uiPriority w:val="39"/>
    <w:rsid w:val="0085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2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5796E"/>
    <w:pPr>
      <w:numPr>
        <w:numId w:val="1"/>
      </w:numPr>
    </w:pPr>
  </w:style>
  <w:style w:type="table" w:styleId="TableGrid">
    <w:name w:val="Table Grid"/>
    <w:basedOn w:val="TableNormal"/>
    <w:uiPriority w:val="39"/>
    <w:rsid w:val="0085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OUEDRAOGO</dc:creator>
  <cp:lastModifiedBy>Gavi Alliance</cp:lastModifiedBy>
  <cp:revision>3</cp:revision>
  <dcterms:created xsi:type="dcterms:W3CDTF">2015-01-12T09:53:00Z</dcterms:created>
  <dcterms:modified xsi:type="dcterms:W3CDTF">2015-03-11T08:27:00Z</dcterms:modified>
</cp:coreProperties>
</file>