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CC" w:rsidRPr="009A61AD" w:rsidRDefault="004E2CCC" w:rsidP="004E2CCC">
      <w:pPr>
        <w:spacing w:before="100" w:beforeAutospacing="1" w:after="100" w:afterAutospacing="1"/>
        <w:rPr>
          <w:b/>
          <w:color w:val="4472C4" w:themeColor="accent5"/>
          <w:lang w:val="en-GB"/>
        </w:rPr>
      </w:pPr>
      <w:r w:rsidRPr="009A61AD">
        <w:rPr>
          <w:rFonts w:ascii="Calibri" w:hAnsi="Calibri"/>
          <w:b/>
          <w:color w:val="4472C4" w:themeColor="accent5"/>
          <w:sz w:val="22"/>
          <w:szCs w:val="22"/>
          <w:lang w:val="en-GB"/>
        </w:rPr>
        <w:t>Budget Clarifications </w:t>
      </w:r>
    </w:p>
    <w:p w:rsidR="004E2CCC" w:rsidRPr="004E2CCC" w:rsidRDefault="004E2CCC" w:rsidP="004E2CCC">
      <w:pPr>
        <w:pStyle w:val="NormalWeb"/>
        <w:rPr>
          <w:b/>
          <w:color w:val="FF0000"/>
          <w:lang w:val="en-GB"/>
        </w:rPr>
      </w:pPr>
      <w:r w:rsidRPr="004E2CCC">
        <w:rPr>
          <w:rFonts w:ascii="Calibri" w:hAnsi="Calibri"/>
          <w:b/>
          <w:color w:val="FF0000"/>
          <w:sz w:val="22"/>
          <w:szCs w:val="22"/>
          <w:lang w:val="en-GB"/>
        </w:rPr>
        <w:t>The detail budget does still contain 5% of Technical Assistance for UNDP, 12% of Technical Assistance for UNICEF while the amount of WHO operational cost (30% of cost of 196 field offices) has increased to 1.84 million (= 7%, up from $  1.59 million).</w:t>
      </w:r>
    </w:p>
    <w:p w:rsidR="004E2CCC" w:rsidRPr="004E2CCC" w:rsidRDefault="004E2CCC" w:rsidP="004E2CCC">
      <w:pPr>
        <w:pStyle w:val="NormalWeb"/>
        <w:rPr>
          <w:b/>
          <w:color w:val="FF0000"/>
          <w:lang w:val="en-GB"/>
        </w:rPr>
      </w:pPr>
      <w:r w:rsidRPr="004E2CCC">
        <w:rPr>
          <w:rFonts w:ascii="Calibri" w:hAnsi="Calibri"/>
          <w:b/>
          <w:color w:val="FF0000"/>
          <w:sz w:val="22"/>
          <w:szCs w:val="22"/>
          <w:lang w:val="en-GB"/>
        </w:rPr>
        <w:t>While a short explanation has been added on how many positions will be funded with the TA amount of UNDP and UNICEF, no detailed calculation has been provided </w:t>
      </w:r>
    </w:p>
    <w:p w:rsidR="004E2CCC" w:rsidRDefault="00AB74B4" w:rsidP="004E2CCC">
      <w:pPr>
        <w:pStyle w:val="NormalWeb"/>
        <w:rPr>
          <w:rFonts w:ascii="Calibri" w:hAnsi="Calibri"/>
          <w:b/>
          <w:bCs/>
          <w:sz w:val="22"/>
          <w:szCs w:val="22"/>
          <w:lang w:val="en-GB"/>
        </w:rPr>
      </w:pPr>
      <w:r>
        <w:rPr>
          <w:rFonts w:ascii="Calibri" w:hAnsi="Calibri"/>
          <w:b/>
          <w:bCs/>
          <w:sz w:val="22"/>
          <w:szCs w:val="22"/>
          <w:lang w:val="en-GB"/>
        </w:rPr>
        <w:t xml:space="preserve">Detail response and justification on budget related to technical assistance and operational cost </w:t>
      </w:r>
      <w:r w:rsidR="00080E6F">
        <w:rPr>
          <w:rFonts w:ascii="Calibri" w:hAnsi="Calibri"/>
          <w:b/>
          <w:bCs/>
          <w:sz w:val="22"/>
          <w:szCs w:val="22"/>
          <w:lang w:val="en-GB"/>
        </w:rPr>
        <w:t>by lead implementers and difference between these costs and program support costs are:</w:t>
      </w:r>
    </w:p>
    <w:tbl>
      <w:tblPr>
        <w:tblStyle w:val="TableGrid"/>
        <w:tblW w:w="0" w:type="auto"/>
        <w:tblLook w:val="04A0"/>
      </w:tblPr>
      <w:tblGrid>
        <w:gridCol w:w="3145"/>
        <w:gridCol w:w="3088"/>
        <w:gridCol w:w="3117"/>
      </w:tblGrid>
      <w:tr w:rsidR="00AB74B4" w:rsidTr="00FF465A">
        <w:tc>
          <w:tcPr>
            <w:tcW w:w="3145" w:type="dxa"/>
          </w:tcPr>
          <w:p w:rsidR="00AB74B4" w:rsidRDefault="00AB74B4" w:rsidP="004E2CCC">
            <w:pPr>
              <w:pStyle w:val="NormalWeb"/>
              <w:rPr>
                <w:rFonts w:ascii="Calibri" w:hAnsi="Calibri"/>
                <w:b/>
                <w:bCs/>
                <w:lang w:val="en-GB"/>
              </w:rPr>
            </w:pPr>
            <w:r>
              <w:rPr>
                <w:rFonts w:ascii="Calibri" w:hAnsi="Calibri"/>
                <w:b/>
                <w:bCs/>
                <w:lang w:val="en-GB"/>
              </w:rPr>
              <w:t xml:space="preserve">UNDP response on 5% technical </w:t>
            </w:r>
            <w:r w:rsidR="005A35B5">
              <w:rPr>
                <w:rFonts w:ascii="Calibri" w:hAnsi="Calibri"/>
                <w:b/>
                <w:bCs/>
                <w:lang w:val="en-GB"/>
              </w:rPr>
              <w:t>assistance</w:t>
            </w:r>
          </w:p>
        </w:tc>
        <w:tc>
          <w:tcPr>
            <w:tcW w:w="3088" w:type="dxa"/>
          </w:tcPr>
          <w:p w:rsidR="00AB74B4" w:rsidRDefault="00AB74B4" w:rsidP="004E2CCC">
            <w:pPr>
              <w:pStyle w:val="NormalWeb"/>
              <w:rPr>
                <w:rFonts w:ascii="Calibri" w:hAnsi="Calibri"/>
                <w:b/>
                <w:bCs/>
                <w:lang w:val="en-GB"/>
              </w:rPr>
            </w:pPr>
            <w:r>
              <w:rPr>
                <w:rFonts w:ascii="Calibri" w:hAnsi="Calibri"/>
                <w:b/>
                <w:bCs/>
                <w:lang w:val="en-GB"/>
              </w:rPr>
              <w:t xml:space="preserve">UNICEF response on 12% technical </w:t>
            </w:r>
            <w:r w:rsidR="00FF465A">
              <w:rPr>
                <w:rFonts w:ascii="Calibri" w:hAnsi="Calibri"/>
                <w:b/>
                <w:bCs/>
                <w:lang w:val="en-GB"/>
              </w:rPr>
              <w:t>assistance</w:t>
            </w:r>
          </w:p>
        </w:tc>
        <w:tc>
          <w:tcPr>
            <w:tcW w:w="3117" w:type="dxa"/>
          </w:tcPr>
          <w:p w:rsidR="00AB74B4" w:rsidRDefault="00AB74B4" w:rsidP="004E2CCC">
            <w:pPr>
              <w:pStyle w:val="NormalWeb"/>
              <w:rPr>
                <w:rFonts w:ascii="Calibri" w:hAnsi="Calibri"/>
                <w:b/>
                <w:bCs/>
                <w:lang w:val="en-GB"/>
              </w:rPr>
            </w:pPr>
            <w:r>
              <w:rPr>
                <w:rFonts w:ascii="Calibri" w:hAnsi="Calibri"/>
                <w:b/>
                <w:bCs/>
                <w:lang w:val="en-GB"/>
              </w:rPr>
              <w:t xml:space="preserve">WHO response on </w:t>
            </w:r>
            <w:r w:rsidR="005A35B5">
              <w:rPr>
                <w:rFonts w:ascii="Calibri" w:hAnsi="Calibri"/>
                <w:b/>
                <w:bCs/>
                <w:lang w:val="en-GB"/>
              </w:rPr>
              <w:t>operational costs</w:t>
            </w:r>
          </w:p>
        </w:tc>
      </w:tr>
      <w:tr w:rsidR="00AB74B4" w:rsidTr="00FF465A">
        <w:tc>
          <w:tcPr>
            <w:tcW w:w="3145" w:type="dxa"/>
          </w:tcPr>
          <w:p w:rsidR="005A35B5" w:rsidRPr="002C0235" w:rsidRDefault="005A35B5" w:rsidP="005A35B5">
            <w:pPr>
              <w:pStyle w:val="NormalWeb"/>
              <w:rPr>
                <w:rFonts w:ascii="Calibri" w:hAnsi="Calibri"/>
                <w:bCs/>
                <w:lang w:val="en-GB"/>
              </w:rPr>
            </w:pPr>
            <w:r w:rsidRPr="002C0235">
              <w:rPr>
                <w:rFonts w:ascii="Calibri" w:hAnsi="Calibri"/>
                <w:bCs/>
                <w:lang w:val="en-GB"/>
              </w:rPr>
              <w:t xml:space="preserve">To implement any project especially the one of this size and within a very tight timeline, UNDP need to incur both direct and indirect costs. </w:t>
            </w:r>
          </w:p>
          <w:p w:rsidR="005A35B5" w:rsidRPr="002C0235" w:rsidRDefault="005A35B5" w:rsidP="005A35B5">
            <w:pPr>
              <w:pStyle w:val="NormalWeb"/>
              <w:rPr>
                <w:rFonts w:ascii="Calibri" w:hAnsi="Calibri"/>
                <w:bCs/>
                <w:lang w:val="en-GB"/>
              </w:rPr>
            </w:pPr>
            <w:r w:rsidRPr="002C0235">
              <w:rPr>
                <w:rFonts w:ascii="Calibri" w:hAnsi="Calibri"/>
                <w:bCs/>
                <w:lang w:val="en-GB"/>
              </w:rPr>
              <w:t>Please find break-up of the GMS costs and the Technical Assistance (or Direct Project Costs (DPC).</w:t>
            </w:r>
          </w:p>
          <w:p w:rsidR="005A35B5" w:rsidRPr="005A35B5" w:rsidRDefault="005A35B5" w:rsidP="005A35B5">
            <w:pPr>
              <w:pStyle w:val="NormalWeb"/>
              <w:rPr>
                <w:rFonts w:ascii="Calibri" w:hAnsi="Calibri"/>
                <w:bCs/>
                <w:lang w:val="en-GB"/>
              </w:rPr>
            </w:pPr>
            <w:r w:rsidRPr="005A35B5">
              <w:rPr>
                <w:rFonts w:ascii="Calibri" w:hAnsi="Calibri"/>
                <w:b/>
                <w:bCs/>
                <w:lang w:val="en-GB"/>
              </w:rPr>
              <w:t>GMS</w:t>
            </w:r>
            <w:r>
              <w:rPr>
                <w:rFonts w:ascii="Calibri" w:hAnsi="Calibri"/>
                <w:b/>
                <w:bCs/>
                <w:lang w:val="en-GB"/>
              </w:rPr>
              <w:t xml:space="preserve"> (Charged at 7%) </w:t>
            </w:r>
            <w:r w:rsidRPr="005A35B5">
              <w:rPr>
                <w:rFonts w:ascii="Calibri" w:hAnsi="Calibri"/>
                <w:bCs/>
                <w:lang w:val="en-GB"/>
              </w:rPr>
              <w:t>Encompasses costs incurred in providing general management and oversight functions, including:</w:t>
            </w:r>
          </w:p>
          <w:p w:rsidR="005A35B5" w:rsidRPr="005A35B5" w:rsidRDefault="005A35B5" w:rsidP="005A35B5">
            <w:pPr>
              <w:pStyle w:val="NormalWeb"/>
              <w:rPr>
                <w:rFonts w:ascii="Calibri" w:hAnsi="Calibri"/>
                <w:bCs/>
                <w:lang w:val="en-GB"/>
              </w:rPr>
            </w:pPr>
            <w:r w:rsidRPr="005A35B5">
              <w:rPr>
                <w:rFonts w:ascii="Calibri" w:hAnsi="Calibri"/>
                <w:bCs/>
                <w:lang w:val="en-GB"/>
              </w:rPr>
              <w:t>1. General oversight and monitoring</w:t>
            </w:r>
          </w:p>
          <w:p w:rsidR="005A35B5" w:rsidRPr="005A35B5" w:rsidRDefault="005A35B5" w:rsidP="005A35B5">
            <w:pPr>
              <w:pStyle w:val="NormalWeb"/>
              <w:rPr>
                <w:rFonts w:ascii="Calibri" w:hAnsi="Calibri"/>
                <w:bCs/>
                <w:lang w:val="en-GB"/>
              </w:rPr>
            </w:pPr>
            <w:r w:rsidRPr="005A35B5">
              <w:rPr>
                <w:rFonts w:ascii="Calibri" w:hAnsi="Calibri"/>
                <w:bCs/>
                <w:lang w:val="en-GB"/>
              </w:rPr>
              <w:t xml:space="preserve">2. Thematic and general technical backstopping </w:t>
            </w:r>
          </w:p>
          <w:p w:rsidR="005A35B5" w:rsidRPr="005A35B5" w:rsidRDefault="005A35B5" w:rsidP="005A35B5">
            <w:pPr>
              <w:pStyle w:val="NormalWeb"/>
              <w:rPr>
                <w:rFonts w:ascii="Calibri" w:hAnsi="Calibri"/>
                <w:bCs/>
                <w:lang w:val="en-GB"/>
              </w:rPr>
            </w:pPr>
            <w:r w:rsidRPr="005A35B5">
              <w:rPr>
                <w:rFonts w:ascii="Calibri" w:hAnsi="Calibri"/>
                <w:bCs/>
                <w:lang w:val="en-GB"/>
              </w:rPr>
              <w:t>3. Systems, IT infrastructure, branding, knowledge transfer, etc.</w:t>
            </w:r>
          </w:p>
          <w:p w:rsidR="005A35B5" w:rsidRPr="005A35B5" w:rsidRDefault="005A35B5" w:rsidP="005A35B5">
            <w:pPr>
              <w:pStyle w:val="NormalWeb"/>
              <w:rPr>
                <w:rFonts w:ascii="Calibri" w:hAnsi="Calibri"/>
                <w:b/>
                <w:bCs/>
                <w:lang w:val="en-GB"/>
              </w:rPr>
            </w:pPr>
            <w:r w:rsidRPr="005A35B5">
              <w:rPr>
                <w:rFonts w:ascii="Calibri" w:hAnsi="Calibri"/>
                <w:bCs/>
                <w:lang w:val="en-GB"/>
              </w:rPr>
              <w:t>4. Alignment of results with national priorities in the Country Programme Document and the Country Programme Action Plan and Projects</w:t>
            </w:r>
            <w:r w:rsidRPr="005A35B5">
              <w:rPr>
                <w:rFonts w:ascii="Calibri" w:hAnsi="Calibri"/>
                <w:b/>
                <w:bCs/>
                <w:lang w:val="en-GB"/>
              </w:rPr>
              <w:t xml:space="preserve"> </w:t>
            </w:r>
          </w:p>
          <w:p w:rsidR="005A35B5" w:rsidRPr="005A35B5" w:rsidRDefault="005A35B5" w:rsidP="005A35B5">
            <w:pPr>
              <w:pStyle w:val="NormalWeb"/>
              <w:rPr>
                <w:rFonts w:ascii="Calibri" w:hAnsi="Calibri"/>
                <w:bCs/>
                <w:lang w:val="en-GB"/>
              </w:rPr>
            </w:pPr>
            <w:r w:rsidRPr="005A35B5">
              <w:rPr>
                <w:rFonts w:ascii="Calibri" w:hAnsi="Calibri"/>
                <w:bCs/>
                <w:lang w:val="en-GB"/>
              </w:rPr>
              <w:lastRenderedPageBreak/>
              <w:t xml:space="preserve">5. Quality control process to ensure that individual project documents are aligned to the basic principles of the agreement between UNDP and the Host Government  </w:t>
            </w:r>
          </w:p>
          <w:p w:rsidR="005A35B5" w:rsidRPr="005A35B5" w:rsidRDefault="005A35B5" w:rsidP="005A35B5">
            <w:pPr>
              <w:pStyle w:val="NormalWeb"/>
              <w:rPr>
                <w:rFonts w:ascii="Calibri" w:hAnsi="Calibri"/>
                <w:bCs/>
                <w:lang w:val="en-GB"/>
              </w:rPr>
            </w:pPr>
            <w:r w:rsidRPr="005A35B5">
              <w:rPr>
                <w:rFonts w:ascii="Calibri" w:hAnsi="Calibri"/>
                <w:bCs/>
                <w:lang w:val="en-GB"/>
              </w:rPr>
              <w:t xml:space="preserve">6. Monitoring the progress in capacity development of our national partners and adapting </w:t>
            </w:r>
            <w:r w:rsidRPr="005A35B5">
              <w:rPr>
                <w:rFonts w:ascii="MS Gothic" w:eastAsia="MS Gothic" w:hAnsi="MS Gothic" w:cs="MS Gothic" w:hint="eastAsia"/>
                <w:bCs/>
                <w:lang w:val="en-GB"/>
              </w:rPr>
              <w:t> </w:t>
            </w:r>
            <w:r w:rsidRPr="005A35B5">
              <w:rPr>
                <w:rFonts w:ascii="Calibri" w:hAnsi="Calibri"/>
                <w:bCs/>
                <w:lang w:val="en-GB"/>
              </w:rPr>
              <w:t xml:space="preserve">programme arrangements accordingly </w:t>
            </w:r>
          </w:p>
          <w:p w:rsidR="005A35B5" w:rsidRPr="005A35B5" w:rsidRDefault="005A35B5" w:rsidP="005A35B5">
            <w:pPr>
              <w:pStyle w:val="NormalWeb"/>
              <w:rPr>
                <w:rFonts w:ascii="Calibri" w:hAnsi="Calibri"/>
                <w:bCs/>
                <w:lang w:val="en-GB"/>
              </w:rPr>
            </w:pPr>
            <w:r w:rsidRPr="005A35B5">
              <w:rPr>
                <w:rFonts w:ascii="Calibri" w:hAnsi="Calibri"/>
                <w:bCs/>
                <w:lang w:val="en-GB"/>
              </w:rPr>
              <w:t xml:space="preserve">7. Accountability to donors, including national entities as donors, for the standards, design and </w:t>
            </w:r>
            <w:r w:rsidRPr="005A35B5">
              <w:rPr>
                <w:rFonts w:ascii="MS Gothic" w:eastAsia="MS Gothic" w:hAnsi="MS Gothic" w:cs="MS Gothic" w:hint="eastAsia"/>
                <w:bCs/>
                <w:lang w:val="en-GB"/>
              </w:rPr>
              <w:t> </w:t>
            </w:r>
            <w:r w:rsidRPr="005A35B5">
              <w:rPr>
                <w:rFonts w:ascii="Calibri" w:hAnsi="Calibri"/>
                <w:bCs/>
                <w:lang w:val="en-GB"/>
              </w:rPr>
              <w:t xml:space="preserve">accuracy of reporting </w:t>
            </w:r>
          </w:p>
          <w:p w:rsidR="005A35B5" w:rsidRPr="005A35B5" w:rsidRDefault="005A35B5" w:rsidP="005A35B5">
            <w:pPr>
              <w:pStyle w:val="NormalWeb"/>
              <w:rPr>
                <w:rFonts w:ascii="Calibri" w:hAnsi="Calibri"/>
                <w:bCs/>
                <w:lang w:val="en-GB"/>
              </w:rPr>
            </w:pPr>
            <w:r w:rsidRPr="005A35B5">
              <w:rPr>
                <w:rFonts w:ascii="Calibri" w:hAnsi="Calibri"/>
                <w:bCs/>
                <w:lang w:val="en-GB"/>
              </w:rPr>
              <w:t xml:space="preserve">8. Developing and issuing appropriate audit guidelines for nationally implemented </w:t>
            </w:r>
            <w:r w:rsidRPr="005A35B5">
              <w:rPr>
                <w:rFonts w:ascii="MS Gothic" w:eastAsia="MS Gothic" w:hAnsi="MS Gothic" w:cs="MS Gothic" w:hint="eastAsia"/>
                <w:bCs/>
                <w:lang w:val="en-GB"/>
              </w:rPr>
              <w:t> </w:t>
            </w:r>
            <w:r w:rsidRPr="005A35B5">
              <w:rPr>
                <w:rFonts w:ascii="Calibri" w:hAnsi="Calibri"/>
                <w:bCs/>
                <w:lang w:val="en-GB"/>
              </w:rPr>
              <w:t xml:space="preserve">projects Monitoring compliance with the guidelines and monitoring of corrective actions based on audit observations </w:t>
            </w:r>
          </w:p>
          <w:p w:rsidR="005A35B5" w:rsidRPr="005A35B5" w:rsidRDefault="005A35B5" w:rsidP="005A35B5">
            <w:pPr>
              <w:pStyle w:val="NormalWeb"/>
              <w:rPr>
                <w:rFonts w:ascii="Calibri" w:hAnsi="Calibri"/>
                <w:bCs/>
                <w:lang w:val="en-GB"/>
              </w:rPr>
            </w:pPr>
            <w:r w:rsidRPr="005A35B5">
              <w:rPr>
                <w:rFonts w:ascii="Calibri" w:hAnsi="Calibri"/>
                <w:bCs/>
                <w:lang w:val="en-GB"/>
              </w:rPr>
              <w:t xml:space="preserve">9. Analysis of audit reports and taking appropriate actions to address the risks reflected in the audit report, i.e. change in disbursement modality, change in assurance procedures, suspension of the programme, suspension of the projects, etc. </w:t>
            </w:r>
          </w:p>
          <w:p w:rsidR="005A35B5" w:rsidRPr="005A35B5" w:rsidRDefault="006565DC" w:rsidP="005A35B5">
            <w:pPr>
              <w:pStyle w:val="NormalWeb"/>
              <w:rPr>
                <w:rFonts w:ascii="Calibri" w:hAnsi="Calibri"/>
                <w:b/>
                <w:bCs/>
                <w:lang w:val="en-GB"/>
              </w:rPr>
            </w:pPr>
            <w:r>
              <w:rPr>
                <w:rFonts w:ascii="Calibri" w:hAnsi="Calibri"/>
                <w:b/>
                <w:bCs/>
                <w:lang w:val="en-GB"/>
              </w:rPr>
              <w:t xml:space="preserve">DPC </w:t>
            </w:r>
            <w:r w:rsidR="005A35B5" w:rsidRPr="005A35B5">
              <w:rPr>
                <w:rFonts w:ascii="Calibri" w:hAnsi="Calibri"/>
                <w:b/>
                <w:bCs/>
                <w:lang w:val="en-GB"/>
              </w:rPr>
              <w:t>(Technical Assistance</w:t>
            </w:r>
            <w:proofErr w:type="gramStart"/>
            <w:r w:rsidR="005A35B5" w:rsidRPr="005A35B5">
              <w:rPr>
                <w:rFonts w:ascii="Calibri" w:hAnsi="Calibri"/>
                <w:b/>
                <w:bCs/>
                <w:lang w:val="en-GB"/>
              </w:rPr>
              <w:t>)  (</w:t>
            </w:r>
            <w:proofErr w:type="gramEnd"/>
            <w:r w:rsidR="005A35B5" w:rsidRPr="005A35B5">
              <w:rPr>
                <w:rFonts w:ascii="Calibri" w:hAnsi="Calibri"/>
                <w:b/>
                <w:bCs/>
                <w:lang w:val="en-GB"/>
              </w:rPr>
              <w:t>Being charg</w:t>
            </w:r>
            <w:r w:rsidR="005A35B5">
              <w:rPr>
                <w:rFonts w:ascii="Calibri" w:hAnsi="Calibri"/>
                <w:b/>
                <w:bCs/>
                <w:lang w:val="en-GB"/>
              </w:rPr>
              <w:t xml:space="preserve">ed at 5%) These costs include: </w:t>
            </w:r>
            <w:r w:rsidR="005A35B5" w:rsidRPr="005A35B5">
              <w:rPr>
                <w:rFonts w:ascii="Calibri" w:hAnsi="Calibri"/>
                <w:b/>
                <w:bCs/>
                <w:lang w:val="en-GB"/>
              </w:rPr>
              <w:t xml:space="preserve"> </w:t>
            </w:r>
          </w:p>
          <w:p w:rsidR="005A35B5" w:rsidRPr="005A35B5" w:rsidRDefault="005A35B5" w:rsidP="005A35B5">
            <w:pPr>
              <w:pStyle w:val="NormalWeb"/>
              <w:rPr>
                <w:rFonts w:ascii="Calibri" w:hAnsi="Calibri"/>
                <w:bCs/>
                <w:lang w:val="en-GB"/>
              </w:rPr>
            </w:pPr>
            <w:r w:rsidRPr="005A35B5">
              <w:rPr>
                <w:rFonts w:ascii="Calibri" w:hAnsi="Calibri"/>
                <w:bCs/>
                <w:lang w:val="en-GB"/>
              </w:rPr>
              <w:t>1. Policy-advisory, technical and implementation essential to deliver development results</w:t>
            </w:r>
          </w:p>
          <w:p w:rsidR="005A35B5" w:rsidRPr="005A35B5" w:rsidRDefault="005A35B5" w:rsidP="005A35B5">
            <w:pPr>
              <w:pStyle w:val="NormalWeb"/>
              <w:rPr>
                <w:rFonts w:ascii="Calibri" w:hAnsi="Calibri"/>
                <w:bCs/>
                <w:lang w:val="en-GB"/>
              </w:rPr>
            </w:pPr>
            <w:r w:rsidRPr="005A35B5">
              <w:rPr>
                <w:rFonts w:ascii="Calibri" w:hAnsi="Calibri"/>
                <w:bCs/>
                <w:lang w:val="en-GB"/>
              </w:rPr>
              <w:t>2. Costs incurred to support project implementation by</w:t>
            </w:r>
            <w:r w:rsidRPr="005A35B5">
              <w:rPr>
                <w:rFonts w:ascii="Calibri" w:hAnsi="Calibri"/>
                <w:b/>
                <w:bCs/>
                <w:lang w:val="en-GB"/>
              </w:rPr>
              <w:t xml:space="preserve"> </w:t>
            </w:r>
            <w:r w:rsidRPr="005A35B5">
              <w:rPr>
                <w:rFonts w:ascii="Calibri" w:hAnsi="Calibri"/>
                <w:bCs/>
                <w:lang w:val="en-GB"/>
              </w:rPr>
              <w:lastRenderedPageBreak/>
              <w:t xml:space="preserve">Operations units, including services related to </w:t>
            </w:r>
          </w:p>
          <w:p w:rsidR="005A35B5" w:rsidRPr="005A35B5" w:rsidRDefault="005A35B5" w:rsidP="008F6777">
            <w:pPr>
              <w:rPr>
                <w:lang w:val="en-GB"/>
              </w:rPr>
            </w:pPr>
            <w:r w:rsidRPr="005A35B5">
              <w:rPr>
                <w:lang w:val="en-GB"/>
              </w:rPr>
              <w:t xml:space="preserve">a. finance, procurement </w:t>
            </w:r>
          </w:p>
          <w:p w:rsidR="005A35B5" w:rsidRPr="005A35B5" w:rsidRDefault="005A35B5" w:rsidP="008F6777">
            <w:pPr>
              <w:rPr>
                <w:lang w:val="en-GB"/>
              </w:rPr>
            </w:pPr>
            <w:r w:rsidRPr="005A35B5">
              <w:rPr>
                <w:lang w:val="en-GB"/>
              </w:rPr>
              <w:t>b. human resources</w:t>
            </w:r>
          </w:p>
          <w:p w:rsidR="005A35B5" w:rsidRPr="005A35B5" w:rsidRDefault="005A35B5" w:rsidP="008F6777">
            <w:pPr>
              <w:rPr>
                <w:lang w:val="en-GB"/>
              </w:rPr>
            </w:pPr>
            <w:r w:rsidRPr="005A35B5">
              <w:rPr>
                <w:lang w:val="en-GB"/>
              </w:rPr>
              <w:t>c. issuance of contracts</w:t>
            </w:r>
          </w:p>
          <w:p w:rsidR="005A35B5" w:rsidRPr="005A35B5" w:rsidRDefault="005A35B5" w:rsidP="008F6777">
            <w:pPr>
              <w:rPr>
                <w:lang w:val="en-GB"/>
              </w:rPr>
            </w:pPr>
            <w:r w:rsidRPr="005A35B5">
              <w:rPr>
                <w:lang w:val="en-GB"/>
              </w:rPr>
              <w:t xml:space="preserve">d. security </w:t>
            </w:r>
          </w:p>
          <w:p w:rsidR="005A35B5" w:rsidRPr="005A35B5" w:rsidRDefault="005A35B5" w:rsidP="008F6777">
            <w:pPr>
              <w:rPr>
                <w:lang w:val="en-GB"/>
              </w:rPr>
            </w:pPr>
            <w:r w:rsidRPr="005A35B5">
              <w:rPr>
                <w:lang w:val="en-GB"/>
              </w:rPr>
              <w:t xml:space="preserve">e. travel </w:t>
            </w:r>
          </w:p>
          <w:p w:rsidR="005A35B5" w:rsidRPr="005A35B5" w:rsidRDefault="005A35B5" w:rsidP="008F6777">
            <w:pPr>
              <w:rPr>
                <w:lang w:val="en-GB"/>
              </w:rPr>
            </w:pPr>
            <w:r w:rsidRPr="005A35B5">
              <w:rPr>
                <w:lang w:val="en-GB"/>
              </w:rPr>
              <w:t xml:space="preserve">f. assets </w:t>
            </w:r>
          </w:p>
          <w:p w:rsidR="005A35B5" w:rsidRPr="005A35B5" w:rsidRDefault="005A35B5" w:rsidP="008F6777">
            <w:pPr>
              <w:rPr>
                <w:lang w:val="en-GB"/>
              </w:rPr>
            </w:pPr>
            <w:r w:rsidRPr="005A35B5">
              <w:rPr>
                <w:lang w:val="en-GB"/>
              </w:rPr>
              <w:t>g. general services and information</w:t>
            </w:r>
          </w:p>
          <w:p w:rsidR="005A35B5" w:rsidRPr="005A35B5" w:rsidRDefault="005A35B5" w:rsidP="008F6777">
            <w:pPr>
              <w:rPr>
                <w:lang w:val="en-GB"/>
              </w:rPr>
            </w:pPr>
            <w:r w:rsidRPr="005A35B5">
              <w:rPr>
                <w:lang w:val="en-GB"/>
              </w:rPr>
              <w:t>h. communications technology</w:t>
            </w:r>
          </w:p>
          <w:p w:rsidR="00AB74B4" w:rsidRDefault="005A35B5" w:rsidP="005A35B5">
            <w:pPr>
              <w:pStyle w:val="NormalWeb"/>
              <w:rPr>
                <w:rFonts w:ascii="Calibri" w:hAnsi="Calibri"/>
                <w:b/>
                <w:bCs/>
                <w:lang w:val="en-GB"/>
              </w:rPr>
            </w:pPr>
            <w:r w:rsidRPr="005A35B5">
              <w:rPr>
                <w:rFonts w:ascii="Calibri" w:hAnsi="Calibri"/>
                <w:bCs/>
                <w:lang w:val="en-GB"/>
              </w:rPr>
              <w:t>The detailed breakup of the DPC is provided in t</w:t>
            </w:r>
            <w:r w:rsidR="00C82C6C">
              <w:rPr>
                <w:rFonts w:ascii="Calibri" w:hAnsi="Calibri"/>
                <w:bCs/>
                <w:lang w:val="en-GB"/>
              </w:rPr>
              <w:t>he attached excel sheet for</w:t>
            </w:r>
            <w:r w:rsidRPr="005A35B5">
              <w:rPr>
                <w:rFonts w:ascii="Calibri" w:hAnsi="Calibri"/>
                <w:bCs/>
                <w:lang w:val="en-GB"/>
              </w:rPr>
              <w:t xml:space="preserve"> reference. </w:t>
            </w:r>
            <w:r>
              <w:rPr>
                <w:rFonts w:ascii="Calibri" w:hAnsi="Calibri"/>
                <w:bCs/>
                <w:lang w:val="en-GB"/>
              </w:rPr>
              <w:br/>
              <w:t>As per</w:t>
            </w:r>
            <w:r w:rsidRPr="005A35B5">
              <w:rPr>
                <w:rFonts w:ascii="Calibri" w:hAnsi="Calibri"/>
                <w:bCs/>
                <w:lang w:val="en-GB"/>
              </w:rPr>
              <w:t xml:space="preserve"> attached document the DPC amou</w:t>
            </w:r>
            <w:r>
              <w:rPr>
                <w:rFonts w:ascii="Calibri" w:hAnsi="Calibri"/>
                <w:bCs/>
                <w:lang w:val="en-GB"/>
              </w:rPr>
              <w:t xml:space="preserve">nts to USD 2,154,384. However, </w:t>
            </w:r>
            <w:r w:rsidRPr="005A35B5">
              <w:rPr>
                <w:rFonts w:ascii="Calibri" w:hAnsi="Calibri"/>
                <w:bCs/>
                <w:lang w:val="en-GB"/>
              </w:rPr>
              <w:t>for the purpose of this grant these costs have been limited to 5</w:t>
            </w:r>
            <w:proofErr w:type="gramStart"/>
            <w:r w:rsidRPr="005A35B5">
              <w:rPr>
                <w:rFonts w:ascii="Calibri" w:hAnsi="Calibri"/>
                <w:bCs/>
                <w:lang w:val="en-GB"/>
              </w:rPr>
              <w:t>%  only</w:t>
            </w:r>
            <w:proofErr w:type="gramEnd"/>
            <w:r w:rsidRPr="005A35B5">
              <w:rPr>
                <w:rFonts w:ascii="Calibri" w:hAnsi="Calibri"/>
                <w:bCs/>
                <w:lang w:val="en-GB"/>
              </w:rPr>
              <w:t>.</w:t>
            </w:r>
          </w:p>
        </w:tc>
        <w:tc>
          <w:tcPr>
            <w:tcW w:w="3088" w:type="dxa"/>
          </w:tcPr>
          <w:p w:rsidR="00FF465A" w:rsidRPr="00FF465A" w:rsidRDefault="00FF465A" w:rsidP="00FF465A">
            <w:pPr>
              <w:pStyle w:val="NormalWeb"/>
              <w:rPr>
                <w:rFonts w:ascii="Calibri" w:hAnsi="Calibri"/>
              </w:rPr>
            </w:pPr>
            <w:r w:rsidRPr="00FF465A">
              <w:rPr>
                <w:rFonts w:ascii="Calibri" w:hAnsi="Calibri"/>
              </w:rPr>
              <w:lastRenderedPageBreak/>
              <w:t>The</w:t>
            </w:r>
            <w:r w:rsidR="00717D0C">
              <w:rPr>
                <w:rFonts w:ascii="Calibri" w:hAnsi="Calibri"/>
              </w:rPr>
              <w:t>7</w:t>
            </w:r>
            <w:r w:rsidRPr="00FF465A">
              <w:rPr>
                <w:rFonts w:ascii="Calibri" w:hAnsi="Calibri"/>
              </w:rPr>
              <w:t xml:space="preserve"> per cent recovery cost aims at covering indirect costs incurred by UNICEF Head Quarters. The 12 per cent cost for technical assistance is part of the consolidated budget in the proposal and is separate from the 7 per cent recovery cost of UNICEF HQ. </w:t>
            </w:r>
          </w:p>
          <w:p w:rsidR="00FF465A" w:rsidRPr="00FF465A" w:rsidRDefault="00FF465A" w:rsidP="00FF465A">
            <w:pPr>
              <w:pStyle w:val="NormalWeb"/>
              <w:rPr>
                <w:rFonts w:ascii="Calibri" w:hAnsi="Calibri"/>
              </w:rPr>
            </w:pPr>
            <w:r w:rsidRPr="00FF465A">
              <w:rPr>
                <w:rFonts w:ascii="Calibri" w:hAnsi="Calibri"/>
              </w:rPr>
              <w:t xml:space="preserve">Contrary to other proposals that are heavy in supply component, GAVI HSS proposal is heavy in capacity building and health system strengthening components. Thus the 12 per cent cost for technical assistance is in line with requirements of the proposal's activities. </w:t>
            </w:r>
          </w:p>
          <w:p w:rsidR="00FF465A" w:rsidRDefault="00FF465A" w:rsidP="00FF465A">
            <w:pPr>
              <w:pStyle w:val="NormalWeb"/>
              <w:rPr>
                <w:rFonts w:ascii="Calibri" w:hAnsi="Calibri"/>
              </w:rPr>
            </w:pPr>
            <w:r w:rsidRPr="00FB397F">
              <w:rPr>
                <w:rFonts w:ascii="Calibri" w:hAnsi="Calibri"/>
                <w:b/>
              </w:rPr>
              <w:t>UNICEF has further reduce</w:t>
            </w:r>
            <w:r w:rsidR="00717D0C" w:rsidRPr="00FB397F">
              <w:rPr>
                <w:rFonts w:ascii="Calibri" w:hAnsi="Calibri"/>
                <w:b/>
              </w:rPr>
              <w:t>d</w:t>
            </w:r>
            <w:r w:rsidRPr="00FB397F">
              <w:rPr>
                <w:rFonts w:ascii="Calibri" w:hAnsi="Calibri"/>
                <w:b/>
              </w:rPr>
              <w:t xml:space="preserve"> this 12% technical assistance to </w:t>
            </w:r>
            <w:r w:rsidR="00717D0C" w:rsidRPr="00FB397F">
              <w:rPr>
                <w:rFonts w:ascii="Calibri" w:hAnsi="Calibri"/>
                <w:b/>
              </w:rPr>
              <w:t>5</w:t>
            </w:r>
            <w:r w:rsidRPr="00FB397F">
              <w:rPr>
                <w:rFonts w:ascii="Calibri" w:hAnsi="Calibri"/>
                <w:b/>
              </w:rPr>
              <w:t>%</w:t>
            </w:r>
            <w:r>
              <w:rPr>
                <w:rFonts w:ascii="Calibri" w:hAnsi="Calibri"/>
              </w:rPr>
              <w:t xml:space="preserve"> by reducing the time of Immunization</w:t>
            </w:r>
            <w:r w:rsidRPr="00FF465A">
              <w:rPr>
                <w:rFonts w:ascii="Calibri" w:hAnsi="Calibri"/>
              </w:rPr>
              <w:t xml:space="preserve"> health specialists to 60% instead of 100%. Rest of their time will be used for other UNICEF’s project</w:t>
            </w:r>
            <w:r>
              <w:rPr>
                <w:rFonts w:ascii="Calibri" w:hAnsi="Calibri"/>
              </w:rPr>
              <w:t xml:space="preserve">. </w:t>
            </w:r>
          </w:p>
          <w:p w:rsidR="00FF465A" w:rsidRPr="00FF465A" w:rsidRDefault="00FF465A" w:rsidP="00FF465A">
            <w:pPr>
              <w:pStyle w:val="NormalWeb"/>
              <w:rPr>
                <w:rFonts w:ascii="Calibri" w:hAnsi="Calibri"/>
              </w:rPr>
            </w:pPr>
            <w:r>
              <w:rPr>
                <w:rFonts w:ascii="Calibri" w:hAnsi="Calibri"/>
              </w:rPr>
              <w:t>This change is reflected in revised GAVI HSS budget attached with this document</w:t>
            </w:r>
          </w:p>
          <w:p w:rsidR="00AB74B4" w:rsidRDefault="00AB74B4" w:rsidP="004E2CCC">
            <w:pPr>
              <w:pStyle w:val="NormalWeb"/>
              <w:rPr>
                <w:rFonts w:ascii="Calibri" w:hAnsi="Calibri"/>
                <w:b/>
                <w:bCs/>
                <w:lang w:val="en-GB"/>
              </w:rPr>
            </w:pPr>
          </w:p>
        </w:tc>
        <w:tc>
          <w:tcPr>
            <w:tcW w:w="3117" w:type="dxa"/>
          </w:tcPr>
          <w:p w:rsidR="00080E6F" w:rsidRDefault="00080E6F" w:rsidP="00080E6F">
            <w:pPr>
              <w:pStyle w:val="NormalWeb"/>
              <w:rPr>
                <w:rFonts w:asciiTheme="minorHAnsi" w:hAnsiTheme="minorHAnsi"/>
                <w:lang w:val="en-IN"/>
              </w:rPr>
            </w:pPr>
            <w:proofErr w:type="gramStart"/>
            <w:r w:rsidRPr="00080E6F">
              <w:rPr>
                <w:rFonts w:asciiTheme="minorHAnsi" w:hAnsiTheme="minorHAnsi"/>
                <w:lang w:val="en-IN"/>
              </w:rPr>
              <w:lastRenderedPageBreak/>
              <w:t>WHO’s</w:t>
            </w:r>
            <w:proofErr w:type="gramEnd"/>
            <w:r w:rsidRPr="00080E6F">
              <w:rPr>
                <w:rFonts w:asciiTheme="minorHAnsi" w:hAnsiTheme="minorHAnsi"/>
                <w:lang w:val="en-IN"/>
              </w:rPr>
              <w:t xml:space="preserve"> definition of </w:t>
            </w:r>
            <w:r w:rsidRPr="002C0235">
              <w:rPr>
                <w:rFonts w:asciiTheme="minorHAnsi" w:hAnsiTheme="minorHAnsi"/>
                <w:b/>
                <w:lang w:val="en-IN"/>
              </w:rPr>
              <w:t>Programme Support Costs</w:t>
            </w:r>
            <w:r w:rsidRPr="00080E6F">
              <w:rPr>
                <w:rFonts w:asciiTheme="minorHAnsi" w:hAnsiTheme="minorHAnsi"/>
                <w:lang w:val="en-IN"/>
              </w:rPr>
              <w:t xml:space="preserve"> is: “</w:t>
            </w:r>
            <w:r w:rsidRPr="00080E6F">
              <w:rPr>
                <w:rFonts w:asciiTheme="minorHAnsi" w:hAnsiTheme="minorHAnsi"/>
                <w:i/>
                <w:iCs/>
                <w:lang w:val="en-IN"/>
              </w:rPr>
              <w:t xml:space="preserve">All costs that are incurred by the Organization as a function and in support of its activities, projects and programmes, and </w:t>
            </w:r>
            <w:r w:rsidRPr="00080E6F">
              <w:rPr>
                <w:rFonts w:asciiTheme="minorHAnsi" w:hAnsiTheme="minorHAnsi"/>
                <w:i/>
                <w:iCs/>
                <w:u w:val="single"/>
                <w:lang w:val="en-IN"/>
              </w:rPr>
              <w:t>which cannot be traced unequivocally to specific activities, projects or programmes</w:t>
            </w:r>
            <w:r w:rsidRPr="00080E6F">
              <w:rPr>
                <w:rFonts w:asciiTheme="minorHAnsi" w:hAnsiTheme="minorHAnsi"/>
                <w:i/>
                <w:iCs/>
                <w:lang w:val="en-IN"/>
              </w:rPr>
              <w:t>. These costs typically include service and administrative units, as well as their related system and operating costs. Usually referred to as Programme Support Costs, or PSC, these costs must be recovered and included in all donor proposals and negotiations."</w:t>
            </w:r>
          </w:p>
          <w:p w:rsidR="00080E6F" w:rsidRPr="00080E6F" w:rsidRDefault="00080E6F" w:rsidP="00080E6F">
            <w:pPr>
              <w:pStyle w:val="NormalWeb"/>
              <w:rPr>
                <w:rFonts w:asciiTheme="minorHAnsi" w:hAnsiTheme="minorHAnsi"/>
                <w:lang w:val="en-IN"/>
              </w:rPr>
            </w:pPr>
            <w:r w:rsidRPr="00080E6F">
              <w:rPr>
                <w:rFonts w:asciiTheme="minorHAnsi" w:hAnsiTheme="minorHAnsi"/>
                <w:lang w:val="en-IN"/>
              </w:rPr>
              <w:t xml:space="preserve">Programme Support Costs (7%) are supposed to cover cost of employing human resources working commonly (in WCO, RO, HQ) on supporting all projects, budget and operational planning, central financial functions relating to income recording, creation/modification of awards, contribution management, financial reporting, preparation of financial statements and </w:t>
            </w:r>
            <w:r w:rsidRPr="00080E6F">
              <w:rPr>
                <w:rFonts w:asciiTheme="minorHAnsi" w:hAnsiTheme="minorHAnsi"/>
                <w:lang w:val="en-IN"/>
              </w:rPr>
              <w:lastRenderedPageBreak/>
              <w:t>accounts, space rentals/utilities/other admin expenses for WHO offices etc that can-not be directly associated with any particular project.</w:t>
            </w:r>
          </w:p>
          <w:p w:rsidR="00080E6F" w:rsidRPr="00080E6F" w:rsidRDefault="00080E6F" w:rsidP="00080E6F">
            <w:pPr>
              <w:pStyle w:val="NormalWeb"/>
              <w:rPr>
                <w:rFonts w:asciiTheme="minorHAnsi" w:hAnsiTheme="minorHAnsi"/>
                <w:lang w:val="en-IN"/>
              </w:rPr>
            </w:pPr>
            <w:r>
              <w:rPr>
                <w:rFonts w:asciiTheme="minorHAnsi" w:hAnsiTheme="minorHAnsi"/>
                <w:lang w:val="en-IN"/>
              </w:rPr>
              <w:t>W</w:t>
            </w:r>
            <w:r w:rsidRPr="00080E6F">
              <w:rPr>
                <w:rFonts w:asciiTheme="minorHAnsi" w:hAnsiTheme="minorHAnsi"/>
                <w:lang w:val="en-IN"/>
              </w:rPr>
              <w:t xml:space="preserve">ith reference to </w:t>
            </w:r>
            <w:r w:rsidRPr="002C0235">
              <w:rPr>
                <w:rFonts w:asciiTheme="minorHAnsi" w:hAnsiTheme="minorHAnsi"/>
                <w:b/>
                <w:lang w:val="en-IN"/>
              </w:rPr>
              <w:t>Operational Costs of $1.</w:t>
            </w:r>
            <w:r w:rsidR="00717D0C">
              <w:rPr>
                <w:rFonts w:asciiTheme="minorHAnsi" w:hAnsiTheme="minorHAnsi"/>
                <w:b/>
                <w:lang w:val="en-IN"/>
              </w:rPr>
              <w:t>35</w:t>
            </w:r>
            <w:r w:rsidRPr="002C0235">
              <w:rPr>
                <w:rFonts w:asciiTheme="minorHAnsi" w:hAnsiTheme="minorHAnsi"/>
                <w:b/>
                <w:lang w:val="en-IN"/>
              </w:rPr>
              <w:t xml:space="preserve"> million </w:t>
            </w:r>
            <w:r w:rsidRPr="00080E6F">
              <w:rPr>
                <w:rFonts w:asciiTheme="minorHAnsi" w:hAnsiTheme="minorHAnsi"/>
                <w:lang w:val="en-IN"/>
              </w:rPr>
              <w:t>that have been budgeted for GAVI, the breakdown is provided in attached excel sheet.</w:t>
            </w:r>
          </w:p>
          <w:p w:rsidR="00080E6F" w:rsidRPr="00080E6F" w:rsidRDefault="00080E6F" w:rsidP="00080E6F">
            <w:pPr>
              <w:pStyle w:val="NormalWeb"/>
              <w:rPr>
                <w:rFonts w:asciiTheme="minorHAnsi" w:hAnsiTheme="minorHAnsi"/>
                <w:lang w:val="en-IN"/>
              </w:rPr>
            </w:pPr>
            <w:r>
              <w:rPr>
                <w:rFonts w:asciiTheme="minorHAnsi" w:hAnsiTheme="minorHAnsi"/>
                <w:lang w:val="en-IN"/>
              </w:rPr>
              <w:t>WHO</w:t>
            </w:r>
            <w:r w:rsidRPr="00080E6F">
              <w:rPr>
                <w:rFonts w:asciiTheme="minorHAnsi" w:hAnsiTheme="minorHAnsi"/>
                <w:lang w:val="en-IN"/>
              </w:rPr>
              <w:t xml:space="preserve"> polio staff will be spending 30% of their time on the GAVI g</w:t>
            </w:r>
            <w:r w:rsidR="00C82C6C">
              <w:rPr>
                <w:rFonts w:asciiTheme="minorHAnsi" w:hAnsiTheme="minorHAnsi"/>
                <w:lang w:val="en-IN"/>
              </w:rPr>
              <w:t>rant activity;</w:t>
            </w:r>
            <w:r w:rsidR="00717D0C">
              <w:rPr>
                <w:rFonts w:asciiTheme="minorHAnsi" w:hAnsiTheme="minorHAnsi"/>
                <w:lang w:val="en-IN"/>
              </w:rPr>
              <w:t xml:space="preserve"> however, only</w:t>
            </w:r>
            <w:r w:rsidR="00C82C6C">
              <w:rPr>
                <w:rFonts w:asciiTheme="minorHAnsi" w:hAnsiTheme="minorHAnsi"/>
                <w:lang w:val="en-IN"/>
              </w:rPr>
              <w:t xml:space="preserve"> </w:t>
            </w:r>
            <w:r w:rsidR="00717D0C">
              <w:rPr>
                <w:rFonts w:asciiTheme="minorHAnsi" w:hAnsiTheme="minorHAnsi"/>
                <w:lang w:val="en-IN"/>
              </w:rPr>
              <w:t>22</w:t>
            </w:r>
            <w:r w:rsidR="00C82C6C">
              <w:rPr>
                <w:rFonts w:asciiTheme="minorHAnsi" w:hAnsiTheme="minorHAnsi"/>
                <w:lang w:val="en-IN"/>
              </w:rPr>
              <w:t xml:space="preserve">% of all </w:t>
            </w:r>
            <w:r w:rsidR="00717D0C">
              <w:rPr>
                <w:rFonts w:asciiTheme="minorHAnsi" w:hAnsiTheme="minorHAnsi"/>
                <w:lang w:val="en-IN"/>
              </w:rPr>
              <w:t xml:space="preserve">related </w:t>
            </w:r>
            <w:r w:rsidRPr="00080E6F">
              <w:rPr>
                <w:rFonts w:asciiTheme="minorHAnsi" w:hAnsiTheme="minorHAnsi"/>
                <w:lang w:val="en-IN"/>
              </w:rPr>
              <w:t>costs</w:t>
            </w:r>
            <w:r w:rsidR="00C82C6C">
              <w:rPr>
                <w:rFonts w:asciiTheme="minorHAnsi" w:hAnsiTheme="minorHAnsi"/>
                <w:lang w:val="en-IN"/>
              </w:rPr>
              <w:t xml:space="preserve"> </w:t>
            </w:r>
            <w:r w:rsidR="00717D0C">
              <w:rPr>
                <w:rFonts w:asciiTheme="minorHAnsi" w:hAnsiTheme="minorHAnsi"/>
                <w:lang w:val="en-IN"/>
              </w:rPr>
              <w:t>like</w:t>
            </w:r>
            <w:r w:rsidR="00C82C6C">
              <w:rPr>
                <w:rFonts w:asciiTheme="minorHAnsi" w:hAnsiTheme="minorHAnsi"/>
                <w:lang w:val="en-IN"/>
              </w:rPr>
              <w:t xml:space="preserve"> vehicle running cost, electricity, communication cost, repair and maintenance, etc.</w:t>
            </w:r>
            <w:r w:rsidRPr="00080E6F">
              <w:rPr>
                <w:rFonts w:asciiTheme="minorHAnsi" w:hAnsiTheme="minorHAnsi"/>
                <w:lang w:val="en-IN"/>
              </w:rPr>
              <w:t xml:space="preserve"> are </w:t>
            </w:r>
            <w:r w:rsidR="00717D0C">
              <w:rPr>
                <w:rFonts w:asciiTheme="minorHAnsi" w:hAnsiTheme="minorHAnsi"/>
                <w:lang w:val="en-IN"/>
              </w:rPr>
              <w:t>proposed as operational costs (amounting to 5% of program activity cost)</w:t>
            </w:r>
            <w:bookmarkStart w:id="0" w:name="_GoBack"/>
            <w:bookmarkEnd w:id="0"/>
            <w:r w:rsidRPr="00080E6F">
              <w:rPr>
                <w:rFonts w:asciiTheme="minorHAnsi" w:hAnsiTheme="minorHAnsi"/>
                <w:lang w:val="en-IN"/>
              </w:rPr>
              <w:t xml:space="preserve">.  </w:t>
            </w:r>
            <w:r w:rsidRPr="00080E6F">
              <w:rPr>
                <w:rFonts w:asciiTheme="minorHAnsi" w:hAnsiTheme="minorHAnsi"/>
                <w:u w:val="single"/>
                <w:lang w:val="en-IN"/>
              </w:rPr>
              <w:t>In this context, though administrative in nature, these costs clearly constitute “Direct Costs” for the project per-se</w:t>
            </w:r>
            <w:r w:rsidRPr="00080E6F">
              <w:rPr>
                <w:rFonts w:asciiTheme="minorHAnsi" w:hAnsiTheme="minorHAnsi"/>
                <w:lang w:val="en-IN"/>
              </w:rPr>
              <w:t xml:space="preserve">. </w:t>
            </w:r>
            <w:r w:rsidR="00717D0C" w:rsidRPr="00717D0C">
              <w:rPr>
                <w:rFonts w:asciiTheme="minorHAnsi" w:hAnsiTheme="minorHAnsi"/>
                <w:b/>
                <w:lang w:val="en-IN"/>
              </w:rPr>
              <w:t>The operational costs constitute only 5% of the total programmatic activity cost</w:t>
            </w:r>
            <w:r w:rsidR="00717D0C">
              <w:rPr>
                <w:rFonts w:asciiTheme="minorHAnsi" w:hAnsiTheme="minorHAnsi"/>
                <w:lang w:val="en-IN"/>
              </w:rPr>
              <w:t xml:space="preserve"> for WHO</w:t>
            </w:r>
          </w:p>
          <w:p w:rsidR="00080E6F" w:rsidRPr="00080E6F" w:rsidRDefault="0041223A" w:rsidP="00080E6F">
            <w:pPr>
              <w:pStyle w:val="NormalWeb"/>
              <w:rPr>
                <w:rFonts w:asciiTheme="minorHAnsi" w:hAnsiTheme="minorHAnsi"/>
                <w:lang w:val="en-IN"/>
              </w:rPr>
            </w:pPr>
            <w:r>
              <w:rPr>
                <w:rFonts w:asciiTheme="minorHAnsi" w:hAnsiTheme="minorHAnsi"/>
                <w:lang w:val="en-IN"/>
              </w:rPr>
              <w:t>A</w:t>
            </w:r>
            <w:r w:rsidR="00080E6F" w:rsidRPr="00080E6F">
              <w:rPr>
                <w:rFonts w:asciiTheme="minorHAnsi" w:hAnsiTheme="minorHAnsi"/>
                <w:lang w:val="en-IN"/>
              </w:rPr>
              <w:t>bove clarifies the concept of Programme Support Costs (indirect costs) as different from the directly budgeted operational costs (which are more in the nature of direct project costs).</w:t>
            </w:r>
          </w:p>
          <w:p w:rsidR="00AB74B4" w:rsidRDefault="00AB74B4" w:rsidP="004E2CCC">
            <w:pPr>
              <w:pStyle w:val="NormalWeb"/>
              <w:rPr>
                <w:rFonts w:ascii="Calibri" w:hAnsi="Calibri"/>
                <w:b/>
                <w:bCs/>
                <w:lang w:val="en-GB"/>
              </w:rPr>
            </w:pPr>
          </w:p>
        </w:tc>
      </w:tr>
    </w:tbl>
    <w:p w:rsidR="004E2CCC" w:rsidRPr="001238BE" w:rsidRDefault="004E2CCC" w:rsidP="009A61AD">
      <w:pPr>
        <w:pStyle w:val="NormalWeb"/>
        <w:jc w:val="both"/>
        <w:rPr>
          <w:b/>
          <w:color w:val="FF0000"/>
          <w:lang w:val="en-GB"/>
        </w:rPr>
      </w:pPr>
      <w:r w:rsidRPr="001238BE">
        <w:rPr>
          <w:rFonts w:ascii="Calibri" w:hAnsi="Calibri"/>
          <w:b/>
          <w:bCs/>
          <w:color w:val="FF0000"/>
          <w:sz w:val="22"/>
          <w:szCs w:val="22"/>
          <w:lang w:val="en-GB"/>
        </w:rPr>
        <w:lastRenderedPageBreak/>
        <w:t>ToR</w:t>
      </w:r>
      <w:r w:rsidR="009A61AD">
        <w:rPr>
          <w:rFonts w:ascii="Calibri" w:hAnsi="Calibri"/>
          <w:b/>
          <w:bCs/>
          <w:color w:val="FF0000"/>
          <w:sz w:val="22"/>
          <w:szCs w:val="22"/>
          <w:lang w:val="en-GB"/>
        </w:rPr>
        <w:t>s</w:t>
      </w:r>
      <w:r w:rsidRPr="001238BE">
        <w:rPr>
          <w:rFonts w:ascii="Calibri" w:hAnsi="Calibri"/>
          <w:b/>
          <w:bCs/>
          <w:color w:val="FF0000"/>
          <w:sz w:val="22"/>
          <w:szCs w:val="22"/>
          <w:lang w:val="en-GB"/>
        </w:rPr>
        <w:t xml:space="preserve"> of the Immunisation Action Group</w:t>
      </w:r>
      <w:r w:rsidRPr="001238BE">
        <w:rPr>
          <w:rFonts w:ascii="Calibri" w:hAnsi="Calibri"/>
          <w:b/>
          <w:color w:val="FF0000"/>
          <w:sz w:val="22"/>
          <w:szCs w:val="22"/>
          <w:lang w:val="en-GB"/>
        </w:rPr>
        <w:t xml:space="preserve"> </w:t>
      </w:r>
    </w:p>
    <w:p w:rsidR="00813E94" w:rsidRPr="00813E94" w:rsidRDefault="00813E94" w:rsidP="009A61AD">
      <w:pPr>
        <w:autoSpaceDE w:val="0"/>
        <w:autoSpaceDN w:val="0"/>
        <w:adjustRightInd w:val="0"/>
        <w:jc w:val="both"/>
        <w:rPr>
          <w:rFonts w:asciiTheme="minorHAnsi" w:hAnsiTheme="minorHAnsi" w:cs="Times-Bold"/>
          <w:b/>
          <w:bCs/>
          <w:sz w:val="22"/>
          <w:szCs w:val="22"/>
        </w:rPr>
      </w:pPr>
      <w:r w:rsidRPr="00813E94">
        <w:rPr>
          <w:rFonts w:asciiTheme="minorHAnsi" w:hAnsiTheme="minorHAnsi" w:cs="Times-Bold"/>
          <w:b/>
          <w:bCs/>
          <w:sz w:val="22"/>
          <w:szCs w:val="22"/>
        </w:rPr>
        <w:t>Background:</w:t>
      </w:r>
    </w:p>
    <w:p w:rsidR="00813E94" w:rsidRDefault="00813E94" w:rsidP="009A61AD">
      <w:pPr>
        <w:autoSpaceDE w:val="0"/>
        <w:autoSpaceDN w:val="0"/>
        <w:adjustRightInd w:val="0"/>
        <w:jc w:val="both"/>
        <w:rPr>
          <w:rFonts w:asciiTheme="minorHAnsi" w:hAnsiTheme="minorHAnsi" w:cs="Arial"/>
          <w:sz w:val="22"/>
          <w:szCs w:val="22"/>
        </w:rPr>
      </w:pPr>
    </w:p>
    <w:p w:rsidR="00F97650" w:rsidRDefault="00813E94" w:rsidP="009A61AD">
      <w:pPr>
        <w:autoSpaceDE w:val="0"/>
        <w:autoSpaceDN w:val="0"/>
        <w:adjustRightInd w:val="0"/>
        <w:jc w:val="both"/>
        <w:rPr>
          <w:rFonts w:asciiTheme="minorHAnsi" w:hAnsiTheme="minorHAnsi" w:cs="Arial"/>
          <w:sz w:val="22"/>
          <w:szCs w:val="22"/>
        </w:rPr>
      </w:pPr>
      <w:r w:rsidRPr="00813E94">
        <w:rPr>
          <w:rFonts w:asciiTheme="minorHAnsi" w:hAnsiTheme="minorHAnsi" w:cs="Arial"/>
          <w:sz w:val="22"/>
          <w:szCs w:val="22"/>
        </w:rPr>
        <w:t xml:space="preserve">The Partners Forum, formed in 2007, meets quarterly and has representation from a wide range of experts in </w:t>
      </w:r>
      <w:r>
        <w:rPr>
          <w:rFonts w:asciiTheme="minorHAnsi" w:hAnsiTheme="minorHAnsi" w:cs="Arial"/>
          <w:sz w:val="22"/>
          <w:szCs w:val="22"/>
        </w:rPr>
        <w:t>areas of immunization, program</w:t>
      </w:r>
      <w:r w:rsidRPr="00813E94">
        <w:rPr>
          <w:rFonts w:asciiTheme="minorHAnsi" w:hAnsiTheme="minorHAnsi" w:cs="Arial"/>
          <w:sz w:val="22"/>
          <w:szCs w:val="22"/>
        </w:rPr>
        <w:t xml:space="preserve"> management and health systems in India, and includes members from the </w:t>
      </w:r>
      <w:proofErr w:type="spellStart"/>
      <w:r w:rsidRPr="00813E94">
        <w:rPr>
          <w:rFonts w:asciiTheme="minorHAnsi" w:hAnsiTheme="minorHAnsi" w:cs="Arial"/>
          <w:sz w:val="22"/>
          <w:szCs w:val="22"/>
        </w:rPr>
        <w:t>MoHFW</w:t>
      </w:r>
      <w:proofErr w:type="spellEnd"/>
      <w:r w:rsidRPr="00813E94">
        <w:rPr>
          <w:rFonts w:asciiTheme="minorHAnsi" w:hAnsiTheme="minorHAnsi" w:cs="Arial"/>
          <w:sz w:val="22"/>
          <w:szCs w:val="22"/>
        </w:rPr>
        <w:t xml:space="preserve">, ITSU, UNICEF, WHO and other partners. The main purpose of the Forum is to coordinate activities to strengthen RI. The Partners Forum met in August 2012 to discuss the draft GAVI HSS proposal, and Partners were provided an opportunity to provide feedback/comments on the draft. </w:t>
      </w:r>
    </w:p>
    <w:p w:rsidR="00F97650" w:rsidRDefault="00F97650" w:rsidP="009A61AD">
      <w:pPr>
        <w:autoSpaceDE w:val="0"/>
        <w:autoSpaceDN w:val="0"/>
        <w:adjustRightInd w:val="0"/>
        <w:jc w:val="both"/>
        <w:rPr>
          <w:rFonts w:asciiTheme="minorHAnsi" w:hAnsiTheme="minorHAnsi" w:cs="Arial"/>
          <w:sz w:val="22"/>
          <w:szCs w:val="22"/>
        </w:rPr>
      </w:pPr>
    </w:p>
    <w:p w:rsidR="00AC6088" w:rsidRDefault="00813E94" w:rsidP="009A61AD">
      <w:pPr>
        <w:pStyle w:val="NormalWeb"/>
        <w:spacing w:after="120" w:afterAutospacing="0"/>
        <w:jc w:val="both"/>
        <w:rPr>
          <w:rFonts w:asciiTheme="minorHAnsi" w:hAnsiTheme="minorHAnsi" w:cs="Arial"/>
          <w:sz w:val="22"/>
          <w:szCs w:val="22"/>
        </w:rPr>
      </w:pPr>
      <w:r w:rsidRPr="00813E94">
        <w:rPr>
          <w:rFonts w:asciiTheme="minorHAnsi" w:hAnsiTheme="minorHAnsi" w:cs="Arial"/>
          <w:sz w:val="22"/>
          <w:szCs w:val="22"/>
        </w:rPr>
        <w:t xml:space="preserve">In October 2011, </w:t>
      </w:r>
      <w:proofErr w:type="spellStart"/>
      <w:r w:rsidRPr="00813E94">
        <w:rPr>
          <w:rFonts w:asciiTheme="minorHAnsi" w:hAnsiTheme="minorHAnsi" w:cs="Arial"/>
          <w:sz w:val="22"/>
          <w:szCs w:val="22"/>
        </w:rPr>
        <w:t>MoHFW</w:t>
      </w:r>
      <w:proofErr w:type="spellEnd"/>
      <w:r w:rsidR="00F97650">
        <w:rPr>
          <w:rFonts w:asciiTheme="minorHAnsi" w:hAnsiTheme="minorHAnsi" w:cs="Arial"/>
          <w:sz w:val="22"/>
          <w:szCs w:val="22"/>
        </w:rPr>
        <w:t xml:space="preserve"> </w:t>
      </w:r>
      <w:r w:rsidR="00F97650" w:rsidRPr="00813E94">
        <w:rPr>
          <w:rFonts w:asciiTheme="minorHAnsi" w:hAnsiTheme="minorHAnsi" w:cs="Arial"/>
          <w:sz w:val="22"/>
          <w:szCs w:val="22"/>
        </w:rPr>
        <w:t xml:space="preserve">constituted a national level IAG to help intensify RI program. </w:t>
      </w:r>
      <w:r w:rsidR="00F97650">
        <w:rPr>
          <w:rFonts w:asciiTheme="minorHAnsi" w:hAnsiTheme="minorHAnsi" w:cs="Arial"/>
          <w:sz w:val="22"/>
          <w:szCs w:val="22"/>
        </w:rPr>
        <w:t>Immunization Action Group has been constituted under the chairpersonship of Jo</w:t>
      </w:r>
      <w:r w:rsidR="00A36870">
        <w:rPr>
          <w:rFonts w:asciiTheme="minorHAnsi" w:hAnsiTheme="minorHAnsi" w:cs="Arial"/>
          <w:sz w:val="22"/>
          <w:szCs w:val="22"/>
        </w:rPr>
        <w:t>int Secretary RCH. Group is Co</w:t>
      </w:r>
      <w:r w:rsidR="00F97650">
        <w:rPr>
          <w:rFonts w:asciiTheme="minorHAnsi" w:hAnsiTheme="minorHAnsi" w:cs="Arial"/>
          <w:sz w:val="22"/>
          <w:szCs w:val="22"/>
        </w:rPr>
        <w:t>-</w:t>
      </w:r>
      <w:r w:rsidR="00A36870">
        <w:rPr>
          <w:rFonts w:asciiTheme="minorHAnsi" w:hAnsiTheme="minorHAnsi" w:cs="Arial"/>
          <w:sz w:val="22"/>
          <w:szCs w:val="22"/>
        </w:rPr>
        <w:t>chaired</w:t>
      </w:r>
      <w:r w:rsidR="00F97650">
        <w:rPr>
          <w:rFonts w:asciiTheme="minorHAnsi" w:hAnsiTheme="minorHAnsi" w:cs="Arial"/>
          <w:sz w:val="22"/>
          <w:szCs w:val="22"/>
        </w:rPr>
        <w:t xml:space="preserve"> by Deputy Commissioner Child Health &amp; Immunization</w:t>
      </w:r>
      <w:r w:rsidR="00A36870">
        <w:rPr>
          <w:rFonts w:asciiTheme="minorHAnsi" w:hAnsiTheme="minorHAnsi" w:cs="Arial"/>
          <w:sz w:val="22"/>
          <w:szCs w:val="22"/>
        </w:rPr>
        <w:t xml:space="preserve">. The purpose of this group is to periodically advise the immunization division regarding ways to improve the coverage and to provide technical suggestions for taking up new initiatives. </w:t>
      </w:r>
    </w:p>
    <w:p w:rsidR="00AC6088" w:rsidRDefault="00AC6088" w:rsidP="009A61AD">
      <w:pPr>
        <w:pStyle w:val="NormalWeb"/>
        <w:spacing w:after="120" w:afterAutospacing="0"/>
        <w:jc w:val="both"/>
        <w:rPr>
          <w:rFonts w:asciiTheme="minorHAnsi" w:hAnsiTheme="minorHAnsi" w:cs="Arial"/>
          <w:sz w:val="22"/>
          <w:szCs w:val="22"/>
        </w:rPr>
      </w:pPr>
      <w:r>
        <w:rPr>
          <w:rFonts w:asciiTheme="minorHAnsi" w:hAnsiTheme="minorHAnsi" w:cs="Arial"/>
          <w:sz w:val="22"/>
          <w:szCs w:val="22"/>
        </w:rPr>
        <w:t xml:space="preserve">The Partners Forum and the IAG are equivalent to </w:t>
      </w:r>
      <w:r w:rsidRPr="00813E94">
        <w:rPr>
          <w:rFonts w:asciiTheme="minorHAnsi" w:hAnsiTheme="minorHAnsi" w:cs="Arial"/>
          <w:sz w:val="22"/>
          <w:szCs w:val="22"/>
        </w:rPr>
        <w:t>Health Sector Coordination Commi</w:t>
      </w:r>
      <w:r>
        <w:rPr>
          <w:rFonts w:asciiTheme="minorHAnsi" w:hAnsiTheme="minorHAnsi" w:cs="Arial"/>
          <w:sz w:val="22"/>
          <w:szCs w:val="22"/>
        </w:rPr>
        <w:t>ttee (HSCC) in India.</w:t>
      </w:r>
    </w:p>
    <w:p w:rsidR="00AC6088" w:rsidRPr="00813E94" w:rsidRDefault="00AC6088" w:rsidP="009A61AD">
      <w:pPr>
        <w:autoSpaceDE w:val="0"/>
        <w:autoSpaceDN w:val="0"/>
        <w:adjustRightInd w:val="0"/>
        <w:jc w:val="both"/>
        <w:rPr>
          <w:rFonts w:asciiTheme="minorHAnsi" w:hAnsiTheme="minorHAnsi" w:cs="Times-Bold"/>
          <w:b/>
          <w:bCs/>
          <w:sz w:val="22"/>
          <w:szCs w:val="22"/>
        </w:rPr>
      </w:pPr>
      <w:r w:rsidRPr="00813E94">
        <w:rPr>
          <w:rFonts w:asciiTheme="minorHAnsi" w:hAnsiTheme="minorHAnsi" w:cs="Times-Bold"/>
          <w:b/>
          <w:bCs/>
          <w:sz w:val="22"/>
          <w:szCs w:val="22"/>
        </w:rPr>
        <w:t>Term of reference:</w:t>
      </w:r>
    </w:p>
    <w:p w:rsidR="00AC6088" w:rsidRDefault="00AC6088" w:rsidP="009A61AD">
      <w:pPr>
        <w:autoSpaceDE w:val="0"/>
        <w:autoSpaceDN w:val="0"/>
        <w:adjustRightInd w:val="0"/>
        <w:jc w:val="both"/>
        <w:rPr>
          <w:rFonts w:asciiTheme="minorHAnsi" w:hAnsiTheme="minorHAnsi" w:cs="Times-Roman"/>
          <w:sz w:val="22"/>
          <w:szCs w:val="22"/>
        </w:rPr>
      </w:pPr>
    </w:p>
    <w:p w:rsidR="00AC6088" w:rsidRPr="00813E94" w:rsidRDefault="00AC6088" w:rsidP="009A61AD">
      <w:pPr>
        <w:autoSpaceDE w:val="0"/>
        <w:autoSpaceDN w:val="0"/>
        <w:adjustRightInd w:val="0"/>
        <w:jc w:val="both"/>
        <w:rPr>
          <w:rFonts w:asciiTheme="minorHAnsi" w:hAnsiTheme="minorHAnsi" w:cs="Times-Roman"/>
          <w:sz w:val="22"/>
          <w:szCs w:val="22"/>
        </w:rPr>
      </w:pPr>
      <w:r>
        <w:rPr>
          <w:rFonts w:asciiTheme="minorHAnsi" w:hAnsiTheme="minorHAnsi" w:cs="Times-Roman"/>
          <w:sz w:val="22"/>
          <w:szCs w:val="22"/>
        </w:rPr>
        <w:t>IAG</w:t>
      </w:r>
      <w:r w:rsidRPr="00813E94">
        <w:rPr>
          <w:rFonts w:asciiTheme="minorHAnsi" w:hAnsiTheme="minorHAnsi" w:cs="Times-Roman"/>
          <w:sz w:val="22"/>
          <w:szCs w:val="22"/>
        </w:rPr>
        <w:t xml:space="preserve"> is a forum to</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Guide Immunization division regarding ways to improve immunization coverage</w:t>
      </w:r>
    </w:p>
    <w:p w:rsid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 xml:space="preserve">Provide technical support to immunization division, </w:t>
      </w:r>
      <w:proofErr w:type="spellStart"/>
      <w:r w:rsidRPr="00AC6088">
        <w:rPr>
          <w:rFonts w:asciiTheme="minorHAnsi" w:hAnsiTheme="minorHAnsi" w:cs="Times-Roman"/>
          <w:szCs w:val="22"/>
        </w:rPr>
        <w:t>MoHFW</w:t>
      </w:r>
      <w:proofErr w:type="spellEnd"/>
      <w:r w:rsidRPr="00AC6088">
        <w:rPr>
          <w:rFonts w:asciiTheme="minorHAnsi" w:hAnsiTheme="minorHAnsi" w:cs="Times-Roman"/>
          <w:szCs w:val="22"/>
        </w:rPr>
        <w:t xml:space="preserve"> in strengthening UIP</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Pr>
          <w:rFonts w:asciiTheme="minorHAnsi" w:hAnsiTheme="minorHAnsi" w:cs="Times-Roman"/>
          <w:szCs w:val="22"/>
        </w:rPr>
        <w:lastRenderedPageBreak/>
        <w:t>Provide suggestions on taking new initiatives to improve immunization program efforts</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Understand thematic and geographic strength &amp; mandate of each partner organization in the field of immunization</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Coordinate between partner agencies for synergistic actions, joint assessments and program review</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Share best practices, learning experiences from states</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Review progress of implementation of immunization program including newer vaccines, campaigns and recent initiatives</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 xml:space="preserve">Share </w:t>
      </w:r>
      <w:proofErr w:type="spellStart"/>
      <w:r w:rsidRPr="00AC6088">
        <w:rPr>
          <w:rFonts w:asciiTheme="minorHAnsi" w:hAnsiTheme="minorHAnsi" w:cs="Times-Roman"/>
          <w:szCs w:val="22"/>
        </w:rPr>
        <w:t>GoI</w:t>
      </w:r>
      <w:proofErr w:type="spellEnd"/>
      <w:r w:rsidRPr="00AC6088">
        <w:rPr>
          <w:rFonts w:asciiTheme="minorHAnsi" w:hAnsiTheme="minorHAnsi" w:cs="Times-Roman"/>
          <w:szCs w:val="22"/>
        </w:rPr>
        <w:t xml:space="preserve"> priorities and areas of additional support required.</w:t>
      </w:r>
    </w:p>
    <w:p w:rsidR="00AC6088" w:rsidRPr="00AC6088" w:rsidRDefault="00AC6088" w:rsidP="009A61AD">
      <w:pPr>
        <w:pStyle w:val="ListParagraph"/>
        <w:numPr>
          <w:ilvl w:val="0"/>
          <w:numId w:val="5"/>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Present action taken report in follow up meeting</w:t>
      </w:r>
    </w:p>
    <w:p w:rsidR="00AC6088" w:rsidRDefault="00AC6088" w:rsidP="009A61AD">
      <w:pPr>
        <w:autoSpaceDE w:val="0"/>
        <w:autoSpaceDN w:val="0"/>
        <w:adjustRightInd w:val="0"/>
        <w:jc w:val="both"/>
        <w:rPr>
          <w:rFonts w:asciiTheme="minorHAnsi" w:hAnsiTheme="minorHAnsi" w:cs="Arial"/>
          <w:sz w:val="22"/>
          <w:szCs w:val="22"/>
        </w:rPr>
      </w:pPr>
    </w:p>
    <w:p w:rsidR="00AC6088" w:rsidRDefault="00AC6088" w:rsidP="009A61AD">
      <w:pPr>
        <w:autoSpaceDE w:val="0"/>
        <w:autoSpaceDN w:val="0"/>
        <w:adjustRightInd w:val="0"/>
        <w:jc w:val="both"/>
        <w:rPr>
          <w:rFonts w:asciiTheme="minorHAnsi" w:hAnsiTheme="minorHAnsi" w:cs="Arial"/>
          <w:sz w:val="22"/>
          <w:szCs w:val="22"/>
        </w:rPr>
      </w:pPr>
    </w:p>
    <w:p w:rsidR="00AC6088" w:rsidRPr="00813E94" w:rsidRDefault="00AC6088" w:rsidP="009A61AD">
      <w:pPr>
        <w:autoSpaceDE w:val="0"/>
        <w:autoSpaceDN w:val="0"/>
        <w:adjustRightInd w:val="0"/>
        <w:jc w:val="both"/>
        <w:rPr>
          <w:rFonts w:asciiTheme="minorHAnsi" w:hAnsiTheme="minorHAnsi" w:cs="Times-Bold"/>
          <w:b/>
          <w:bCs/>
          <w:sz w:val="22"/>
          <w:szCs w:val="22"/>
        </w:rPr>
      </w:pPr>
      <w:r w:rsidRPr="00813E94">
        <w:rPr>
          <w:rFonts w:asciiTheme="minorHAnsi" w:hAnsiTheme="minorHAnsi" w:cs="Times-Bold"/>
          <w:b/>
          <w:bCs/>
          <w:sz w:val="22"/>
          <w:szCs w:val="22"/>
        </w:rPr>
        <w:t>Membership:</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proofErr w:type="spellStart"/>
      <w:r w:rsidRPr="00AC6088">
        <w:rPr>
          <w:rFonts w:asciiTheme="minorHAnsi" w:hAnsiTheme="minorHAnsi" w:cs="Times-Roman"/>
          <w:szCs w:val="22"/>
        </w:rPr>
        <w:t>MoHFW</w:t>
      </w:r>
      <w:proofErr w:type="spellEnd"/>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ITSU</w:t>
      </w:r>
      <w:r w:rsidR="00C82C6C">
        <w:rPr>
          <w:rFonts w:asciiTheme="minorHAnsi" w:hAnsiTheme="minorHAnsi" w:cs="Times-Roman"/>
          <w:szCs w:val="22"/>
        </w:rPr>
        <w:t>/PHFI</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WHO</w:t>
      </w:r>
    </w:p>
    <w:p w:rsid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UNICEF</w:t>
      </w:r>
    </w:p>
    <w:p w:rsidR="00CF447B" w:rsidRPr="00C82C6C" w:rsidRDefault="00CF447B" w:rsidP="009A61AD">
      <w:pPr>
        <w:pStyle w:val="ListParagraph"/>
        <w:numPr>
          <w:ilvl w:val="0"/>
          <w:numId w:val="8"/>
        </w:numPr>
        <w:autoSpaceDE w:val="0"/>
        <w:autoSpaceDN w:val="0"/>
        <w:adjustRightInd w:val="0"/>
        <w:jc w:val="both"/>
        <w:rPr>
          <w:rFonts w:asciiTheme="minorHAnsi" w:hAnsiTheme="minorHAnsi" w:cs="Times-Roman"/>
          <w:szCs w:val="22"/>
        </w:rPr>
      </w:pPr>
      <w:r>
        <w:rPr>
          <w:rFonts w:asciiTheme="minorHAnsi" w:hAnsiTheme="minorHAnsi" w:cs="Times-Roman"/>
          <w:szCs w:val="22"/>
        </w:rPr>
        <w:t>UNDP</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Pr>
          <w:rFonts w:asciiTheme="minorHAnsi" w:hAnsiTheme="minorHAnsi" w:cs="Times-Roman"/>
          <w:szCs w:val="22"/>
        </w:rPr>
        <w:t>USAID/</w:t>
      </w:r>
      <w:r w:rsidRPr="00AC6088">
        <w:rPr>
          <w:rFonts w:asciiTheme="minorHAnsi" w:hAnsiTheme="minorHAnsi" w:cs="Times-Roman"/>
          <w:szCs w:val="22"/>
        </w:rPr>
        <w:t>MCHIP</w:t>
      </w:r>
    </w:p>
    <w:p w:rsidR="00AC6088" w:rsidRPr="00AC6088" w:rsidRDefault="00CF447B" w:rsidP="009A61AD">
      <w:pPr>
        <w:pStyle w:val="ListParagraph"/>
        <w:numPr>
          <w:ilvl w:val="0"/>
          <w:numId w:val="8"/>
        </w:numPr>
        <w:autoSpaceDE w:val="0"/>
        <w:autoSpaceDN w:val="0"/>
        <w:adjustRightInd w:val="0"/>
        <w:jc w:val="both"/>
        <w:rPr>
          <w:rFonts w:asciiTheme="minorHAnsi" w:hAnsiTheme="minorHAnsi" w:cs="Times-Roman"/>
          <w:szCs w:val="22"/>
        </w:rPr>
      </w:pPr>
      <w:r>
        <w:rPr>
          <w:rFonts w:asciiTheme="minorHAnsi" w:hAnsiTheme="minorHAnsi" w:cs="Times-Roman"/>
          <w:szCs w:val="22"/>
        </w:rPr>
        <w:t>INCLEN</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BMGF</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ICMR</w:t>
      </w:r>
    </w:p>
    <w:p w:rsidR="00AC6088" w:rsidRDefault="00CF447B" w:rsidP="009A61AD">
      <w:pPr>
        <w:pStyle w:val="ListParagraph"/>
        <w:numPr>
          <w:ilvl w:val="0"/>
          <w:numId w:val="8"/>
        </w:numPr>
        <w:autoSpaceDE w:val="0"/>
        <w:autoSpaceDN w:val="0"/>
        <w:adjustRightInd w:val="0"/>
        <w:jc w:val="both"/>
        <w:rPr>
          <w:rFonts w:asciiTheme="minorHAnsi" w:hAnsiTheme="minorHAnsi" w:cs="Times-Roman"/>
          <w:szCs w:val="22"/>
        </w:rPr>
      </w:pPr>
      <w:r>
        <w:rPr>
          <w:rFonts w:asciiTheme="minorHAnsi" w:hAnsiTheme="minorHAnsi" w:cs="Times-Roman"/>
          <w:szCs w:val="22"/>
        </w:rPr>
        <w:t>NII</w:t>
      </w:r>
    </w:p>
    <w:p w:rsidR="00CF447B" w:rsidRDefault="00CF447B" w:rsidP="009A61AD">
      <w:pPr>
        <w:pStyle w:val="ListParagraph"/>
        <w:numPr>
          <w:ilvl w:val="0"/>
          <w:numId w:val="8"/>
        </w:numPr>
        <w:autoSpaceDE w:val="0"/>
        <w:autoSpaceDN w:val="0"/>
        <w:adjustRightInd w:val="0"/>
        <w:jc w:val="both"/>
        <w:rPr>
          <w:rFonts w:asciiTheme="minorHAnsi" w:hAnsiTheme="minorHAnsi" w:cs="Times-Roman"/>
          <w:szCs w:val="22"/>
        </w:rPr>
      </w:pPr>
      <w:r>
        <w:rPr>
          <w:rFonts w:asciiTheme="minorHAnsi" w:hAnsiTheme="minorHAnsi" w:cs="Times-Roman"/>
          <w:szCs w:val="22"/>
        </w:rPr>
        <w:t>NCDC</w:t>
      </w:r>
    </w:p>
    <w:p w:rsidR="00CF447B" w:rsidRPr="00AC6088" w:rsidRDefault="00CF447B" w:rsidP="009A61AD">
      <w:pPr>
        <w:pStyle w:val="ListParagraph"/>
        <w:numPr>
          <w:ilvl w:val="0"/>
          <w:numId w:val="8"/>
        </w:numPr>
        <w:autoSpaceDE w:val="0"/>
        <w:autoSpaceDN w:val="0"/>
        <w:adjustRightInd w:val="0"/>
        <w:jc w:val="both"/>
        <w:rPr>
          <w:rFonts w:asciiTheme="minorHAnsi" w:hAnsiTheme="minorHAnsi" w:cs="Times-Roman"/>
          <w:szCs w:val="22"/>
        </w:rPr>
      </w:pPr>
      <w:proofErr w:type="spellStart"/>
      <w:r>
        <w:rPr>
          <w:rFonts w:asciiTheme="minorHAnsi" w:hAnsiTheme="minorHAnsi" w:cs="Times-Roman"/>
          <w:szCs w:val="22"/>
        </w:rPr>
        <w:t>Deptt</w:t>
      </w:r>
      <w:proofErr w:type="spellEnd"/>
      <w:r>
        <w:rPr>
          <w:rFonts w:asciiTheme="minorHAnsi" w:hAnsiTheme="minorHAnsi" w:cs="Times-Roman"/>
          <w:szCs w:val="22"/>
        </w:rPr>
        <w:t>. Of PSM MAMC</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IAP</w:t>
      </w:r>
    </w:p>
    <w:p w:rsidR="00AC6088" w:rsidRPr="00C82C6C" w:rsidRDefault="00CF447B" w:rsidP="009A61AD">
      <w:pPr>
        <w:pStyle w:val="ListParagraph"/>
        <w:numPr>
          <w:ilvl w:val="0"/>
          <w:numId w:val="8"/>
        </w:numPr>
        <w:autoSpaceDE w:val="0"/>
        <w:autoSpaceDN w:val="0"/>
        <w:adjustRightInd w:val="0"/>
        <w:jc w:val="both"/>
        <w:rPr>
          <w:rFonts w:asciiTheme="minorHAnsi" w:hAnsiTheme="minorHAnsi" w:cs="Times-Roman"/>
          <w:szCs w:val="22"/>
        </w:rPr>
      </w:pPr>
      <w:proofErr w:type="spellStart"/>
      <w:r>
        <w:rPr>
          <w:rFonts w:asciiTheme="minorHAnsi" w:hAnsiTheme="minorHAnsi" w:cs="Times-Roman"/>
          <w:szCs w:val="22"/>
        </w:rPr>
        <w:t>Deptt</w:t>
      </w:r>
      <w:proofErr w:type="spellEnd"/>
      <w:r>
        <w:rPr>
          <w:rFonts w:asciiTheme="minorHAnsi" w:hAnsiTheme="minorHAnsi" w:cs="Times-Roman"/>
          <w:szCs w:val="22"/>
        </w:rPr>
        <w:t>. of Biotechnology</w:t>
      </w:r>
    </w:p>
    <w:p w:rsidR="00AC6088" w:rsidRPr="00AC6088" w:rsidRDefault="00AC6088" w:rsidP="009A61AD">
      <w:pPr>
        <w:pStyle w:val="ListParagraph"/>
        <w:numPr>
          <w:ilvl w:val="0"/>
          <w:numId w:val="8"/>
        </w:numPr>
        <w:autoSpaceDE w:val="0"/>
        <w:autoSpaceDN w:val="0"/>
        <w:adjustRightInd w:val="0"/>
        <w:jc w:val="both"/>
        <w:rPr>
          <w:rFonts w:asciiTheme="minorHAnsi" w:hAnsiTheme="minorHAnsi" w:cs="Times-Roman"/>
          <w:szCs w:val="22"/>
        </w:rPr>
      </w:pPr>
      <w:r w:rsidRPr="00AC6088">
        <w:rPr>
          <w:rFonts w:asciiTheme="minorHAnsi" w:hAnsiTheme="minorHAnsi" w:cs="Times-Roman"/>
          <w:szCs w:val="22"/>
        </w:rPr>
        <w:t>Special invitee and/or subject experts</w:t>
      </w:r>
    </w:p>
    <w:p w:rsidR="00AC6088" w:rsidRDefault="00AC6088" w:rsidP="009A61AD">
      <w:pPr>
        <w:autoSpaceDE w:val="0"/>
        <w:autoSpaceDN w:val="0"/>
        <w:adjustRightInd w:val="0"/>
        <w:jc w:val="both"/>
        <w:rPr>
          <w:rFonts w:asciiTheme="minorHAnsi" w:hAnsiTheme="minorHAnsi" w:cs="Arial"/>
          <w:sz w:val="22"/>
          <w:szCs w:val="22"/>
        </w:rPr>
      </w:pPr>
    </w:p>
    <w:p w:rsidR="00C82C6C" w:rsidRPr="00C82C6C" w:rsidRDefault="00C82C6C" w:rsidP="009A61AD">
      <w:pPr>
        <w:pStyle w:val="NormalWeb"/>
        <w:spacing w:after="120" w:afterAutospacing="0"/>
        <w:jc w:val="both"/>
        <w:rPr>
          <w:rFonts w:asciiTheme="minorHAnsi" w:hAnsiTheme="minorHAnsi" w:cs="Arial"/>
          <w:b/>
          <w:sz w:val="22"/>
          <w:szCs w:val="22"/>
        </w:rPr>
      </w:pPr>
      <w:r w:rsidRPr="00C82C6C">
        <w:rPr>
          <w:rFonts w:asciiTheme="minorHAnsi" w:hAnsiTheme="minorHAnsi" w:cs="Arial"/>
          <w:b/>
          <w:sz w:val="22"/>
          <w:szCs w:val="22"/>
        </w:rPr>
        <w:t>Role of IAG in GAVI HSS Proposal</w:t>
      </w:r>
    </w:p>
    <w:p w:rsidR="00C82C6C" w:rsidRPr="00813E94" w:rsidRDefault="00C82C6C" w:rsidP="009A61AD">
      <w:pPr>
        <w:pStyle w:val="NormalWeb"/>
        <w:spacing w:after="120" w:afterAutospacing="0"/>
        <w:jc w:val="both"/>
        <w:rPr>
          <w:rFonts w:asciiTheme="minorHAnsi" w:hAnsiTheme="minorHAnsi"/>
          <w:sz w:val="22"/>
          <w:szCs w:val="22"/>
          <w:lang w:val="en-GB"/>
        </w:rPr>
      </w:pPr>
      <w:r w:rsidRPr="00813E94">
        <w:rPr>
          <w:rFonts w:asciiTheme="minorHAnsi" w:hAnsiTheme="minorHAnsi" w:cs="Arial"/>
          <w:sz w:val="22"/>
          <w:szCs w:val="22"/>
        </w:rPr>
        <w:t xml:space="preserve">The IAG, chaired by Joint Secretary </w:t>
      </w:r>
      <w:r>
        <w:rPr>
          <w:rFonts w:asciiTheme="minorHAnsi" w:hAnsiTheme="minorHAnsi" w:cs="Arial"/>
          <w:sz w:val="22"/>
          <w:szCs w:val="22"/>
        </w:rPr>
        <w:t xml:space="preserve">Reproductive &amp; </w:t>
      </w:r>
      <w:r w:rsidRPr="00813E94">
        <w:rPr>
          <w:rFonts w:asciiTheme="minorHAnsi" w:hAnsiTheme="minorHAnsi" w:cs="Arial"/>
          <w:sz w:val="22"/>
          <w:szCs w:val="22"/>
        </w:rPr>
        <w:t>Child Health, will meet every quarter to review the progress</w:t>
      </w:r>
      <w:r>
        <w:rPr>
          <w:rFonts w:asciiTheme="minorHAnsi" w:hAnsiTheme="minorHAnsi" w:cs="Arial"/>
          <w:sz w:val="22"/>
          <w:szCs w:val="22"/>
        </w:rPr>
        <w:t xml:space="preserve"> of HSS Grant</w:t>
      </w:r>
      <w:r w:rsidRPr="00813E94">
        <w:rPr>
          <w:rFonts w:asciiTheme="minorHAnsi" w:hAnsiTheme="minorHAnsi" w:cs="Arial"/>
          <w:sz w:val="22"/>
          <w:szCs w:val="22"/>
        </w:rPr>
        <w:t>, discuss challenges and to take corrective action.</w:t>
      </w:r>
    </w:p>
    <w:p w:rsidR="00E31F4C" w:rsidRPr="00813E94" w:rsidRDefault="00C82C6C" w:rsidP="009A61AD">
      <w:pPr>
        <w:pStyle w:val="NormalWeb"/>
        <w:spacing w:after="120" w:afterAutospacing="0"/>
        <w:jc w:val="both"/>
        <w:rPr>
          <w:rFonts w:asciiTheme="minorHAnsi" w:hAnsiTheme="minorHAnsi" w:cs="Arial"/>
          <w:sz w:val="22"/>
          <w:szCs w:val="22"/>
        </w:rPr>
      </w:pPr>
      <w:r>
        <w:rPr>
          <w:rFonts w:asciiTheme="minorHAnsi" w:hAnsiTheme="minorHAnsi" w:cs="Arial"/>
          <w:sz w:val="22"/>
          <w:szCs w:val="22"/>
        </w:rPr>
        <w:t xml:space="preserve">IAG </w:t>
      </w:r>
      <w:r w:rsidR="00062AE6" w:rsidRPr="00813E94">
        <w:rPr>
          <w:rFonts w:asciiTheme="minorHAnsi" w:hAnsiTheme="minorHAnsi" w:cs="Arial"/>
          <w:sz w:val="22"/>
          <w:szCs w:val="22"/>
        </w:rPr>
        <w:t>with HSS secretarial support will be responsible for reviewing the reports submitted by lead implementers on financial and physical progress of the HSS g</w:t>
      </w:r>
      <w:r>
        <w:rPr>
          <w:rFonts w:asciiTheme="minorHAnsi" w:hAnsiTheme="minorHAnsi" w:cs="Arial"/>
          <w:sz w:val="22"/>
          <w:szCs w:val="22"/>
        </w:rPr>
        <w:t>rant through quarterly meetings</w:t>
      </w:r>
      <w:r w:rsidR="00E31F4C" w:rsidRPr="00813E94">
        <w:rPr>
          <w:rFonts w:asciiTheme="minorHAnsi" w:hAnsiTheme="minorHAnsi" w:cs="Arial"/>
          <w:sz w:val="22"/>
          <w:szCs w:val="22"/>
        </w:rPr>
        <w:t xml:space="preserve"> </w:t>
      </w:r>
    </w:p>
    <w:p w:rsidR="00C82C6C" w:rsidRDefault="00C82C6C" w:rsidP="009A61AD">
      <w:pPr>
        <w:spacing w:after="120"/>
        <w:jc w:val="both"/>
        <w:rPr>
          <w:rFonts w:asciiTheme="minorHAnsi" w:hAnsiTheme="minorHAnsi" w:cs="Arial"/>
          <w:sz w:val="22"/>
          <w:szCs w:val="22"/>
        </w:rPr>
      </w:pPr>
    </w:p>
    <w:p w:rsidR="00E31F4C" w:rsidRPr="00813E94" w:rsidRDefault="00E31F4C" w:rsidP="009A61AD">
      <w:pPr>
        <w:spacing w:after="120"/>
        <w:jc w:val="both"/>
        <w:rPr>
          <w:rFonts w:asciiTheme="minorHAnsi" w:hAnsiTheme="minorHAnsi" w:cs="Arial"/>
          <w:sz w:val="22"/>
          <w:szCs w:val="22"/>
        </w:rPr>
      </w:pPr>
      <w:r w:rsidRPr="00813E94">
        <w:rPr>
          <w:rFonts w:asciiTheme="minorHAnsi" w:hAnsiTheme="minorHAnsi" w:cs="Arial"/>
          <w:sz w:val="22"/>
          <w:szCs w:val="22"/>
        </w:rPr>
        <w:t>The ministry, lead implementers and state health departments have been working with CSOs in the health sector. Key CSOs will be identified and CSOs will be included in the IAG as well as state and district coordination groups, and the planning and implementation of activities.</w:t>
      </w:r>
    </w:p>
    <w:p w:rsidR="00C82C6C" w:rsidRDefault="00C82C6C" w:rsidP="009A61AD">
      <w:pPr>
        <w:spacing w:after="120"/>
        <w:jc w:val="both"/>
        <w:rPr>
          <w:rFonts w:asciiTheme="minorHAnsi" w:hAnsiTheme="minorHAnsi" w:cs="Arial"/>
          <w:sz w:val="22"/>
          <w:szCs w:val="22"/>
        </w:rPr>
      </w:pPr>
    </w:p>
    <w:p w:rsidR="004E2CCC" w:rsidRPr="00813E94" w:rsidRDefault="005F585B" w:rsidP="009A61AD">
      <w:pPr>
        <w:pStyle w:val="NormalWeb"/>
        <w:spacing w:after="120" w:afterAutospacing="0"/>
        <w:jc w:val="both"/>
        <w:rPr>
          <w:rFonts w:asciiTheme="minorHAnsi" w:hAnsiTheme="minorHAnsi" w:cs="Arial"/>
          <w:sz w:val="22"/>
          <w:szCs w:val="22"/>
        </w:rPr>
      </w:pPr>
      <w:r w:rsidRPr="00813E94">
        <w:rPr>
          <w:rFonts w:asciiTheme="minorHAnsi" w:hAnsiTheme="minorHAnsi" w:cs="Arial"/>
          <w:sz w:val="22"/>
          <w:szCs w:val="22"/>
        </w:rPr>
        <w:t xml:space="preserve">Key state managers will </w:t>
      </w:r>
      <w:r w:rsidR="00C82C6C">
        <w:rPr>
          <w:rFonts w:asciiTheme="minorHAnsi" w:hAnsiTheme="minorHAnsi" w:cs="Arial"/>
          <w:sz w:val="22"/>
          <w:szCs w:val="22"/>
        </w:rPr>
        <w:t xml:space="preserve">also </w:t>
      </w:r>
      <w:r w:rsidRPr="00813E94">
        <w:rPr>
          <w:rFonts w:asciiTheme="minorHAnsi" w:hAnsiTheme="minorHAnsi" w:cs="Arial"/>
          <w:sz w:val="22"/>
          <w:szCs w:val="22"/>
        </w:rPr>
        <w:t>be included as members in IAG at national level and will be invited to the meetings to review and share feedback</w:t>
      </w:r>
      <w:r w:rsidR="00C82C6C">
        <w:rPr>
          <w:rFonts w:asciiTheme="minorHAnsi" w:hAnsiTheme="minorHAnsi" w:cs="Arial"/>
          <w:sz w:val="22"/>
          <w:szCs w:val="22"/>
        </w:rPr>
        <w:t xml:space="preserve"> on HSS grant</w:t>
      </w:r>
      <w:r w:rsidRPr="00813E94">
        <w:rPr>
          <w:rFonts w:asciiTheme="minorHAnsi" w:hAnsiTheme="minorHAnsi" w:cs="Arial"/>
          <w:sz w:val="22"/>
          <w:szCs w:val="22"/>
        </w:rPr>
        <w:t>.</w:t>
      </w:r>
    </w:p>
    <w:p w:rsidR="00A849F0" w:rsidRPr="009A61AD" w:rsidRDefault="00A849F0" w:rsidP="00A849F0">
      <w:pPr>
        <w:pStyle w:val="NormalWeb"/>
        <w:spacing w:after="120" w:afterAutospacing="0"/>
        <w:rPr>
          <w:b/>
          <w:color w:val="4472C4" w:themeColor="accent5"/>
          <w:lang w:val="en-GB"/>
        </w:rPr>
      </w:pPr>
      <w:r w:rsidRPr="009A61AD">
        <w:rPr>
          <w:rFonts w:ascii="Calibri" w:hAnsi="Calibri"/>
          <w:b/>
          <w:color w:val="4472C4" w:themeColor="accent5"/>
          <w:sz w:val="22"/>
          <w:szCs w:val="22"/>
          <w:lang w:val="en-GB"/>
        </w:rPr>
        <w:lastRenderedPageBreak/>
        <w:t>M &amp; E Framework:</w:t>
      </w:r>
    </w:p>
    <w:p w:rsidR="00A849F0" w:rsidRPr="009A61AD" w:rsidRDefault="00A849F0" w:rsidP="00A849F0">
      <w:pPr>
        <w:pStyle w:val="NormalWeb"/>
        <w:spacing w:after="120" w:afterAutospacing="0"/>
        <w:rPr>
          <w:color w:val="4472C4" w:themeColor="accent5"/>
          <w:lang w:val="en-GB"/>
        </w:rPr>
      </w:pPr>
      <w:r w:rsidRPr="009A61AD">
        <w:rPr>
          <w:rFonts w:ascii="Calibri" w:hAnsi="Calibri"/>
          <w:color w:val="4472C4" w:themeColor="accent5"/>
          <w:sz w:val="22"/>
          <w:szCs w:val="22"/>
          <w:lang w:val="en-GB"/>
        </w:rPr>
        <w:t>Further clarification is required on:</w:t>
      </w:r>
    </w:p>
    <w:p w:rsidR="00A849F0" w:rsidRPr="00A849F0" w:rsidRDefault="00A849F0" w:rsidP="00A849F0">
      <w:pPr>
        <w:pStyle w:val="NormalWeb"/>
        <w:spacing w:after="120" w:afterAutospacing="0"/>
        <w:rPr>
          <w:rFonts w:ascii="Calibri" w:hAnsi="Calibri"/>
          <w:b/>
          <w:color w:val="FF0000"/>
          <w:sz w:val="22"/>
          <w:szCs w:val="22"/>
          <w:lang w:val="en-GB"/>
        </w:rPr>
      </w:pPr>
      <w:r w:rsidRPr="00A849F0">
        <w:rPr>
          <w:rFonts w:ascii="Calibri" w:hAnsi="Calibri"/>
          <w:b/>
          <w:bCs/>
          <w:color w:val="FF0000"/>
          <w:sz w:val="22"/>
          <w:szCs w:val="22"/>
          <w:lang w:val="en-GB"/>
        </w:rPr>
        <w:t>Equity indicators</w:t>
      </w:r>
      <w:r w:rsidRPr="00A849F0">
        <w:rPr>
          <w:rFonts w:ascii="Calibri" w:hAnsi="Calibri"/>
          <w:b/>
          <w:color w:val="FF0000"/>
          <w:sz w:val="22"/>
          <w:szCs w:val="22"/>
          <w:lang w:val="en-GB"/>
        </w:rPr>
        <w:t>: Disaggregated coverage data by sex of the child is noted but we also require equity by geography and wealth status.</w:t>
      </w:r>
    </w:p>
    <w:p w:rsidR="00A849F0" w:rsidRDefault="007F234B" w:rsidP="009A61AD">
      <w:pPr>
        <w:pStyle w:val="NormalWeb"/>
        <w:spacing w:after="120" w:afterAutospacing="0"/>
        <w:jc w:val="both"/>
        <w:rPr>
          <w:rFonts w:ascii="Calibri" w:hAnsi="Calibri"/>
          <w:sz w:val="22"/>
          <w:szCs w:val="22"/>
          <w:lang w:val="en-GB"/>
        </w:rPr>
      </w:pPr>
      <w:r>
        <w:rPr>
          <w:rFonts w:ascii="Calibri" w:hAnsi="Calibri"/>
          <w:sz w:val="22"/>
          <w:szCs w:val="22"/>
          <w:lang w:val="en-GB"/>
        </w:rPr>
        <w:t>HSS prop</w:t>
      </w:r>
      <w:r w:rsidR="00B77F17">
        <w:rPr>
          <w:rFonts w:ascii="Calibri" w:hAnsi="Calibri"/>
          <w:sz w:val="22"/>
          <w:szCs w:val="22"/>
          <w:lang w:val="en-GB"/>
        </w:rPr>
        <w:t>osal emphasize to promote equity in immunization program</w:t>
      </w:r>
      <w:r>
        <w:rPr>
          <w:rFonts w:ascii="Calibri" w:hAnsi="Calibri"/>
          <w:sz w:val="22"/>
          <w:szCs w:val="22"/>
          <w:lang w:val="en-GB"/>
        </w:rPr>
        <w:t xml:space="preserve">. </w:t>
      </w:r>
      <w:r w:rsidR="00B77F17">
        <w:rPr>
          <w:rFonts w:ascii="Calibri" w:hAnsi="Calibri"/>
          <w:sz w:val="22"/>
          <w:szCs w:val="22"/>
          <w:lang w:val="en-GB"/>
        </w:rPr>
        <w:t>HSS proposal will be an opportunity to address geographical, wealth and gender disparities in immunization program to reach every last child. Proposal is focusing on 12 high priority states with low immunization coverage in the country. Further geographical disparities</w:t>
      </w:r>
      <w:r w:rsidR="00E86C0A">
        <w:rPr>
          <w:rFonts w:ascii="Calibri" w:hAnsi="Calibri"/>
          <w:sz w:val="22"/>
          <w:szCs w:val="22"/>
          <w:lang w:val="en-GB"/>
        </w:rPr>
        <w:t xml:space="preserve"> will be addressed by focusing on 127 high priority districts in these 12 states out of total 184 high priority districts in the country. Whole proposal is aim on focusing geographical and other disparities and M &amp; Framework is already addressing this. Country will also focus on district wise immunization coverage for these 127 high priority district</w:t>
      </w:r>
      <w:r w:rsidR="00C5182F">
        <w:rPr>
          <w:rFonts w:ascii="Calibri" w:hAnsi="Calibri"/>
          <w:sz w:val="22"/>
          <w:szCs w:val="22"/>
          <w:lang w:val="en-GB"/>
        </w:rPr>
        <w:t>s of 12 high focus</w:t>
      </w:r>
      <w:r w:rsidR="00E86C0A">
        <w:rPr>
          <w:rFonts w:ascii="Calibri" w:hAnsi="Calibri"/>
          <w:sz w:val="22"/>
          <w:szCs w:val="22"/>
          <w:lang w:val="en-GB"/>
        </w:rPr>
        <w:t xml:space="preserve"> states</w:t>
      </w:r>
      <w:r w:rsidR="00C5182F">
        <w:rPr>
          <w:rFonts w:ascii="Calibri" w:hAnsi="Calibri"/>
          <w:sz w:val="22"/>
          <w:szCs w:val="22"/>
          <w:lang w:val="en-GB"/>
        </w:rPr>
        <w:t xml:space="preserve">. Baseline for this will be DLHS 3 data and increase in coverage for these districts will be in line with increase in states coverage. </w:t>
      </w:r>
      <w:r w:rsidR="00605107">
        <w:rPr>
          <w:rFonts w:ascii="Calibri" w:hAnsi="Calibri"/>
          <w:sz w:val="22"/>
          <w:szCs w:val="22"/>
          <w:lang w:val="en-GB"/>
        </w:rPr>
        <w:t xml:space="preserve"> (127 high priority districts list attached with immunization coverage as per DLHS 3</w:t>
      </w:r>
      <w:r w:rsidR="006B5B03">
        <w:rPr>
          <w:rFonts w:ascii="Calibri" w:hAnsi="Calibri"/>
          <w:sz w:val="22"/>
          <w:szCs w:val="22"/>
          <w:lang w:val="en-GB"/>
        </w:rPr>
        <w:t>)</w:t>
      </w:r>
    </w:p>
    <w:p w:rsidR="00C5182F" w:rsidRDefault="00C5182F" w:rsidP="009A61AD">
      <w:pPr>
        <w:pStyle w:val="NormalWeb"/>
        <w:spacing w:after="120" w:afterAutospacing="0"/>
        <w:jc w:val="both"/>
        <w:rPr>
          <w:rFonts w:ascii="Calibri" w:hAnsi="Calibri"/>
          <w:sz w:val="22"/>
          <w:szCs w:val="22"/>
          <w:lang w:val="en-GB"/>
        </w:rPr>
      </w:pPr>
      <w:r>
        <w:rPr>
          <w:rFonts w:ascii="Calibri" w:hAnsi="Calibri"/>
          <w:sz w:val="22"/>
          <w:szCs w:val="22"/>
          <w:lang w:val="en-GB"/>
        </w:rPr>
        <w:t>WHO objective 5 focus</w:t>
      </w:r>
      <w:r w:rsidR="00FA57E4">
        <w:rPr>
          <w:rFonts w:ascii="Calibri" w:hAnsi="Calibri"/>
          <w:sz w:val="22"/>
          <w:szCs w:val="22"/>
          <w:lang w:val="en-GB"/>
        </w:rPr>
        <w:t>es</w:t>
      </w:r>
      <w:r>
        <w:rPr>
          <w:rFonts w:ascii="Calibri" w:hAnsi="Calibri"/>
          <w:sz w:val="22"/>
          <w:szCs w:val="22"/>
          <w:lang w:val="en-GB"/>
        </w:rPr>
        <w:t xml:space="preserve"> on strengthening RI in 154433 high risk areas which are </w:t>
      </w:r>
      <w:r w:rsidR="00FA57E4">
        <w:rPr>
          <w:rFonts w:ascii="Calibri" w:hAnsi="Calibri"/>
          <w:sz w:val="22"/>
          <w:szCs w:val="22"/>
          <w:lang w:val="en-GB"/>
        </w:rPr>
        <w:t>having</w:t>
      </w:r>
      <w:r>
        <w:rPr>
          <w:rFonts w:ascii="Calibri" w:hAnsi="Calibri"/>
          <w:sz w:val="22"/>
          <w:szCs w:val="22"/>
          <w:lang w:val="en-GB"/>
        </w:rPr>
        <w:t xml:space="preserve"> low wealth index and also underserved areas for RI services. Improving immunization services in these areas will further reduced geographical and wealth inequity in immunization program. M &amp; E indicators for objective 5 are already addressing this.</w:t>
      </w:r>
      <w:r w:rsidR="00605107">
        <w:rPr>
          <w:rFonts w:ascii="Calibri" w:hAnsi="Calibri"/>
          <w:sz w:val="22"/>
          <w:szCs w:val="22"/>
          <w:lang w:val="en-GB"/>
        </w:rPr>
        <w:t xml:space="preserve"> </w:t>
      </w:r>
    </w:p>
    <w:p w:rsidR="00605107" w:rsidRPr="00A13465" w:rsidRDefault="006B5B03" w:rsidP="009A61AD">
      <w:pPr>
        <w:pStyle w:val="NormalWeb"/>
        <w:spacing w:after="120" w:afterAutospacing="0"/>
        <w:jc w:val="both"/>
        <w:rPr>
          <w:rFonts w:ascii="Calibri" w:hAnsi="Calibri"/>
          <w:sz w:val="22"/>
          <w:szCs w:val="22"/>
          <w:lang w:val="en-GB"/>
        </w:rPr>
      </w:pPr>
      <w:r w:rsidRPr="00A13465">
        <w:rPr>
          <w:rFonts w:ascii="Calibri" w:hAnsi="Calibri"/>
          <w:sz w:val="22"/>
          <w:szCs w:val="22"/>
          <w:lang w:val="en-GB"/>
        </w:rPr>
        <w:t>Wealth Index baseline for 12 high focus states is attached with this document along with baseline figure from CES 09. HSS grant will focus on reducing this disparity in these high focus states</w:t>
      </w:r>
    </w:p>
    <w:p w:rsidR="00A849F0" w:rsidRPr="00A849F0" w:rsidRDefault="00A849F0" w:rsidP="009A61AD">
      <w:pPr>
        <w:pStyle w:val="NormalWeb"/>
        <w:jc w:val="both"/>
        <w:rPr>
          <w:rFonts w:ascii="Calibri" w:hAnsi="Calibri"/>
          <w:b/>
          <w:color w:val="FF0000"/>
          <w:sz w:val="22"/>
          <w:szCs w:val="22"/>
          <w:lang w:val="en-GB"/>
        </w:rPr>
      </w:pPr>
      <w:r w:rsidRPr="00A849F0">
        <w:rPr>
          <w:rFonts w:ascii="Calibri" w:hAnsi="Calibri"/>
          <w:b/>
          <w:color w:val="FF0000"/>
          <w:sz w:val="22"/>
          <w:szCs w:val="22"/>
          <w:lang w:val="en-GB"/>
        </w:rPr>
        <w:t xml:space="preserve">In the response sent by India I do not see any further clarification on the </w:t>
      </w:r>
      <w:r w:rsidRPr="00A849F0">
        <w:rPr>
          <w:rFonts w:ascii="Calibri" w:hAnsi="Calibri"/>
          <w:b/>
          <w:bCs/>
          <w:color w:val="FF0000"/>
          <w:sz w:val="22"/>
          <w:szCs w:val="22"/>
          <w:lang w:val="en-GB"/>
        </w:rPr>
        <w:t>evaluation</w:t>
      </w:r>
      <w:r w:rsidRPr="00A849F0">
        <w:rPr>
          <w:rFonts w:ascii="Calibri" w:hAnsi="Calibri"/>
          <w:b/>
          <w:color w:val="FF0000"/>
          <w:sz w:val="22"/>
          <w:szCs w:val="22"/>
          <w:lang w:val="en-GB"/>
        </w:rPr>
        <w:t>.  I paste below the question we raised previously for reference:</w:t>
      </w:r>
    </w:p>
    <w:p w:rsidR="00A849F0" w:rsidRPr="00A849F0" w:rsidRDefault="00A849F0" w:rsidP="009A61AD">
      <w:pPr>
        <w:pStyle w:val="NormalWeb"/>
        <w:jc w:val="both"/>
        <w:rPr>
          <w:rFonts w:ascii="Calibri" w:hAnsi="Calibri"/>
          <w:b/>
          <w:color w:val="FF0000"/>
          <w:sz w:val="22"/>
          <w:szCs w:val="22"/>
          <w:lang w:val="en-GB"/>
        </w:rPr>
      </w:pPr>
      <w:r w:rsidRPr="00A849F0">
        <w:rPr>
          <w:rFonts w:ascii="Calibri" w:hAnsi="Calibri"/>
          <w:b/>
          <w:color w:val="FF0000"/>
          <w:sz w:val="22"/>
          <w:szCs w:val="22"/>
          <w:lang w:val="en-GB"/>
        </w:rPr>
        <w:t>What is being proposed for the evaluation of this grant overall? (</w:t>
      </w:r>
      <w:proofErr w:type="gramStart"/>
      <w:r w:rsidRPr="00A849F0">
        <w:rPr>
          <w:rFonts w:ascii="Calibri" w:hAnsi="Calibri"/>
          <w:b/>
          <w:color w:val="FF0000"/>
          <w:sz w:val="22"/>
          <w:szCs w:val="22"/>
          <w:lang w:val="en-GB"/>
        </w:rPr>
        <w:t>see</w:t>
      </w:r>
      <w:proofErr w:type="gramEnd"/>
      <w:r w:rsidRPr="00A849F0">
        <w:rPr>
          <w:rFonts w:ascii="Calibri" w:hAnsi="Calibri"/>
          <w:b/>
          <w:color w:val="FF0000"/>
          <w:sz w:val="22"/>
          <w:szCs w:val="22"/>
          <w:lang w:val="en-GB"/>
        </w:rPr>
        <w:t xml:space="preserve"> IRC recommendation) – are you still planning for a baseline, mid-term and end of grant evaluation? Who will conduct this?</w:t>
      </w:r>
    </w:p>
    <w:p w:rsidR="005B1C72" w:rsidRDefault="00FA57E4" w:rsidP="009A61AD">
      <w:pPr>
        <w:pStyle w:val="NormalWeb"/>
        <w:jc w:val="both"/>
        <w:rPr>
          <w:rFonts w:ascii="Calibri" w:hAnsi="Calibri"/>
          <w:sz w:val="22"/>
          <w:szCs w:val="22"/>
          <w:lang w:val="en-GB"/>
        </w:rPr>
      </w:pPr>
      <w:r>
        <w:rPr>
          <w:rFonts w:ascii="Calibri" w:hAnsi="Calibri"/>
          <w:sz w:val="22"/>
          <w:szCs w:val="22"/>
          <w:lang w:val="en-GB"/>
        </w:rPr>
        <w:t xml:space="preserve">Baseline for HSS M &amp; E indicators has already been shared in performance framework. </w:t>
      </w:r>
    </w:p>
    <w:p w:rsidR="005B1C72" w:rsidRDefault="00FA57E4" w:rsidP="009A61AD">
      <w:pPr>
        <w:pStyle w:val="NormalWeb"/>
        <w:jc w:val="both"/>
        <w:rPr>
          <w:rFonts w:ascii="Calibri" w:hAnsi="Calibri"/>
          <w:sz w:val="22"/>
          <w:szCs w:val="22"/>
          <w:lang w:val="en-GB"/>
        </w:rPr>
      </w:pPr>
      <w:r>
        <w:rPr>
          <w:rFonts w:ascii="Calibri" w:hAnsi="Calibri"/>
          <w:sz w:val="22"/>
          <w:szCs w:val="22"/>
          <w:lang w:val="en-GB"/>
        </w:rPr>
        <w:t xml:space="preserve">For immunization coverage related indicators CES 09 will be baseline for state and DLHS 3 for district. </w:t>
      </w:r>
    </w:p>
    <w:p w:rsidR="00FA57E4" w:rsidRDefault="00FA57E4" w:rsidP="009A61AD">
      <w:pPr>
        <w:pStyle w:val="NormalWeb"/>
        <w:jc w:val="both"/>
        <w:rPr>
          <w:rFonts w:ascii="Calibri" w:hAnsi="Calibri"/>
          <w:sz w:val="22"/>
          <w:szCs w:val="22"/>
          <w:lang w:val="en-GB"/>
        </w:rPr>
      </w:pPr>
      <w:r>
        <w:rPr>
          <w:rFonts w:ascii="Calibri" w:hAnsi="Calibri"/>
          <w:sz w:val="22"/>
          <w:szCs w:val="22"/>
          <w:lang w:val="en-GB"/>
        </w:rPr>
        <w:t xml:space="preserve">Midline </w:t>
      </w:r>
      <w:r w:rsidR="005B1C72">
        <w:rPr>
          <w:rFonts w:ascii="Calibri" w:hAnsi="Calibri"/>
          <w:sz w:val="22"/>
          <w:szCs w:val="22"/>
          <w:lang w:val="en-GB"/>
        </w:rPr>
        <w:t>and end line</w:t>
      </w:r>
      <w:r>
        <w:rPr>
          <w:rFonts w:ascii="Calibri" w:hAnsi="Calibri"/>
          <w:sz w:val="22"/>
          <w:szCs w:val="22"/>
          <w:lang w:val="en-GB"/>
        </w:rPr>
        <w:t xml:space="preserve"> for HSS grant will be a subset </w:t>
      </w:r>
      <w:r w:rsidR="00A13465">
        <w:rPr>
          <w:rFonts w:ascii="Calibri" w:hAnsi="Calibri"/>
          <w:sz w:val="22"/>
          <w:szCs w:val="22"/>
          <w:lang w:val="en-GB"/>
        </w:rPr>
        <w:t xml:space="preserve">of overall National M &amp; E plan. </w:t>
      </w:r>
      <w:r w:rsidR="00A13465" w:rsidRPr="00A13465">
        <w:rPr>
          <w:rFonts w:ascii="Calibri" w:hAnsi="Calibri"/>
          <w:sz w:val="22"/>
          <w:szCs w:val="22"/>
          <w:lang w:val="en-GB"/>
        </w:rPr>
        <w:t xml:space="preserve">National M &amp; E plan </w:t>
      </w:r>
      <w:r w:rsidR="00A13465">
        <w:rPr>
          <w:rFonts w:ascii="Calibri" w:hAnsi="Calibri"/>
          <w:sz w:val="22"/>
          <w:szCs w:val="22"/>
          <w:lang w:val="en-GB"/>
        </w:rPr>
        <w:t xml:space="preserve">has been proposed in the HSS grant </w:t>
      </w:r>
      <w:r w:rsidR="00A13465" w:rsidRPr="00A13465">
        <w:rPr>
          <w:rFonts w:ascii="Calibri" w:hAnsi="Calibri"/>
          <w:sz w:val="22"/>
          <w:szCs w:val="22"/>
          <w:lang w:val="en-GB"/>
        </w:rPr>
        <w:t xml:space="preserve">budget and within over all envelop of $ 107 </w:t>
      </w:r>
      <w:r w:rsidR="00C95561" w:rsidRPr="00A13465">
        <w:rPr>
          <w:rFonts w:ascii="Calibri" w:hAnsi="Calibri"/>
          <w:sz w:val="22"/>
          <w:szCs w:val="22"/>
          <w:lang w:val="en-GB"/>
        </w:rPr>
        <w:t>million</w:t>
      </w:r>
      <w:r w:rsidR="00A13465" w:rsidRPr="00A13465">
        <w:rPr>
          <w:rFonts w:ascii="Calibri" w:hAnsi="Calibri"/>
          <w:sz w:val="22"/>
          <w:szCs w:val="22"/>
          <w:lang w:val="en-GB"/>
        </w:rPr>
        <w:t xml:space="preserve">, an allocation of USD 4.5 million ($ 1.5 million from each implementing partner) has been proposed.  </w:t>
      </w:r>
    </w:p>
    <w:p w:rsidR="00A849F0" w:rsidRDefault="00FA57E4" w:rsidP="009A61AD">
      <w:pPr>
        <w:pStyle w:val="NormalWeb"/>
        <w:jc w:val="both"/>
        <w:rPr>
          <w:rFonts w:ascii="Calibri" w:hAnsi="Calibri"/>
          <w:sz w:val="22"/>
          <w:szCs w:val="22"/>
          <w:lang w:val="en-GB"/>
        </w:rPr>
      </w:pPr>
      <w:r>
        <w:rPr>
          <w:rFonts w:ascii="Calibri" w:hAnsi="Calibri"/>
          <w:sz w:val="22"/>
          <w:szCs w:val="22"/>
          <w:lang w:val="en-GB"/>
        </w:rPr>
        <w:t xml:space="preserve">National </w:t>
      </w:r>
      <w:r w:rsidRPr="00FA57E4">
        <w:rPr>
          <w:rFonts w:ascii="Calibri" w:hAnsi="Calibri"/>
          <w:sz w:val="22"/>
          <w:szCs w:val="22"/>
          <w:lang w:val="en-GB"/>
        </w:rPr>
        <w:t>M &amp; E plan proposed a yearly evaluation survey for routine immunization, focusing on outcome and impact indicators of all the components of RI</w:t>
      </w:r>
      <w:r>
        <w:rPr>
          <w:rFonts w:ascii="Calibri" w:hAnsi="Calibri"/>
          <w:sz w:val="22"/>
          <w:szCs w:val="22"/>
          <w:lang w:val="en-GB"/>
        </w:rPr>
        <w:t xml:space="preserve"> including HSS grant indicators</w:t>
      </w:r>
      <w:r w:rsidRPr="00FA57E4">
        <w:rPr>
          <w:rFonts w:ascii="Calibri" w:hAnsi="Calibri"/>
          <w:sz w:val="22"/>
          <w:szCs w:val="22"/>
          <w:lang w:val="en-GB"/>
        </w:rPr>
        <w:t xml:space="preserve">. This can be done through external agency in </w:t>
      </w:r>
      <w:r>
        <w:rPr>
          <w:rFonts w:ascii="Calibri" w:hAnsi="Calibri"/>
          <w:sz w:val="22"/>
          <w:szCs w:val="22"/>
          <w:lang w:val="en-GB"/>
        </w:rPr>
        <w:t>line with NFHS and DLHS surveys.</w:t>
      </w:r>
    </w:p>
    <w:p w:rsidR="00FA57E4" w:rsidRPr="00E17CE5" w:rsidRDefault="00FA57E4" w:rsidP="009A61AD">
      <w:pPr>
        <w:pStyle w:val="NormalWeb"/>
        <w:jc w:val="both"/>
        <w:rPr>
          <w:rFonts w:ascii="Calibri" w:hAnsi="Calibri"/>
          <w:sz w:val="22"/>
          <w:szCs w:val="22"/>
          <w:lang w:val="en-GB"/>
        </w:rPr>
      </w:pPr>
      <w:r>
        <w:rPr>
          <w:rFonts w:ascii="Calibri" w:hAnsi="Calibri"/>
          <w:sz w:val="22"/>
          <w:szCs w:val="22"/>
          <w:lang w:val="en-GB"/>
        </w:rPr>
        <w:t>Individual activity level evaluations will be part of activity budget in each partner budget sheet and will be carri</w:t>
      </w:r>
      <w:r w:rsidR="005B1C72">
        <w:rPr>
          <w:rFonts w:ascii="Calibri" w:hAnsi="Calibri"/>
          <w:sz w:val="22"/>
          <w:szCs w:val="22"/>
          <w:lang w:val="en-GB"/>
        </w:rPr>
        <w:t>ed out either through</w:t>
      </w:r>
      <w:r>
        <w:rPr>
          <w:rFonts w:ascii="Calibri" w:hAnsi="Calibri"/>
          <w:sz w:val="22"/>
          <w:szCs w:val="22"/>
          <w:lang w:val="en-GB"/>
        </w:rPr>
        <w:t xml:space="preserve"> lead implementers M &amp; E system</w:t>
      </w:r>
      <w:r w:rsidR="005B1C72">
        <w:rPr>
          <w:rFonts w:ascii="Calibri" w:hAnsi="Calibri"/>
          <w:sz w:val="22"/>
          <w:szCs w:val="22"/>
          <w:lang w:val="en-GB"/>
        </w:rPr>
        <w:t xml:space="preserve"> or external organizations</w:t>
      </w:r>
      <w:r>
        <w:rPr>
          <w:rFonts w:ascii="Calibri" w:hAnsi="Calibri"/>
          <w:sz w:val="22"/>
          <w:szCs w:val="22"/>
          <w:lang w:val="en-GB"/>
        </w:rPr>
        <w:t xml:space="preserve"> as per individual agencies activity plans </w:t>
      </w:r>
    </w:p>
    <w:p w:rsidR="00D815D8" w:rsidRDefault="00D815D8" w:rsidP="009A61AD">
      <w:pPr>
        <w:jc w:val="both"/>
      </w:pPr>
    </w:p>
    <w:sectPr w:rsidR="00D815D8" w:rsidSect="006B6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Lath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8E5"/>
    <w:multiLevelType w:val="hybridMultilevel"/>
    <w:tmpl w:val="E05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B3DA8"/>
    <w:multiLevelType w:val="hybridMultilevel"/>
    <w:tmpl w:val="8FCA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6C56"/>
    <w:multiLevelType w:val="hybridMultilevel"/>
    <w:tmpl w:val="DA30EF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BD0DD6"/>
    <w:multiLevelType w:val="hybridMultilevel"/>
    <w:tmpl w:val="050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54FA1"/>
    <w:multiLevelType w:val="hybridMultilevel"/>
    <w:tmpl w:val="56AEA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39822DC"/>
    <w:multiLevelType w:val="hybridMultilevel"/>
    <w:tmpl w:val="2F9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B2986"/>
    <w:multiLevelType w:val="hybridMultilevel"/>
    <w:tmpl w:val="5DBC6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6347C"/>
    <w:multiLevelType w:val="hybridMultilevel"/>
    <w:tmpl w:val="8FF2D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FB2"/>
    <w:rsid w:val="00016E81"/>
    <w:rsid w:val="00033078"/>
    <w:rsid w:val="0004330F"/>
    <w:rsid w:val="00062AE6"/>
    <w:rsid w:val="00064885"/>
    <w:rsid w:val="00080E6F"/>
    <w:rsid w:val="000B012E"/>
    <w:rsid w:val="000B7258"/>
    <w:rsid w:val="000C7310"/>
    <w:rsid w:val="000D118C"/>
    <w:rsid w:val="000F2A16"/>
    <w:rsid w:val="00101518"/>
    <w:rsid w:val="001024D2"/>
    <w:rsid w:val="00121B0F"/>
    <w:rsid w:val="001238BE"/>
    <w:rsid w:val="00140CCF"/>
    <w:rsid w:val="001815A7"/>
    <w:rsid w:val="001A1529"/>
    <w:rsid w:val="001B15DE"/>
    <w:rsid w:val="001B383C"/>
    <w:rsid w:val="001C66C2"/>
    <w:rsid w:val="001D57FE"/>
    <w:rsid w:val="002247EF"/>
    <w:rsid w:val="00234DBB"/>
    <w:rsid w:val="00234FC4"/>
    <w:rsid w:val="00254DEF"/>
    <w:rsid w:val="00285DA4"/>
    <w:rsid w:val="00292164"/>
    <w:rsid w:val="002C0235"/>
    <w:rsid w:val="00337550"/>
    <w:rsid w:val="003614FB"/>
    <w:rsid w:val="00372C9F"/>
    <w:rsid w:val="00396BCC"/>
    <w:rsid w:val="003A7BA5"/>
    <w:rsid w:val="003D5EF0"/>
    <w:rsid w:val="0041223A"/>
    <w:rsid w:val="0042610F"/>
    <w:rsid w:val="00442EF0"/>
    <w:rsid w:val="004A627C"/>
    <w:rsid w:val="004E2CCC"/>
    <w:rsid w:val="00541C25"/>
    <w:rsid w:val="00576FB2"/>
    <w:rsid w:val="0059094A"/>
    <w:rsid w:val="005A35B5"/>
    <w:rsid w:val="005B1C72"/>
    <w:rsid w:val="005E0007"/>
    <w:rsid w:val="005E255B"/>
    <w:rsid w:val="005F206C"/>
    <w:rsid w:val="005F585B"/>
    <w:rsid w:val="005F5CEB"/>
    <w:rsid w:val="00605107"/>
    <w:rsid w:val="006076E6"/>
    <w:rsid w:val="00627BE4"/>
    <w:rsid w:val="006565DC"/>
    <w:rsid w:val="006A3D76"/>
    <w:rsid w:val="006B5B03"/>
    <w:rsid w:val="006B6884"/>
    <w:rsid w:val="006C1EA3"/>
    <w:rsid w:val="006C4292"/>
    <w:rsid w:val="00712626"/>
    <w:rsid w:val="00717D0C"/>
    <w:rsid w:val="007819F4"/>
    <w:rsid w:val="007C3929"/>
    <w:rsid w:val="007E105F"/>
    <w:rsid w:val="007F234B"/>
    <w:rsid w:val="00812579"/>
    <w:rsid w:val="00813E94"/>
    <w:rsid w:val="00816C8A"/>
    <w:rsid w:val="008315EE"/>
    <w:rsid w:val="008611C2"/>
    <w:rsid w:val="0086511C"/>
    <w:rsid w:val="00865BCA"/>
    <w:rsid w:val="00870354"/>
    <w:rsid w:val="008E242A"/>
    <w:rsid w:val="008F6777"/>
    <w:rsid w:val="009257C9"/>
    <w:rsid w:val="00933820"/>
    <w:rsid w:val="00953C2C"/>
    <w:rsid w:val="00970985"/>
    <w:rsid w:val="00992985"/>
    <w:rsid w:val="009A61AD"/>
    <w:rsid w:val="009A657C"/>
    <w:rsid w:val="009A72F6"/>
    <w:rsid w:val="00A13465"/>
    <w:rsid w:val="00A2019A"/>
    <w:rsid w:val="00A272C8"/>
    <w:rsid w:val="00A36870"/>
    <w:rsid w:val="00A4033F"/>
    <w:rsid w:val="00A849F0"/>
    <w:rsid w:val="00AA54DB"/>
    <w:rsid w:val="00AB74B4"/>
    <w:rsid w:val="00AC6088"/>
    <w:rsid w:val="00AE42BB"/>
    <w:rsid w:val="00AF6DF9"/>
    <w:rsid w:val="00B22A6D"/>
    <w:rsid w:val="00B23BFB"/>
    <w:rsid w:val="00B42AF0"/>
    <w:rsid w:val="00B77F17"/>
    <w:rsid w:val="00BA6A98"/>
    <w:rsid w:val="00BB4330"/>
    <w:rsid w:val="00BC7BD0"/>
    <w:rsid w:val="00BE4DA6"/>
    <w:rsid w:val="00BF7A30"/>
    <w:rsid w:val="00C045B7"/>
    <w:rsid w:val="00C2492C"/>
    <w:rsid w:val="00C24A60"/>
    <w:rsid w:val="00C319B4"/>
    <w:rsid w:val="00C42F0F"/>
    <w:rsid w:val="00C5182F"/>
    <w:rsid w:val="00C6179B"/>
    <w:rsid w:val="00C82C6C"/>
    <w:rsid w:val="00C90FF3"/>
    <w:rsid w:val="00C95561"/>
    <w:rsid w:val="00CC7A23"/>
    <w:rsid w:val="00CE0108"/>
    <w:rsid w:val="00CE302A"/>
    <w:rsid w:val="00CF447B"/>
    <w:rsid w:val="00D118C2"/>
    <w:rsid w:val="00D2049C"/>
    <w:rsid w:val="00D22B7E"/>
    <w:rsid w:val="00D4461E"/>
    <w:rsid w:val="00D7286D"/>
    <w:rsid w:val="00D815D8"/>
    <w:rsid w:val="00DE4AE2"/>
    <w:rsid w:val="00E00634"/>
    <w:rsid w:val="00E064B0"/>
    <w:rsid w:val="00E17CE5"/>
    <w:rsid w:val="00E31F4C"/>
    <w:rsid w:val="00E32216"/>
    <w:rsid w:val="00E4442A"/>
    <w:rsid w:val="00E466C5"/>
    <w:rsid w:val="00E86C0A"/>
    <w:rsid w:val="00EA1167"/>
    <w:rsid w:val="00EB051E"/>
    <w:rsid w:val="00EC2B4D"/>
    <w:rsid w:val="00EE3614"/>
    <w:rsid w:val="00EE6330"/>
    <w:rsid w:val="00F13CC2"/>
    <w:rsid w:val="00F72876"/>
    <w:rsid w:val="00F827EA"/>
    <w:rsid w:val="00F97650"/>
    <w:rsid w:val="00FA57E4"/>
    <w:rsid w:val="00FA5FF6"/>
    <w:rsid w:val="00FB155D"/>
    <w:rsid w:val="00FB397F"/>
    <w:rsid w:val="00FD3752"/>
    <w:rsid w:val="00FF4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9F0"/>
    <w:pPr>
      <w:spacing w:before="100" w:beforeAutospacing="1" w:after="100" w:afterAutospacing="1"/>
    </w:pPr>
  </w:style>
  <w:style w:type="table" w:styleId="TableGrid">
    <w:name w:val="Table Grid"/>
    <w:basedOn w:val="TableNormal"/>
    <w:uiPriority w:val="39"/>
    <w:rsid w:val="00AB7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F585B"/>
    <w:pPr>
      <w:tabs>
        <w:tab w:val="center" w:pos="4153"/>
        <w:tab w:val="right" w:pos="8306"/>
      </w:tabs>
    </w:pPr>
    <w:rPr>
      <w:rFonts w:ascii="Arial" w:eastAsia="Times New Roman" w:hAnsi="Arial"/>
      <w:sz w:val="22"/>
      <w:szCs w:val="20"/>
      <w:lang w:val="en-GB" w:eastAsia="en-GB"/>
    </w:rPr>
  </w:style>
  <w:style w:type="character" w:customStyle="1" w:styleId="FooterChar">
    <w:name w:val="Footer Char"/>
    <w:basedOn w:val="DefaultParagraphFont"/>
    <w:link w:val="Footer"/>
    <w:uiPriority w:val="99"/>
    <w:rsid w:val="005F585B"/>
    <w:rPr>
      <w:rFonts w:ascii="Arial" w:eastAsia="Times New Roman" w:hAnsi="Arial" w:cs="Times New Roman"/>
      <w:szCs w:val="20"/>
      <w:lang w:val="en-GB" w:eastAsia="en-GB"/>
    </w:rPr>
  </w:style>
  <w:style w:type="paragraph" w:styleId="ListParagraph">
    <w:name w:val="List Paragraph"/>
    <w:basedOn w:val="Normal"/>
    <w:uiPriority w:val="34"/>
    <w:qFormat/>
    <w:rsid w:val="005F585B"/>
    <w:pPr>
      <w:ind w:left="720"/>
      <w:contextualSpacing/>
    </w:pPr>
    <w:rPr>
      <w:rFonts w:ascii="Arial" w:eastAsia="Times New Roman" w:hAnsi="Arial"/>
      <w:sz w:val="22"/>
      <w:szCs w:val="20"/>
      <w:lang w:val="en-GB" w:eastAsia="en-GB"/>
    </w:rPr>
  </w:style>
  <w:style w:type="paragraph" w:styleId="BalloonText">
    <w:name w:val="Balloon Text"/>
    <w:basedOn w:val="Normal"/>
    <w:link w:val="BalloonTextChar"/>
    <w:uiPriority w:val="99"/>
    <w:semiHidden/>
    <w:unhideWhenUsed/>
    <w:rsid w:val="009A61AD"/>
    <w:rPr>
      <w:rFonts w:ascii="Tahoma" w:hAnsi="Tahoma" w:cs="Tahoma"/>
      <w:sz w:val="16"/>
      <w:szCs w:val="16"/>
    </w:rPr>
  </w:style>
  <w:style w:type="character" w:customStyle="1" w:styleId="BalloonTextChar">
    <w:name w:val="Balloon Text Char"/>
    <w:basedOn w:val="DefaultParagraphFont"/>
    <w:link w:val="BalloonText"/>
    <w:uiPriority w:val="99"/>
    <w:semiHidden/>
    <w:rsid w:val="009A6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9F0"/>
    <w:pPr>
      <w:spacing w:before="100" w:beforeAutospacing="1" w:after="100" w:afterAutospacing="1"/>
    </w:pPr>
  </w:style>
  <w:style w:type="table" w:styleId="TableGrid">
    <w:name w:val="Table Grid"/>
    <w:basedOn w:val="TableNormal"/>
    <w:uiPriority w:val="39"/>
    <w:rsid w:val="00AB7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F585B"/>
    <w:pPr>
      <w:tabs>
        <w:tab w:val="center" w:pos="4153"/>
        <w:tab w:val="right" w:pos="8306"/>
      </w:tabs>
    </w:pPr>
    <w:rPr>
      <w:rFonts w:ascii="Arial" w:eastAsia="Times New Roman" w:hAnsi="Arial"/>
      <w:sz w:val="22"/>
      <w:szCs w:val="20"/>
      <w:lang w:val="en-GB" w:eastAsia="en-GB"/>
    </w:rPr>
  </w:style>
  <w:style w:type="character" w:customStyle="1" w:styleId="FooterChar">
    <w:name w:val="Footer Char"/>
    <w:basedOn w:val="DefaultParagraphFont"/>
    <w:link w:val="Footer"/>
    <w:uiPriority w:val="99"/>
    <w:rsid w:val="005F585B"/>
    <w:rPr>
      <w:rFonts w:ascii="Arial" w:eastAsia="Times New Roman" w:hAnsi="Arial" w:cs="Times New Roman"/>
      <w:szCs w:val="20"/>
      <w:lang w:val="en-GB" w:eastAsia="en-GB"/>
    </w:rPr>
  </w:style>
  <w:style w:type="paragraph" w:styleId="ListParagraph">
    <w:name w:val="List Paragraph"/>
    <w:basedOn w:val="Normal"/>
    <w:uiPriority w:val="34"/>
    <w:qFormat/>
    <w:rsid w:val="005F585B"/>
    <w:pPr>
      <w:ind w:left="720"/>
      <w:contextualSpacing/>
    </w:pPr>
    <w:rPr>
      <w:rFonts w:ascii="Arial" w:eastAsia="Times New Roman" w:hAnsi="Arial"/>
      <w:sz w:val="22"/>
      <w:szCs w:val="20"/>
      <w:lang w:val="en-GB" w:eastAsia="en-GB"/>
    </w:rPr>
  </w:style>
  <w:style w:type="paragraph" w:styleId="BalloonText">
    <w:name w:val="Balloon Text"/>
    <w:basedOn w:val="Normal"/>
    <w:link w:val="BalloonTextChar"/>
    <w:uiPriority w:val="99"/>
    <w:semiHidden/>
    <w:unhideWhenUsed/>
    <w:rsid w:val="009A61AD"/>
    <w:rPr>
      <w:rFonts w:ascii="Tahoma" w:hAnsi="Tahoma" w:cs="Tahoma"/>
      <w:sz w:val="16"/>
      <w:szCs w:val="16"/>
    </w:rPr>
  </w:style>
  <w:style w:type="character" w:customStyle="1" w:styleId="BalloonTextChar">
    <w:name w:val="Balloon Text Char"/>
    <w:basedOn w:val="DefaultParagraphFont"/>
    <w:link w:val="BalloonText"/>
    <w:uiPriority w:val="99"/>
    <w:semiHidden/>
    <w:rsid w:val="009A6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355249">
      <w:bodyDiv w:val="1"/>
      <w:marLeft w:val="0"/>
      <w:marRight w:val="0"/>
      <w:marTop w:val="0"/>
      <w:marBottom w:val="0"/>
      <w:divBdr>
        <w:top w:val="none" w:sz="0" w:space="0" w:color="auto"/>
        <w:left w:val="none" w:sz="0" w:space="0" w:color="auto"/>
        <w:bottom w:val="none" w:sz="0" w:space="0" w:color="auto"/>
        <w:right w:val="none" w:sz="0" w:space="0" w:color="auto"/>
      </w:divBdr>
    </w:div>
    <w:div w:id="1171678015">
      <w:bodyDiv w:val="1"/>
      <w:marLeft w:val="0"/>
      <w:marRight w:val="0"/>
      <w:marTop w:val="0"/>
      <w:marBottom w:val="0"/>
      <w:divBdr>
        <w:top w:val="none" w:sz="0" w:space="0" w:color="auto"/>
        <w:left w:val="none" w:sz="0" w:space="0" w:color="auto"/>
        <w:bottom w:val="none" w:sz="0" w:space="0" w:color="auto"/>
        <w:right w:val="none" w:sz="0" w:space="0" w:color="auto"/>
      </w:divBdr>
    </w:div>
    <w:div w:id="1735011138">
      <w:bodyDiv w:val="1"/>
      <w:marLeft w:val="0"/>
      <w:marRight w:val="0"/>
      <w:marTop w:val="0"/>
      <w:marBottom w:val="0"/>
      <w:divBdr>
        <w:top w:val="none" w:sz="0" w:space="0" w:color="auto"/>
        <w:left w:val="none" w:sz="0" w:space="0" w:color="auto"/>
        <w:bottom w:val="none" w:sz="0" w:space="0" w:color="auto"/>
        <w:right w:val="none" w:sz="0" w:space="0" w:color="auto"/>
      </w:divBdr>
    </w:div>
    <w:div w:id="18657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Singh</dc:creator>
  <cp:keywords/>
  <dc:description/>
  <cp:lastModifiedBy>pc</cp:lastModifiedBy>
  <cp:revision>29</cp:revision>
  <cp:lastPrinted>2013-08-20T06:27:00Z</cp:lastPrinted>
  <dcterms:created xsi:type="dcterms:W3CDTF">2013-08-16T08:00:00Z</dcterms:created>
  <dcterms:modified xsi:type="dcterms:W3CDTF">2013-09-03T15:15:00Z</dcterms:modified>
</cp:coreProperties>
</file>